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920" w:after="360"/>
      </w:pPr>
      <w:r>
        <w:rPr>
          <w:rFonts w:ascii="Calibri" w:hAnsi="Calibri"/>
          <w:b/>
          <w:color w:val="7A5A00"/>
          <w:sz w:val="20"/>
          <w:szCs w:val="20"/>
        </w:rPr>
        <w:t xml:space="preserve">RESEARCH ARCHITECTURE PROPOSAL</w:t>
      </w:r>
    </w:p>
    <w:p>
      <w:pPr>
        <w:jc w:val="center"/>
        <w:spacing w:after="200"/>
      </w:pPr>
      <w:r>
        <w:rPr>
          <w:rFonts w:ascii="Calibri" w:hAnsi="Calibri"/>
          <w:b/>
          <w:color w:val="0B2545"/>
          <w:sz w:val="56"/>
          <w:szCs w:val="56"/>
        </w:rPr>
        <w:t xml:space="preserve">Explainable Timbre Concept-Bottleneck Branch</w:t>
      </w:r>
    </w:p>
    <w:p>
      <w:pPr>
        <w:jc w:val="center"/>
        <w:spacing w:after="680"/>
      </w:pPr>
      <w:r>
        <w:rPr>
          <w:rFonts w:ascii="Calibri" w:hAnsi="Calibri"/>
          <w:i/>
          <w:color w:val="526170"/>
          <w:sz w:val="26"/>
          <w:szCs w:val="26"/>
        </w:rPr>
        <w:t xml:space="preserve">Input, acoustic target extraction, neural processing, fusion output, and validation</w:t>
      </w:r>
    </w:p>
    <w:p>
      <w:pPr>
        <w:jc w:val="center"/>
        <w:spacing w:after="80"/>
      </w:pPr>
      <w:r>
        <w:rPr>
          <w:rFonts w:ascii="Calibri" w:hAnsi="Calibri"/>
          <w:b/>
          <w:color w:val="1F4D78"/>
          <w:sz w:val="24"/>
          <w:szCs w:val="24"/>
        </w:rPr>
        <w:t xml:space="preserve">Music Genre Classification Research Project</w:t>
      </w:r>
    </w:p>
    <w:p>
      <w:pPr>
        <w:jc w:val="center"/>
        <w:spacing w:after="1400"/>
      </w:pPr>
      <w:r>
        <w:rPr>
          <w:rFonts w:ascii="Calibri" w:hAnsi="Calibri"/>
          <w:color w:val="526170"/>
          <w:sz w:val="21"/>
          <w:szCs w:val="21"/>
        </w:rPr>
        <w:t xml:space="preserve">Dataset: MTG-Jamendo subsample described by data/split_csv.csv</w:t>
      </w:r>
    </w:p>
    <w:p>
      <w:pPr>
        <w:spacing w:after="160"/>
        <w:shd w:val="clear" w:color="auto" w:fill="F4F6F9"/>
      </w:pPr>
      <w:r>
        <w:rPr>
          <w:rFonts w:ascii="Calibri" w:hAnsi="Calibri"/>
          <w:b/>
          <w:color w:val="1F4D78"/>
        </w:rPr>
        <w:t xml:space="preserve">Core design decision: </w:t>
      </w:r>
      <w:r>
        <w:rPr>
          <w:rFonts w:ascii="Calibri" w:hAnsi="Calibri"/>
        </w:rPr>
        <w:t xml:space="preserve">The timbre contribution to genre prediction must pass through 35 named acoustic concepts. The unrestricted 128-D shared embedding is not passed directly through the timbre branch to fusion.</w:t>
      </w:r>
    </w:p>
    <w:p>
      <w:pPr>
        <w:jc w:val="center"/>
        <w:spacing w:before="600" w:after="0"/>
      </w:pPr>
      <w:r>
        <w:rPr>
          <w:rFonts w:ascii="Calibri" w:hAnsi="Calibri"/>
          <w:color w:val="526170"/>
          <w:sz w:val="20"/>
          <w:szCs w:val="20"/>
        </w:rPr>
        <w:t xml:space="preserve">Prepared September 2026</w:t>
      </w:r>
    </w:p>
    <w:p>
      <w:r>
        <w:br w:type="page"/>
      </w:r>
    </w:p>
    <w:p>
      <w:pPr>
        <w:pStyle w:val="Heading1"/>
        <w:keepNext/>
      </w:pPr>
      <w:r>
        <w:rPr>
          <w:rFonts w:ascii="Calibri" w:hAnsi="Calibri"/>
        </w:rPr>
        <w:t xml:space="preserve">Executive summary</w:t>
      </w:r>
    </w:p>
    <w:p>
      <w:pPr/>
      <w:r>
        <w:rPr>
          <w:rFonts w:ascii="Calibri" w:hAnsi="Calibri"/>
        </w:rPr>
        <w:t xml:space="preserve">This proposal defines only the timbre component of a larger explainable music-genre classification system. A shared convolutional neural network produces one 128-dimensional representation for each track. The timbre branch transforms that general representation into 35 explicitly supervised acoustic descriptors. Those predicted descriptors form a semantic bottleneck and are either passed directly to the fusion layer or projected linearly to a common 32-dimensional interface.</w:t>
      </w:r>
    </w:p>
    <w:p>
      <w:pPr/>
      <w:r>
        <w:rPr>
          <w:rFonts w:ascii="Calibri" w:hAnsi="Calibri"/>
        </w:rPr>
        <w:t xml:space="preserve">Ground-truth timbre targets are extracted offline from the audio files referenced by split_csv.csv. The targets cover spectral shape, harmonic/noise character, and MFCC-based spectral envelope. During training, the branch is penalized when its predicted descriptors differ from the extracted references. During inference, its output remains inspectable because every bottleneck dimension has a declared acoustic meaning.</w:t>
      </w:r>
    </w:p>
    <w:p>
      <w:pPr>
        <w:spacing w:after="160"/>
        <w:shd w:val="clear" w:color="auto" w:fill="F4F6F9"/>
      </w:pPr>
      <w:r>
        <w:rPr>
          <w:rFonts w:ascii="Calibri" w:hAnsi="Calibri"/>
          <w:b/>
          <w:color w:val="1F4D78"/>
        </w:rPr>
        <w:t xml:space="preserve">Recommended output: </w:t>
      </w:r>
      <w:r>
        <w:rPr>
          <w:rFonts w:ascii="Calibri" w:hAnsi="Calibri"/>
        </w:rPr>
        <w:t xml:space="preserve">Use the 35-D predicted descriptor vector directly when the fusion layer allows unequal branch sizes. Use a shallow 35-to-32 linear projection only when a common branch width is required.</w:t>
      </w:r>
    </w:p>
    <w:p>
      <w:pPr>
        <w:pStyle w:val="Heading1"/>
        <w:keepNext/>
      </w:pPr>
      <w:r>
        <w:rPr>
          <w:rFonts w:ascii="Calibri" w:hAnsi="Calibri"/>
        </w:rPr>
        <w:t xml:space="preserve">1. Scope and objective</w:t>
      </w:r>
    </w:p>
    <w:p>
      <w:pPr/>
      <w:r>
        <w:rPr>
          <w:rFonts w:ascii="Calibri" w:hAnsi="Calibri"/>
        </w:rPr>
        <w:t xml:space="preserve">The timbre branch models sound color: the spectral distribution, noisiness, harmonic regularity, and broad spectral envelope that distinguish sounds even when melody or rhythm is similar. Harmony, rhythm, and instrument identity are handled by other branches and are not explicit inputs or targets of this component.</w:t>
      </w:r>
    </w:p>
    <w:p>
      <w:pPr>
        <w:pStyle w:val="Heading2"/>
        <w:keepNext/>
      </w:pPr>
      <w:r>
        <w:rPr>
          <w:rFonts w:ascii="Calibri" w:hAnsi="Calibri"/>
        </w:rPr>
        <w:t xml:space="preserve">1.1 Research objective</w:t>
      </w:r>
    </w:p>
    <w:p>
      <w:pPr/>
      <w:r>
        <w:rPr>
          <w:rFonts w:ascii="Calibri" w:hAnsi="Calibri"/>
        </w:rPr>
        <w:t xml:space="preserve">The objective is to determine whether the shared 128-D representation can support an accurate, compact, and auditable timbre representation that improves multi-label genre classification.</w:t>
      </w:r>
    </w:p>
    <w:p>
      <w:pPr>
        <w:pStyle w:val="Heading2"/>
        <w:keepNext/>
      </w:pPr>
      <w:r>
        <w:rPr>
          <w:rFonts w:ascii="Calibri" w:hAnsi="Calibri"/>
        </w:rPr>
        <w:t xml:space="preserve">1.2 Research question</w:t>
      </w:r>
    </w:p>
    <w:p>
      <w:pPr>
        <w:spacing w:after="160"/>
        <w:shd w:val="clear" w:color="auto" w:fill="F4F6F9"/>
      </w:pPr>
      <w:r>
        <w:rPr>
          <w:rFonts w:ascii="Calibri" w:hAnsi="Calibri"/>
          <w:b/>
          <w:color w:val="1F4D78"/>
        </w:rPr>
        <w:t xml:space="preserve">Question: </w:t>
      </w:r>
      <w:r>
        <w:rPr>
          <w:rFonts w:ascii="Calibri" w:hAnsi="Calibri"/>
        </w:rPr>
        <w:t xml:space="preserve">Can a general shared audio representation be transformed into accurate, human-readable timbre concepts that make a measurable contribution to genre prediction?</w:t>
      </w:r>
    </w:p>
    <w:p>
      <w:pPr>
        <w:pStyle w:val="Heading2"/>
        <w:keepNext/>
      </w:pPr>
      <w:r>
        <w:rPr>
          <w:rFonts w:ascii="Calibri" w:hAnsi="Calibri"/>
        </w:rPr>
        <w:t xml:space="preserve">1.3 Boundary of the branch</w:t>
      </w:r>
    </w:p>
    <w:p>
      <w:pPr>
        <w:spacing w:after="80"/>
        <w:numPr>
          <w:ilvl w:val="0"/>
          <w:numId w:val="1"/>
        </w:numPr>
      </w:pPr>
      <w:r>
        <w:rPr>
          <w:rFonts w:ascii="Calibri" w:hAnsi="Calibri"/>
        </w:rPr>
        <w:t xml:space="preserve">Included: spectral centroid, bandwidth, contrast, flatness, roll-off, HNR, inharmonicity, and MFCC statistics.</w:t>
      </w:r>
    </w:p>
    <w:p>
      <w:pPr>
        <w:spacing w:after="80"/>
        <w:numPr>
          <w:ilvl w:val="0"/>
          <w:numId w:val="1"/>
        </w:numPr>
      </w:pPr>
      <w:r>
        <w:rPr>
          <w:rFonts w:ascii="Calibri" w:hAnsi="Calibri"/>
        </w:rPr>
        <w:t xml:space="preserve">Excluded as harmony: chroma, Tonnetz, key, chords, pitch-class profiles, and chord progressions.</w:t>
      </w:r>
    </w:p>
    <w:p>
      <w:pPr>
        <w:spacing w:after="80"/>
        <w:numPr>
          <w:ilvl w:val="0"/>
          <w:numId w:val="1"/>
        </w:numPr>
      </w:pPr>
      <w:r>
        <w:rPr>
          <w:rFonts w:ascii="Calibri" w:hAnsi="Calibri"/>
        </w:rPr>
        <w:t xml:space="preserve">Excluded as rhythm: tempo, beat positions, onset rate, beat strength, and rhythmic periodicity.</w:t>
      </w:r>
    </w:p>
    <w:p>
      <w:pPr>
        <w:spacing w:after="80"/>
        <w:numPr>
          <w:ilvl w:val="0"/>
          <w:numId w:val="1"/>
        </w:numPr>
      </w:pPr>
      <w:r>
        <w:rPr>
          <w:rFonts w:ascii="Calibri" w:hAnsi="Calibri"/>
        </w:rPr>
        <w:t xml:space="preserve">The final branch output may correlate naturally with other musical concepts, but it is supervised only with timbre descriptors.</w:t>
      </w:r>
    </w:p>
    <w:p>
      <w:pPr>
        <w:pStyle w:val="Heading1"/>
        <w:keepNext/>
      </w:pPr>
      <w:r>
        <w:rPr>
          <w:rFonts w:ascii="Calibri" w:hAnsi="Calibri"/>
        </w:rPr>
        <w:t xml:space="preserve">2. Dataset and data contract</w:t>
      </w:r>
    </w:p>
    <w:p>
      <w:pPr/>
      <w:r>
        <w:rPr>
          <w:rFonts w:ascii="Calibri" w:hAnsi="Calibri"/>
        </w:rPr>
        <w:t xml:space="preserve">The project metadata file data/split_csv.csv contains 7,324 MTG-Jamendo tracks. It supplies identifiers, relative audio paths, durations, source genre tags, instrument tags, and selected target genres. The selected genre set contains classical, electronic, folk, hip-hop, jazz, and rock; tracks may carry more than one target genre.</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2200"/>
        <w:gridCol w:w="7160"/>
      </w:tblGrid>
      <w:tr>
        <w:trPr>
          <w:tblHeader/>
          <w:cantSplit/>
        </w:trPr>
        <w:tc>
          <w:tcPr>
            <w:tcW w:w="2200" w:type="dxa"/>
            <w:shd w:val="clear" w:color="auto" w:fill="F4F6F9"/>
            <w:vAlign w:val="center"/>
          </w:tcPr>
          <w:p>
            <w:pPr>
              <w:spacing w:after="40"/>
            </w:pPr>
            <w:r>
              <w:rPr>
                <w:rFonts w:ascii="Calibri" w:hAnsi="Calibri"/>
                <w:b/>
              </w:rPr>
              <w:t xml:space="preserve">CSV field</w:t>
            </w:r>
          </w:p>
        </w:tc>
        <w:tc>
          <w:tcPr>
            <w:tcW w:w="7160" w:type="dxa"/>
            <w:shd w:val="clear" w:color="auto" w:fill="F4F6F9"/>
            <w:vAlign w:val="center"/>
          </w:tcPr>
          <w:p>
            <w:pPr>
              <w:spacing w:after="40"/>
            </w:pPr>
            <w:r>
              <w:rPr>
                <w:rFonts w:ascii="Calibri" w:hAnsi="Calibri"/>
                <w:b/>
              </w:rPr>
              <w:t xml:space="preserve">Role in this work</w:t>
            </w:r>
          </w:p>
        </w:tc>
      </w:tr>
      <w:tr>
        <w:trPr>
          <w:cantSplit/>
        </w:trPr>
        <w:tc>
          <w:tcPr>
            <w:tcW w:w="2200" w:type="dxa"/>
            <w:vAlign w:val="center"/>
          </w:tcPr>
          <w:p>
            <w:pPr>
              <w:spacing w:after="40"/>
            </w:pPr>
            <w:r>
              <w:rPr>
                <w:rFonts w:ascii="Calibri" w:hAnsi="Calibri"/>
              </w:rPr>
              <w:t xml:space="preserve">TRACK_ID</w:t>
            </w:r>
          </w:p>
        </w:tc>
        <w:tc>
          <w:tcPr>
            <w:tcW w:w="7160" w:type="dxa"/>
            <w:vAlign w:val="center"/>
          </w:tcPr>
          <w:p>
            <w:pPr>
              <w:spacing w:after="40"/>
            </w:pPr>
            <w:r>
              <w:rPr>
                <w:rFonts w:ascii="Calibri" w:hAnsi="Calibri"/>
              </w:rPr>
              <w:t xml:space="preserve">Stable key used to join extracted descriptors, encoder outputs, and predictions.</w:t>
            </w:r>
          </w:p>
        </w:tc>
      </w:tr>
      <w:tr>
        <w:trPr>
          <w:cantSplit/>
        </w:trPr>
        <w:tc>
          <w:tcPr>
            <w:tcW w:w="2200" w:type="dxa"/>
            <w:vAlign w:val="center"/>
          </w:tcPr>
          <w:p>
            <w:pPr>
              <w:spacing w:after="40"/>
            </w:pPr>
            <w:r>
              <w:rPr>
                <w:rFonts w:ascii="Calibri" w:hAnsi="Calibri"/>
              </w:rPr>
              <w:t xml:space="preserve">ARTIST_ID / ALBUM_ID</w:t>
            </w:r>
          </w:p>
        </w:tc>
        <w:tc>
          <w:tcPr>
            <w:tcW w:w="7160" w:type="dxa"/>
            <w:vAlign w:val="center"/>
          </w:tcPr>
          <w:p>
            <w:pPr>
              <w:spacing w:after="40"/>
            </w:pPr>
            <w:r>
              <w:rPr>
                <w:rFonts w:ascii="Calibri" w:hAnsi="Calibri"/>
              </w:rPr>
              <w:t xml:space="preserve">Useful for leakage-aware splitting and audit checks.</w:t>
            </w:r>
          </w:p>
        </w:tc>
      </w:tr>
      <w:tr>
        <w:trPr>
          <w:cantSplit/>
        </w:trPr>
        <w:tc>
          <w:tcPr>
            <w:tcW w:w="2200" w:type="dxa"/>
            <w:vAlign w:val="center"/>
          </w:tcPr>
          <w:p>
            <w:pPr>
              <w:spacing w:after="40"/>
            </w:pPr>
            <w:r>
              <w:rPr>
                <w:rFonts w:ascii="Calibri" w:hAnsi="Calibri"/>
              </w:rPr>
              <w:t xml:space="preserve">PATH</w:t>
            </w:r>
          </w:p>
        </w:tc>
        <w:tc>
          <w:tcPr>
            <w:tcW w:w="7160" w:type="dxa"/>
            <w:vAlign w:val="center"/>
          </w:tcPr>
          <w:p>
            <w:pPr>
              <w:spacing w:after="40"/>
            </w:pPr>
            <w:r>
              <w:rPr>
                <w:rFonts w:ascii="Calibri" w:hAnsi="Calibri"/>
              </w:rPr>
              <w:t xml:space="preserve">Relative MP3 path used to locate the waveform for d_true extraction.</w:t>
            </w:r>
          </w:p>
        </w:tc>
      </w:tr>
      <w:tr>
        <w:trPr>
          <w:cantSplit/>
        </w:trPr>
        <w:tc>
          <w:tcPr>
            <w:tcW w:w="2200" w:type="dxa"/>
            <w:vAlign w:val="center"/>
          </w:tcPr>
          <w:p>
            <w:pPr>
              <w:spacing w:after="40"/>
            </w:pPr>
            <w:r>
              <w:rPr>
                <w:rFonts w:ascii="Calibri" w:hAnsi="Calibri"/>
              </w:rPr>
              <w:t xml:space="preserve">DURATION</w:t>
            </w:r>
          </w:p>
        </w:tc>
        <w:tc>
          <w:tcPr>
            <w:tcW w:w="7160" w:type="dxa"/>
            <w:vAlign w:val="center"/>
          </w:tcPr>
          <w:p>
            <w:pPr>
              <w:spacing w:after="40"/>
            </w:pPr>
            <w:r>
              <w:rPr>
                <w:rFonts w:ascii="Calibri" w:hAnsi="Calibri"/>
              </w:rPr>
              <w:t xml:space="preserve">Supports validation of decoded audio length and extraction coverage.</w:t>
            </w:r>
          </w:p>
        </w:tc>
      </w:tr>
      <w:tr>
        <w:trPr>
          <w:cantSplit/>
        </w:trPr>
        <w:tc>
          <w:tcPr>
            <w:tcW w:w="2200" w:type="dxa"/>
            <w:vAlign w:val="center"/>
          </w:tcPr>
          <w:p>
            <w:pPr>
              <w:spacing w:after="40"/>
            </w:pPr>
            <w:r>
              <w:rPr>
                <w:rFonts w:ascii="Calibri" w:hAnsi="Calibri"/>
              </w:rPr>
              <w:t xml:space="preserve">genres / target_genres</w:t>
            </w:r>
          </w:p>
        </w:tc>
        <w:tc>
          <w:tcPr>
            <w:tcW w:w="7160" w:type="dxa"/>
            <w:vAlign w:val="center"/>
          </w:tcPr>
          <w:p>
            <w:pPr>
              <w:spacing w:after="40"/>
            </w:pPr>
            <w:r>
              <w:rPr>
                <w:rFonts w:ascii="Calibri" w:hAnsi="Calibri"/>
              </w:rPr>
              <w:t xml:space="preserve">Genre annotations used by the final classifier, not by the timbre target extractor.</w:t>
            </w:r>
          </w:p>
        </w:tc>
      </w:tr>
      <w:tr>
        <w:trPr>
          <w:cantSplit/>
        </w:trPr>
        <w:tc>
          <w:tcPr>
            <w:tcW w:w="2200" w:type="dxa"/>
            <w:vAlign w:val="center"/>
          </w:tcPr>
          <w:p>
            <w:pPr>
              <w:spacing w:after="40"/>
            </w:pPr>
            <w:r>
              <w:rPr>
                <w:rFonts w:ascii="Calibri" w:hAnsi="Calibri"/>
              </w:rPr>
              <w:t xml:space="preserve">instruments</w:t>
            </w:r>
          </w:p>
        </w:tc>
        <w:tc>
          <w:tcPr>
            <w:tcW w:w="7160" w:type="dxa"/>
            <w:vAlign w:val="center"/>
          </w:tcPr>
          <w:p>
            <w:pPr>
              <w:spacing w:after="40"/>
            </w:pPr>
            <w:r>
              <w:rPr>
                <w:rFonts w:ascii="Calibri" w:hAnsi="Calibri"/>
              </w:rPr>
              <w:t xml:space="preserve">Annotations owned by the separate instrument branch.</w:t>
            </w:r>
          </w:p>
        </w:tc>
      </w:tr>
    </w:tbl>
    <w:p>
      <w:pPr/>
      <w:r>
        <w:rPr>
          <w:rFonts w:ascii="Calibri" w:hAnsi="Calibri"/>
        </w:rPr>
        <w:t xml:space="preserve">The CSV does not itself contain d_true. It is an index: each PATH leads to an audio file, and the offline extractor calculates the 35 acoustic targets from that waveform. This distinction matters because descriptors derived from labels would leak classification information, whereas descriptors calculated from audio are concept supervision.</w:t>
      </w:r>
    </w:p>
    <w:p>
      <w:pPr>
        <w:pStyle w:val="Heading1"/>
        <w:keepNext/>
      </w:pPr>
      <w:r>
        <w:rPr>
          <w:rFonts w:ascii="Calibri" w:hAnsi="Calibri"/>
        </w:rPr>
        <w:t xml:space="preserve">3. End-to-end timbre data flow</w:t>
      </w:r>
    </w:p>
    <w:p>
      <w:pPr>
        <w:pStyle w:val="Code"/>
        <w:spacing w:after="0"/>
        <w:keepNext/>
        <w:shd w:val="clear" w:color="auto" w:fill="F2F4F7"/>
      </w:pPr>
      <w:r>
        <w:rPr>
          <w:rFonts w:ascii="Calibri" w:hAnsi="Calibri"/>
        </w:rPr>
        <w:t xml:space="preserve">Audio path from split_csv.csv</w:t>
      </w:r>
    </w:p>
    <w:p>
      <w:pPr>
        <w:pStyle w:val="Code"/>
        <w:spacing w:after="0"/>
        <w:keepNext/>
        <w:shd w:val="clear" w:color="auto" w:fill="F2F4F7"/>
      </w:pPr>
      <w:r>
        <w:rPr>
          <w:rFonts w:ascii="Calibri" w:hAnsi="Calibri"/>
        </w:rPr>
        <w:t xml:space="preserve">    -&gt; waveform decoding and timbre extraction -&gt; d_true [35]</w:t>
      </w:r>
    </w:p>
    <w:p>
      <w:pPr>
        <w:pStyle w:val="Code"/>
        <w:spacing w:after="0"/>
        <w:keepNext/>
        <w:shd w:val="clear" w:color="auto" w:fill="F2F4F7"/>
      </w:pPr>
      <w:r>
        <w:rPr>
          <w:rFonts w:ascii="Calibri" w:hAnsi="Calibri"/>
        </w:rPr>
        <w:t xml:space="preserve">    -&gt; Mel spectrogram -&gt; shared CNN -&gt; h_audio [128]</w:t>
      </w:r>
    </w:p>
    <w:p>
      <w:pPr>
        <w:pStyle w:val="Code"/>
        <w:spacing w:after="0"/>
        <w:keepNext/>
        <w:shd w:val="clear" w:color="auto" w:fill="F2F4F7"/>
      </w:pPr>
      <w:r>
        <w:rPr>
          <w:rFonts w:ascii="Calibri" w:hAnsi="Calibri"/>
        </w:rPr>
        <w:t xml:space="preserve">    -&gt; TimbreHead(h_audio) -&gt; d_hat [35]</w:t>
      </w:r>
    </w:p>
    <w:p>
      <w:pPr>
        <w:pStyle w:val="Code"/>
        <w:spacing w:after="0"/>
        <w:keepNext/>
        <w:shd w:val="clear" w:color="auto" w:fill="F2F4F7"/>
      </w:pPr>
      <w:r>
        <w:rPr>
          <w:rFonts w:ascii="Calibri" w:hAnsi="Calibri"/>
        </w:rPr>
        <w:t xml:space="preserve">    -&gt; optional Linear(35, 32) -&gt; z_timbre [32]</w:t>
      </w:r>
    </w:p>
    <w:p>
      <w:pPr>
        <w:pStyle w:val="Code"/>
        <w:spacing w:after="160"/>
        <w:shd w:val="clear" w:color="auto" w:fill="F2F4F7"/>
      </w:pPr>
      <w:r>
        <w:rPr>
          <w:rFonts w:ascii="Calibri" w:hAnsi="Calibri"/>
        </w:rPr>
        <w:t xml:space="preserve">    -&gt; multimodal/concept fusion -&gt; multi-label genre prediction</w:t>
      </w:r>
    </w:p>
    <w:p>
      <w:pPr/>
      <w:r>
        <w:rPr>
          <w:rFonts w:ascii="Calibri" w:hAnsi="Calibri"/>
        </w:rPr>
        <w:t xml:space="preserve">The two paths meet during training. The waveform path supplies measurable supervision, while the shared-CNN path produces the predicted concepts. At inference, the learned branch can estimate the concepts from the shared representation.</w:t>
      </w:r>
    </w:p>
    <w:p>
      <w:pPr>
        <w:pStyle w:val="Heading1"/>
        <w:keepNext/>
      </w:pPr>
      <w:r>
        <w:rPr>
          <w:rFonts w:ascii="Calibri" w:hAnsi="Calibri"/>
        </w:rPr>
        <w:t xml:space="preserve">4. Ground-truth timbre concepts</w:t>
      </w:r>
    </w:p>
    <w:p>
      <w:pPr/>
      <w:r>
        <w:rPr>
          <w:rFonts w:ascii="Calibri" w:hAnsi="Calibri"/>
        </w:rPr>
        <w:t xml:space="preserve">The target vector has exactly 35 dimensions divided into three interpretable groups.</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1650"/>
        <w:gridCol w:w="3450"/>
        <w:gridCol w:w="950"/>
        <w:gridCol w:w="3310"/>
      </w:tblGrid>
      <w:tr>
        <w:trPr>
          <w:tblHeader/>
          <w:cantSplit/>
        </w:trPr>
        <w:tc>
          <w:tcPr>
            <w:tcW w:w="1650" w:type="dxa"/>
            <w:shd w:val="clear" w:color="auto" w:fill="F4F6F9"/>
            <w:vAlign w:val="center"/>
          </w:tcPr>
          <w:p>
            <w:pPr>
              <w:spacing w:after="40"/>
            </w:pPr>
            <w:r>
              <w:rPr>
                <w:rFonts w:ascii="Calibri" w:hAnsi="Calibri"/>
                <w:b/>
              </w:rPr>
              <w:t xml:space="preserve">Concept group</w:t>
            </w:r>
          </w:p>
        </w:tc>
        <w:tc>
          <w:tcPr>
            <w:tcW w:w="3450" w:type="dxa"/>
            <w:shd w:val="clear" w:color="auto" w:fill="F4F6F9"/>
            <w:vAlign w:val="center"/>
          </w:tcPr>
          <w:p>
            <w:pPr>
              <w:spacing w:after="40"/>
            </w:pPr>
            <w:r>
              <w:rPr>
                <w:rFonts w:ascii="Calibri" w:hAnsi="Calibri"/>
                <w:b/>
              </w:rPr>
              <w:t xml:space="preserve">Features</w:t>
            </w:r>
          </w:p>
        </w:tc>
        <w:tc>
          <w:tcPr>
            <w:tcW w:w="950" w:type="dxa"/>
            <w:shd w:val="clear" w:color="auto" w:fill="F4F6F9"/>
            <w:vAlign w:val="center"/>
          </w:tcPr>
          <w:p>
            <w:pPr>
              <w:spacing w:after="40"/>
            </w:pPr>
            <w:r>
              <w:rPr>
                <w:rFonts w:ascii="Calibri" w:hAnsi="Calibri"/>
                <w:b/>
              </w:rPr>
              <w:t xml:space="preserve">Dimensions</w:t>
            </w:r>
          </w:p>
        </w:tc>
        <w:tc>
          <w:tcPr>
            <w:tcW w:w="3310" w:type="dxa"/>
            <w:shd w:val="clear" w:color="auto" w:fill="F4F6F9"/>
            <w:vAlign w:val="center"/>
          </w:tcPr>
          <w:p>
            <w:pPr>
              <w:spacing w:after="40"/>
            </w:pPr>
            <w:r>
              <w:rPr>
                <w:rFonts w:ascii="Calibri" w:hAnsi="Calibri"/>
                <w:b/>
              </w:rPr>
              <w:t xml:space="preserve">Interpretation</w:t>
            </w:r>
          </w:p>
        </w:tc>
      </w:tr>
      <w:tr>
        <w:trPr>
          <w:cantSplit/>
        </w:trPr>
        <w:tc>
          <w:tcPr>
            <w:tcW w:w="1650" w:type="dxa"/>
            <w:vAlign w:val="center"/>
          </w:tcPr>
          <w:p>
            <w:pPr>
              <w:spacing w:after="40"/>
            </w:pPr>
            <w:r>
              <w:rPr>
                <w:rFonts w:ascii="Calibri" w:hAnsi="Calibri"/>
              </w:rPr>
              <w:t xml:space="preserve">Spectral shape</w:t>
            </w:r>
          </w:p>
        </w:tc>
        <w:tc>
          <w:tcPr>
            <w:tcW w:w="3450" w:type="dxa"/>
            <w:vAlign w:val="center"/>
          </w:tcPr>
          <w:p>
            <w:pPr>
              <w:spacing w:after="40"/>
            </w:pPr>
            <w:r>
              <w:rPr>
                <w:rFonts w:ascii="Calibri" w:hAnsi="Calibri"/>
              </w:rPr>
              <w:t xml:space="preserve">Centroid mean/std; bandwidth mean/std; contrast; flatness; roll-off</w:t>
            </w:r>
          </w:p>
        </w:tc>
        <w:tc>
          <w:tcPr>
            <w:tcW w:w="950" w:type="dxa"/>
            <w:vAlign w:val="center"/>
          </w:tcPr>
          <w:p>
            <w:pPr>
              <w:spacing w:after="40"/>
            </w:pPr>
            <w:r>
              <w:rPr>
                <w:rFonts w:ascii="Calibri" w:hAnsi="Calibri"/>
              </w:rPr>
              <w:t xml:space="preserve">7</w:t>
            </w:r>
          </w:p>
        </w:tc>
        <w:tc>
          <w:tcPr>
            <w:tcW w:w="3310" w:type="dxa"/>
            <w:vAlign w:val="center"/>
          </w:tcPr>
          <w:p>
            <w:pPr>
              <w:spacing w:after="40"/>
            </w:pPr>
            <w:r>
              <w:rPr>
                <w:rFonts w:ascii="Calibri" w:hAnsi="Calibri"/>
              </w:rPr>
              <w:t xml:space="preserve">Brightness, spread, peak-to-valley structure, noisiness, and high-frequency extent.</w:t>
            </w:r>
          </w:p>
        </w:tc>
      </w:tr>
      <w:tr>
        <w:trPr>
          <w:cantSplit/>
        </w:trPr>
        <w:tc>
          <w:tcPr>
            <w:tcW w:w="1650" w:type="dxa"/>
            <w:vAlign w:val="center"/>
          </w:tcPr>
          <w:p>
            <w:pPr>
              <w:spacing w:after="40"/>
            </w:pPr>
            <w:r>
              <w:rPr>
                <w:rFonts w:ascii="Calibri" w:hAnsi="Calibri"/>
              </w:rPr>
              <w:t xml:space="preserve">Harmonic/noise</w:t>
            </w:r>
          </w:p>
        </w:tc>
        <w:tc>
          <w:tcPr>
            <w:tcW w:w="3450" w:type="dxa"/>
            <w:vAlign w:val="center"/>
          </w:tcPr>
          <w:p>
            <w:pPr>
              <w:spacing w:after="40"/>
            </w:pPr>
            <w:r>
              <w:rPr>
                <w:rFonts w:ascii="Calibri" w:hAnsi="Calibri"/>
              </w:rPr>
              <w:t xml:space="preserve">Harmonic-to-noise ratio; inharmonicity</w:t>
            </w:r>
          </w:p>
        </w:tc>
        <w:tc>
          <w:tcPr>
            <w:tcW w:w="950" w:type="dxa"/>
            <w:vAlign w:val="center"/>
          </w:tcPr>
          <w:p>
            <w:pPr>
              <w:spacing w:after="40"/>
            </w:pPr>
            <w:r>
              <w:rPr>
                <w:rFonts w:ascii="Calibri" w:hAnsi="Calibri"/>
              </w:rPr>
              <w:t xml:space="preserve">2</w:t>
            </w:r>
          </w:p>
        </w:tc>
        <w:tc>
          <w:tcPr>
            <w:tcW w:w="3310" w:type="dxa"/>
            <w:vAlign w:val="center"/>
          </w:tcPr>
          <w:p>
            <w:pPr>
              <w:spacing w:after="40"/>
            </w:pPr>
            <w:r>
              <w:rPr>
                <w:rFonts w:ascii="Calibri" w:hAnsi="Calibri"/>
              </w:rPr>
              <w:t xml:space="preserve">Harmonic regularity, noisiness, and deviation from ideal harmonic partials.</w:t>
            </w:r>
          </w:p>
        </w:tc>
      </w:tr>
      <w:tr>
        <w:trPr>
          <w:cantSplit/>
        </w:trPr>
        <w:tc>
          <w:tcPr>
            <w:tcW w:w="1650" w:type="dxa"/>
            <w:vAlign w:val="center"/>
          </w:tcPr>
          <w:p>
            <w:pPr>
              <w:spacing w:after="40"/>
            </w:pPr>
            <w:r>
              <w:rPr>
                <w:rFonts w:ascii="Calibri" w:hAnsi="Calibri"/>
              </w:rPr>
              <w:t xml:space="preserve">Spectral envelope</w:t>
            </w:r>
          </w:p>
        </w:tc>
        <w:tc>
          <w:tcPr>
            <w:tcW w:w="3450" w:type="dxa"/>
            <w:vAlign w:val="center"/>
          </w:tcPr>
          <w:p>
            <w:pPr>
              <w:spacing w:after="40"/>
            </w:pPr>
            <w:r>
              <w:rPr>
                <w:rFonts w:ascii="Calibri" w:hAnsi="Calibri"/>
              </w:rPr>
              <w:t xml:space="preserve">MFCC 1-13 mean and standard deviation</w:t>
            </w:r>
          </w:p>
        </w:tc>
        <w:tc>
          <w:tcPr>
            <w:tcW w:w="950" w:type="dxa"/>
            <w:vAlign w:val="center"/>
          </w:tcPr>
          <w:p>
            <w:pPr>
              <w:spacing w:after="40"/>
            </w:pPr>
            <w:r>
              <w:rPr>
                <w:rFonts w:ascii="Calibri" w:hAnsi="Calibri"/>
              </w:rPr>
              <w:t xml:space="preserve">26</w:t>
            </w:r>
          </w:p>
        </w:tc>
        <w:tc>
          <w:tcPr>
            <w:tcW w:w="3310" w:type="dxa"/>
            <w:vAlign w:val="center"/>
          </w:tcPr>
          <w:p>
            <w:pPr>
              <w:spacing w:after="40"/>
            </w:pPr>
            <w:r>
              <w:rPr>
                <w:rFonts w:ascii="Calibri" w:hAnsi="Calibri"/>
              </w:rPr>
              <w:t xml:space="preserve">Broad tone-color envelope and its temporal variation.</w:t>
            </w:r>
          </w:p>
        </w:tc>
      </w:tr>
    </w:tbl>
    <w:p>
      <w:pPr>
        <w:pStyle w:val="Heading2"/>
        <w:keepNext/>
      </w:pPr>
      <w:r>
        <w:rPr>
          <w:rFonts w:ascii="Calibri" w:hAnsi="Calibri"/>
        </w:rPr>
        <w:t xml:space="preserve">4.1 Why these features were selected</w:t>
      </w:r>
    </w:p>
    <w:p>
      <w:pPr/>
      <w:r>
        <w:rPr>
          <w:rFonts w:ascii="Calibri" w:hAnsi="Calibri"/>
        </w:rPr>
        <w:t xml:space="preserve">The set is compact enough to supervise reliably on a moderate dataset, but broad enough to cover complementary timbral properties. Mean and standard deviation are retained for centroid, bandwidth, and MFCCs because a track's timbre can vary between sections. Contrast, flatness, roll-off, HNR, and inharmonicity are represented by robust track-level aggregates to retain the agreed 35-dimensional interface.</w:t>
      </w:r>
    </w:p>
    <w:p>
      <w:pPr/>
      <w:r>
        <w:rPr>
          <w:rFonts w:ascii="Calibri" w:hAnsi="Calibri"/>
        </w:rPr>
        <w:t xml:space="preserve">No RMS loudness feature is included because absolute level can be dominated by mastering. No spectral-flux target is included because it can strongly encode temporal change and overlap with the rhythm branch.</w:t>
      </w:r>
    </w:p>
    <w:p>
      <w:pPr>
        <w:pStyle w:val="Heading1"/>
        <w:keepNext/>
      </w:pPr>
      <w:r>
        <w:rPr>
          <w:rFonts w:ascii="Calibri" w:hAnsi="Calibri"/>
        </w:rPr>
        <w:t xml:space="preserve">5. Offline feature extraction</w:t>
      </w:r>
    </w:p>
    <w:p>
      <w:pPr>
        <w:pStyle w:val="Heading2"/>
        <w:keepNext/>
      </w:pPr>
      <w:r>
        <w:rPr>
          <w:rFonts w:ascii="Calibri" w:hAnsi="Calibri"/>
        </w:rPr>
        <w:t xml:space="preserve">5.1 Audio preprocessing</w:t>
      </w:r>
    </w:p>
    <w:p>
      <w:pPr>
        <w:spacing w:after="80"/>
        <w:numPr>
          <w:ilvl w:val="0"/>
          <w:numId w:val="3"/>
        </w:numPr>
      </w:pPr>
      <w:r>
        <w:rPr>
          <w:rFonts w:ascii="Calibri" w:hAnsi="Calibri"/>
        </w:rPr>
        <w:t xml:space="preserve">Decode each MP3 referenced by PATH and confirm that the decoded duration is plausible relative to DURATION.</w:t>
      </w:r>
    </w:p>
    <w:p>
      <w:pPr>
        <w:spacing w:after="80"/>
        <w:numPr>
          <w:ilvl w:val="0"/>
          <w:numId w:val="3"/>
        </w:numPr>
      </w:pPr>
      <w:r>
        <w:rPr>
          <w:rFonts w:ascii="Calibri" w:hAnsi="Calibri"/>
        </w:rPr>
        <w:t xml:space="preserve">Convert stereo audio to mono using channel averaging.</w:t>
      </w:r>
    </w:p>
    <w:p>
      <w:pPr>
        <w:spacing w:after="80"/>
        <w:numPr>
          <w:ilvl w:val="0"/>
          <w:numId w:val="3"/>
        </w:numPr>
      </w:pPr>
      <w:r>
        <w:rPr>
          <w:rFonts w:ascii="Calibri" w:hAnsi="Calibri"/>
        </w:rPr>
        <w:t xml:space="preserve">Resample consistently to 22,050 Hz.</w:t>
      </w:r>
    </w:p>
    <w:p>
      <w:pPr>
        <w:spacing w:after="80"/>
        <w:numPr>
          <w:ilvl w:val="0"/>
          <w:numId w:val="3"/>
        </w:numPr>
      </w:pPr>
      <w:r>
        <w:rPr>
          <w:rFonts w:ascii="Calibri" w:hAnsi="Calibri"/>
        </w:rPr>
        <w:t xml:space="preserve">Use a 2,048-sample Hann analysis window and a 512-sample hop as the initial reproducible configuration.</w:t>
      </w:r>
    </w:p>
    <w:p>
      <w:pPr>
        <w:spacing w:after="80"/>
        <w:numPr>
          <w:ilvl w:val="0"/>
          <w:numId w:val="3"/>
        </w:numPr>
      </w:pPr>
      <w:r>
        <w:rPr>
          <w:rFonts w:ascii="Calibri" w:hAnsi="Calibri"/>
        </w:rPr>
        <w:t xml:space="preserve">Detect and exclude long silent or extremely low-energy frames from HNR and inharmonicity aggregation.</w:t>
      </w:r>
    </w:p>
    <w:p>
      <w:pPr>
        <w:spacing w:after="80"/>
        <w:numPr>
          <w:ilvl w:val="0"/>
          <w:numId w:val="3"/>
        </w:numPr>
      </w:pPr>
      <w:r>
        <w:rPr>
          <w:rFonts w:ascii="Calibri" w:hAnsi="Calibri"/>
        </w:rPr>
        <w:t xml:space="preserve">Preserve one extraction configuration for all splits and save it with the experiment artifacts.</w:t>
      </w:r>
    </w:p>
    <w:p>
      <w:pPr>
        <w:pStyle w:val="Heading2"/>
        <w:keepNext/>
      </w:pPr>
      <w:r>
        <w:rPr>
          <w:rFonts w:ascii="Calibri" w:hAnsi="Calibri"/>
        </w:rPr>
        <w:t xml:space="preserve">5.2 Track coverage</w:t>
      </w:r>
    </w:p>
    <w:p>
      <w:pPr/>
      <w:r>
        <w:rPr>
          <w:rFonts w:ascii="Calibri" w:hAnsi="Calibri"/>
        </w:rPr>
        <w:t xml:space="preserve">Because the shared encoder produces a track representation, the target descriptors should summarize the track rather than an arbitrary opening segment. Full-track extraction is preferred when compute permits. A reproducible alternative is to sample fixed-duration windows uniformly across the beginning, middle, and end, compute frame-level descriptors within every window, and aggregate all valid frames.</w:t>
      </w:r>
    </w:p>
    <w:p>
      <w:pPr>
        <w:pStyle w:val="Heading2"/>
        <w:keepNext/>
      </w:pPr>
      <w:r>
        <w:rPr>
          <w:rFonts w:ascii="Calibri" w:hAnsi="Calibri"/>
        </w:rPr>
        <w:t xml:space="preserve">5.3 Descriptor aggregation</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2800"/>
        <w:gridCol w:w="6560"/>
      </w:tblGrid>
      <w:tr>
        <w:trPr>
          <w:tblHeader/>
          <w:cantSplit/>
        </w:trPr>
        <w:tc>
          <w:tcPr>
            <w:tcW w:w="2800" w:type="dxa"/>
            <w:shd w:val="clear" w:color="auto" w:fill="F4F6F9"/>
            <w:vAlign w:val="center"/>
          </w:tcPr>
          <w:p>
            <w:pPr>
              <w:spacing w:after="40"/>
            </w:pPr>
            <w:r>
              <w:rPr>
                <w:rFonts w:ascii="Calibri" w:hAnsi="Calibri"/>
                <w:b/>
              </w:rPr>
              <w:t xml:space="preserve">Descriptor</w:t>
            </w:r>
          </w:p>
        </w:tc>
        <w:tc>
          <w:tcPr>
            <w:tcW w:w="6560" w:type="dxa"/>
            <w:shd w:val="clear" w:color="auto" w:fill="F4F6F9"/>
            <w:vAlign w:val="center"/>
          </w:tcPr>
          <w:p>
            <w:pPr>
              <w:spacing w:after="40"/>
            </w:pPr>
            <w:r>
              <w:rPr>
                <w:rFonts w:ascii="Calibri" w:hAnsi="Calibri"/>
                <w:b/>
              </w:rPr>
              <w:t xml:space="preserve">Track statistic</w:t>
            </w:r>
          </w:p>
        </w:tc>
      </w:tr>
      <w:tr>
        <w:trPr>
          <w:cantSplit/>
        </w:trPr>
        <w:tc>
          <w:tcPr>
            <w:tcW w:w="2800" w:type="dxa"/>
            <w:vAlign w:val="center"/>
          </w:tcPr>
          <w:p>
            <w:pPr>
              <w:spacing w:after="40"/>
            </w:pPr>
            <w:r>
              <w:rPr>
                <w:rFonts w:ascii="Calibri" w:hAnsi="Calibri"/>
              </w:rPr>
              <w:t xml:space="preserve">Spectral centroid</w:t>
            </w:r>
          </w:p>
        </w:tc>
        <w:tc>
          <w:tcPr>
            <w:tcW w:w="6560" w:type="dxa"/>
            <w:vAlign w:val="center"/>
          </w:tcPr>
          <w:p>
            <w:pPr>
              <w:spacing w:after="40"/>
            </w:pPr>
            <w:r>
              <w:rPr>
                <w:rFonts w:ascii="Calibri" w:hAnsi="Calibri"/>
              </w:rPr>
              <w:t xml:space="preserve">Mean and standard deviation over valid frames.</w:t>
            </w:r>
          </w:p>
        </w:tc>
      </w:tr>
      <w:tr>
        <w:trPr>
          <w:cantSplit/>
        </w:trPr>
        <w:tc>
          <w:tcPr>
            <w:tcW w:w="2800" w:type="dxa"/>
            <w:vAlign w:val="center"/>
          </w:tcPr>
          <w:p>
            <w:pPr>
              <w:spacing w:after="40"/>
            </w:pPr>
            <w:r>
              <w:rPr>
                <w:rFonts w:ascii="Calibri" w:hAnsi="Calibri"/>
              </w:rPr>
              <w:t xml:space="preserve">Spectral bandwidth</w:t>
            </w:r>
          </w:p>
        </w:tc>
        <w:tc>
          <w:tcPr>
            <w:tcW w:w="6560" w:type="dxa"/>
            <w:vAlign w:val="center"/>
          </w:tcPr>
          <w:p>
            <w:pPr>
              <w:spacing w:after="40"/>
            </w:pPr>
            <w:r>
              <w:rPr>
                <w:rFonts w:ascii="Calibri" w:hAnsi="Calibri"/>
              </w:rPr>
              <w:t xml:space="preserve">Mean and standard deviation over valid frames.</w:t>
            </w:r>
          </w:p>
        </w:tc>
      </w:tr>
      <w:tr>
        <w:trPr>
          <w:cantSplit/>
        </w:trPr>
        <w:tc>
          <w:tcPr>
            <w:tcW w:w="2800" w:type="dxa"/>
            <w:vAlign w:val="center"/>
          </w:tcPr>
          <w:p>
            <w:pPr>
              <w:spacing w:after="40"/>
            </w:pPr>
            <w:r>
              <w:rPr>
                <w:rFonts w:ascii="Calibri" w:hAnsi="Calibri"/>
              </w:rPr>
              <w:t xml:space="preserve">Spectral contrast</w:t>
            </w:r>
          </w:p>
        </w:tc>
        <w:tc>
          <w:tcPr>
            <w:tcW w:w="6560" w:type="dxa"/>
            <w:vAlign w:val="center"/>
          </w:tcPr>
          <w:p>
            <w:pPr>
              <w:spacing w:after="40"/>
            </w:pPr>
            <w:r>
              <w:rPr>
                <w:rFonts w:ascii="Calibri" w:hAnsi="Calibri"/>
              </w:rPr>
              <w:t xml:space="preserve">Mean over time and, for a single-value contract, mean over frequency bands.</w:t>
            </w:r>
          </w:p>
        </w:tc>
      </w:tr>
      <w:tr>
        <w:trPr>
          <w:cantSplit/>
        </w:trPr>
        <w:tc>
          <w:tcPr>
            <w:tcW w:w="2800" w:type="dxa"/>
            <w:vAlign w:val="center"/>
          </w:tcPr>
          <w:p>
            <w:pPr>
              <w:spacing w:after="40"/>
            </w:pPr>
            <w:r>
              <w:rPr>
                <w:rFonts w:ascii="Calibri" w:hAnsi="Calibri"/>
              </w:rPr>
              <w:t xml:space="preserve">Spectral flatness</w:t>
            </w:r>
          </w:p>
        </w:tc>
        <w:tc>
          <w:tcPr>
            <w:tcW w:w="6560" w:type="dxa"/>
            <w:vAlign w:val="center"/>
          </w:tcPr>
          <w:p>
            <w:pPr>
              <w:spacing w:after="40"/>
            </w:pPr>
            <w:r>
              <w:rPr>
                <w:rFonts w:ascii="Calibri" w:hAnsi="Calibri"/>
              </w:rPr>
              <w:t xml:space="preserve">Mean over valid non-silent frames.</w:t>
            </w:r>
          </w:p>
        </w:tc>
      </w:tr>
      <w:tr>
        <w:trPr>
          <w:cantSplit/>
        </w:trPr>
        <w:tc>
          <w:tcPr>
            <w:tcW w:w="2800" w:type="dxa"/>
            <w:vAlign w:val="center"/>
          </w:tcPr>
          <w:p>
            <w:pPr>
              <w:spacing w:after="40"/>
            </w:pPr>
            <w:r>
              <w:rPr>
                <w:rFonts w:ascii="Calibri" w:hAnsi="Calibri"/>
              </w:rPr>
              <w:t xml:space="preserve">Spectral roll-off</w:t>
            </w:r>
          </w:p>
        </w:tc>
        <w:tc>
          <w:tcPr>
            <w:tcW w:w="6560" w:type="dxa"/>
            <w:vAlign w:val="center"/>
          </w:tcPr>
          <w:p>
            <w:pPr>
              <w:spacing w:after="40"/>
            </w:pPr>
            <w:r>
              <w:rPr>
                <w:rFonts w:ascii="Calibri" w:hAnsi="Calibri"/>
              </w:rPr>
              <w:t xml:space="preserve">Mean 85% roll-off frequency over valid frames.</w:t>
            </w:r>
          </w:p>
        </w:tc>
      </w:tr>
      <w:tr>
        <w:trPr>
          <w:cantSplit/>
        </w:trPr>
        <w:tc>
          <w:tcPr>
            <w:tcW w:w="2800" w:type="dxa"/>
            <w:vAlign w:val="center"/>
          </w:tcPr>
          <w:p>
            <w:pPr>
              <w:spacing w:after="40"/>
            </w:pPr>
            <w:r>
              <w:rPr>
                <w:rFonts w:ascii="Calibri" w:hAnsi="Calibri"/>
              </w:rPr>
              <w:t xml:space="preserve">HNR</w:t>
            </w:r>
          </w:p>
        </w:tc>
        <w:tc>
          <w:tcPr>
            <w:tcW w:w="6560" w:type="dxa"/>
            <w:vAlign w:val="center"/>
          </w:tcPr>
          <w:p>
            <w:pPr>
              <w:spacing w:after="40"/>
            </w:pPr>
            <w:r>
              <w:rPr>
                <w:rFonts w:ascii="Calibri" w:hAnsi="Calibri"/>
              </w:rPr>
              <w:t xml:space="preserve">Robust mean in dB over frames with a valid periodicity estimate.</w:t>
            </w:r>
          </w:p>
        </w:tc>
      </w:tr>
      <w:tr>
        <w:trPr>
          <w:cantSplit/>
        </w:trPr>
        <w:tc>
          <w:tcPr>
            <w:tcW w:w="2800" w:type="dxa"/>
            <w:vAlign w:val="center"/>
          </w:tcPr>
          <w:p>
            <w:pPr>
              <w:spacing w:after="40"/>
            </w:pPr>
            <w:r>
              <w:rPr>
                <w:rFonts w:ascii="Calibri" w:hAnsi="Calibri"/>
              </w:rPr>
              <w:t xml:space="preserve">Inharmonicity</w:t>
            </w:r>
          </w:p>
        </w:tc>
        <w:tc>
          <w:tcPr>
            <w:tcW w:w="6560" w:type="dxa"/>
            <w:vAlign w:val="center"/>
          </w:tcPr>
          <w:p>
            <w:pPr>
              <w:spacing w:after="40"/>
            </w:pPr>
            <w:r>
              <w:rPr>
                <w:rFonts w:ascii="Calibri" w:hAnsi="Calibri"/>
              </w:rPr>
              <w:t xml:space="preserve">Robust mean over frames with reliable partial estimates.</w:t>
            </w:r>
          </w:p>
        </w:tc>
      </w:tr>
      <w:tr>
        <w:trPr>
          <w:cantSplit/>
        </w:trPr>
        <w:tc>
          <w:tcPr>
            <w:tcW w:w="2800" w:type="dxa"/>
            <w:vAlign w:val="center"/>
          </w:tcPr>
          <w:p>
            <w:pPr>
              <w:spacing w:after="40"/>
            </w:pPr>
            <w:r>
              <w:rPr>
                <w:rFonts w:ascii="Calibri" w:hAnsi="Calibri"/>
              </w:rPr>
              <w:t xml:space="preserve">MFCC 1-13</w:t>
            </w:r>
          </w:p>
        </w:tc>
        <w:tc>
          <w:tcPr>
            <w:tcW w:w="6560" w:type="dxa"/>
            <w:vAlign w:val="center"/>
          </w:tcPr>
          <w:p>
            <w:pPr>
              <w:spacing w:after="40"/>
            </w:pPr>
            <w:r>
              <w:rPr>
                <w:rFonts w:ascii="Calibri" w:hAnsi="Calibri"/>
              </w:rPr>
              <w:t xml:space="preserve">Mean and standard deviation of each coefficient over valid frames.</w:t>
            </w:r>
          </w:p>
        </w:tc>
      </w:tr>
    </w:tbl>
    <w:p>
      <w:pPr>
        <w:pStyle w:val="Heading2"/>
        <w:keepNext/>
      </w:pPr>
      <w:r>
        <w:rPr>
          <w:rFonts w:ascii="Calibri" w:hAnsi="Calibri"/>
        </w:rPr>
        <w:t xml:space="preserve">5.4 Missing and unreliable values</w:t>
      </w:r>
    </w:p>
    <w:p>
      <w:pPr/>
      <w:r>
        <w:rPr>
          <w:rFonts w:ascii="Calibri" w:hAnsi="Calibri"/>
        </w:rPr>
        <w:t xml:space="preserve">Dense polyphonic passages can make HNR or inharmonicity unreliable. Each feature therefore requires a validity mask. Invalid values must not be silently converted to zero, because zero is the training mean after standardization and has semantic meaning. The loss should ignore unavailable target dimensions while retaining the remaining valid supervision.</w:t>
      </w:r>
    </w:p>
    <w:p>
      <w:pPr>
        <w:pStyle w:val="Heading2"/>
        <w:keepNext/>
      </w:pPr>
      <w:r>
        <w:rPr>
          <w:rFonts w:ascii="Calibri" w:hAnsi="Calibri"/>
        </w:rPr>
        <w:t xml:space="preserve">5.5 Standardization without leakage</w:t>
      </w:r>
    </w:p>
    <w:p>
      <w:pPr>
        <w:pStyle w:val="Code"/>
        <w:spacing w:after="0"/>
        <w:keepNext/>
        <w:shd w:val="clear" w:color="auto" w:fill="F2F4F7"/>
      </w:pPr>
      <w:r>
        <w:rPr>
          <w:rFonts w:ascii="Calibri" w:hAnsi="Calibri"/>
        </w:rPr>
        <w:t xml:space="preserve">d_standardized[i, j] = (d[i, j] - train_mean[j]) / (train_std[j] + epsilon)</w:t>
      </w:r>
    </w:p>
    <w:p>
      <w:pPr>
        <w:pStyle w:val="Code"/>
        <w:spacing w:after="0"/>
        <w:keepNext/>
        <w:shd w:val="clear" w:color="auto" w:fill="F2F4F7"/>
      </w:pPr>
      <w:r>
        <w:rPr>
          <w:rFonts w:ascii="Calibri" w:hAnsi="Calibri"/>
        </w:rPr>
        <w:t xml:space="preserve">Fit train_mean and train_std on training tracks only.</w:t>
      </w:r>
    </w:p>
    <w:p>
      <w:pPr>
        <w:pStyle w:val="Code"/>
        <w:spacing w:after="160"/>
        <w:shd w:val="clear" w:color="auto" w:fill="F2F4F7"/>
      </w:pPr>
      <w:r>
        <w:rPr>
          <w:rFonts w:ascii="Calibri" w:hAnsi="Calibri"/>
        </w:rPr>
        <w:t xml:space="preserve">Apply the saved values unchanged to validation and test tracks.</w:t>
      </w:r>
    </w:p>
    <w:p>
      <w:pPr/>
      <w:r>
        <w:rPr>
          <w:rFonts w:ascii="Calibri" w:hAnsi="Calibri"/>
        </w:rPr>
        <w:t xml:space="preserve">Standardization prevents large-scale descriptors such as centroid from dominating bounded descriptors such as flatness. Using only training data for the scaler prevents validation/test distribution information from entering model development.</w:t>
      </w:r>
    </w:p>
    <w:p>
      <w:pPr>
        <w:pStyle w:val="Heading1"/>
        <w:keepNext/>
      </w:pPr>
      <w:r>
        <w:rPr>
          <w:rFonts w:ascii="Calibri" w:hAnsi="Calibri"/>
        </w:rPr>
        <w:t xml:space="preserve">6. Neural branch architecture</w:t>
      </w:r>
    </w:p>
    <w:p>
      <w:pPr>
        <w:pStyle w:val="Heading2"/>
        <w:keepNext/>
      </w:pPr>
      <w:r>
        <w:rPr>
          <w:rFonts w:ascii="Calibri" w:hAnsi="Calibri"/>
        </w:rPr>
        <w:t xml:space="preserve">6.1 Input: shared encoder representation</w:t>
      </w:r>
    </w:p>
    <w:p>
      <w:pPr/>
      <w:r>
        <w:rPr>
          <w:rFonts w:ascii="Calibri" w:hAnsi="Calibri"/>
        </w:rPr>
        <w:t xml:space="preserve">The branch accepts one track-level tensor h_audio with shape [batch, 128]. The shared encoder may internally process multiple Mel windows, but its owner must pool them before exposing the timbre interface. The timbre branch should not assume access to raw window activations unless the team changes the interface formally.</w:t>
      </w:r>
    </w:p>
    <w:p>
      <w:pPr>
        <w:pStyle w:val="Heading2"/>
        <w:keepNext/>
      </w:pPr>
      <w:r>
        <w:rPr>
          <w:rFonts w:ascii="Calibri" w:hAnsi="Calibri"/>
        </w:rPr>
        <w:t xml:space="preserve">6.2 Timbre prediction head</w:t>
      </w:r>
    </w:p>
    <w:p>
      <w:pPr>
        <w:pStyle w:val="Code"/>
        <w:spacing w:after="0"/>
        <w:keepNext/>
        <w:shd w:val="clear" w:color="auto" w:fill="F2F4F7"/>
      </w:pPr>
      <w:r>
        <w:rPr>
          <w:rFonts w:ascii="Calibri" w:hAnsi="Calibri"/>
        </w:rPr>
        <w:t xml:space="preserve">Input:  h_audio [batch, 128]</w:t>
      </w:r>
    </w:p>
    <w:p>
      <w:pPr>
        <w:pStyle w:val="Code"/>
        <w:spacing w:after="0"/>
        <w:keepNext/>
        <w:shd w:val="clear" w:color="auto" w:fill="F2F4F7"/>
      </w:pPr>
      <w:r>
        <w:rPr>
          <w:rFonts w:ascii="Calibri" w:hAnsi="Calibri"/>
        </w:rPr>
        <w:t xml:space="preserve">Linear(128, 128)</w:t>
      </w:r>
    </w:p>
    <w:p>
      <w:pPr>
        <w:pStyle w:val="Code"/>
        <w:spacing w:after="0"/>
        <w:keepNext/>
        <w:shd w:val="clear" w:color="auto" w:fill="F2F4F7"/>
      </w:pPr>
      <w:r>
        <w:rPr>
          <w:rFonts w:ascii="Calibri" w:hAnsi="Calibri"/>
        </w:rPr>
        <w:t xml:space="preserve">LayerNorm(128)</w:t>
      </w:r>
    </w:p>
    <w:p>
      <w:pPr>
        <w:pStyle w:val="Code"/>
        <w:spacing w:after="0"/>
        <w:keepNext/>
        <w:shd w:val="clear" w:color="auto" w:fill="F2F4F7"/>
      </w:pPr>
      <w:r>
        <w:rPr>
          <w:rFonts w:ascii="Calibri" w:hAnsi="Calibri"/>
        </w:rPr>
        <w:t xml:space="preserve">GELU</w:t>
      </w:r>
    </w:p>
    <w:p>
      <w:pPr>
        <w:pStyle w:val="Code"/>
        <w:spacing w:after="0"/>
        <w:keepNext/>
        <w:shd w:val="clear" w:color="auto" w:fill="F2F4F7"/>
      </w:pPr>
      <w:r>
        <w:rPr>
          <w:rFonts w:ascii="Calibri" w:hAnsi="Calibri"/>
        </w:rPr>
        <w:t xml:space="preserve">Dropout(p=0.20)</w:t>
      </w:r>
    </w:p>
    <w:p>
      <w:pPr>
        <w:pStyle w:val="Code"/>
        <w:spacing w:after="0"/>
        <w:keepNext/>
        <w:shd w:val="clear" w:color="auto" w:fill="F2F4F7"/>
      </w:pPr>
      <w:r>
        <w:rPr>
          <w:rFonts w:ascii="Calibri" w:hAnsi="Calibri"/>
        </w:rPr>
        <w:t xml:space="preserve">Linear(128, 64)</w:t>
      </w:r>
    </w:p>
    <w:p>
      <w:pPr>
        <w:pStyle w:val="Code"/>
        <w:spacing w:after="0"/>
        <w:keepNext/>
        <w:shd w:val="clear" w:color="auto" w:fill="F2F4F7"/>
      </w:pPr>
      <w:r>
        <w:rPr>
          <w:rFonts w:ascii="Calibri" w:hAnsi="Calibri"/>
        </w:rPr>
        <w:t xml:space="preserve">GELU</w:t>
      </w:r>
    </w:p>
    <w:p>
      <w:pPr>
        <w:pStyle w:val="Code"/>
        <w:spacing w:after="0"/>
        <w:keepNext/>
        <w:shd w:val="clear" w:color="auto" w:fill="F2F4F7"/>
      </w:pPr>
      <w:r>
        <w:rPr>
          <w:rFonts w:ascii="Calibri" w:hAnsi="Calibri"/>
        </w:rPr>
        <w:t xml:space="preserve">Linear(64, 35)</w:t>
      </w:r>
    </w:p>
    <w:p>
      <w:pPr>
        <w:pStyle w:val="Code"/>
        <w:spacing w:after="160"/>
        <w:shd w:val="clear" w:color="auto" w:fill="F2F4F7"/>
      </w:pPr>
      <w:r>
        <w:rPr>
          <w:rFonts w:ascii="Calibri" w:hAnsi="Calibri"/>
        </w:rPr>
        <w:t xml:space="preserve">Output: d_hat [batch, 35]</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1800"/>
        <w:gridCol w:w="3900"/>
        <w:gridCol w:w="3660"/>
      </w:tblGrid>
      <w:tr>
        <w:trPr>
          <w:tblHeader/>
          <w:cantSplit/>
        </w:trPr>
        <w:tc>
          <w:tcPr>
            <w:tcW w:w="1800" w:type="dxa"/>
            <w:shd w:val="clear" w:color="auto" w:fill="F4F6F9"/>
            <w:vAlign w:val="center"/>
          </w:tcPr>
          <w:p>
            <w:pPr>
              <w:spacing w:after="40"/>
            </w:pPr>
            <w:r>
              <w:rPr>
                <w:rFonts w:ascii="Calibri" w:hAnsi="Calibri"/>
                <w:b/>
              </w:rPr>
              <w:t xml:space="preserve">Component</w:t>
            </w:r>
          </w:p>
        </w:tc>
        <w:tc>
          <w:tcPr>
            <w:tcW w:w="3900" w:type="dxa"/>
            <w:shd w:val="clear" w:color="auto" w:fill="F4F6F9"/>
            <w:vAlign w:val="center"/>
          </w:tcPr>
          <w:p>
            <w:pPr>
              <w:spacing w:after="40"/>
            </w:pPr>
            <w:r>
              <w:rPr>
                <w:rFonts w:ascii="Calibri" w:hAnsi="Calibri"/>
                <w:b/>
              </w:rPr>
              <w:t xml:space="preserve">Decision rationale</w:t>
            </w:r>
          </w:p>
        </w:tc>
        <w:tc>
          <w:tcPr>
            <w:tcW w:w="3660" w:type="dxa"/>
            <w:shd w:val="clear" w:color="auto" w:fill="F4F6F9"/>
            <w:vAlign w:val="center"/>
          </w:tcPr>
          <w:p>
            <w:pPr>
              <w:spacing w:after="40"/>
            </w:pPr>
            <w:r>
              <w:rPr>
                <w:rFonts w:ascii="Calibri" w:hAnsi="Calibri"/>
                <w:b/>
              </w:rPr>
              <w:t xml:space="preserve">Explainability effect</w:t>
            </w:r>
          </w:p>
        </w:tc>
      </w:tr>
      <w:tr>
        <w:trPr>
          <w:cantSplit/>
        </w:trPr>
        <w:tc>
          <w:tcPr>
            <w:tcW w:w="1800" w:type="dxa"/>
            <w:vAlign w:val="center"/>
          </w:tcPr>
          <w:p>
            <w:pPr>
              <w:spacing w:after="40"/>
            </w:pPr>
            <w:r>
              <w:rPr>
                <w:rFonts w:ascii="Calibri" w:hAnsi="Calibri"/>
              </w:rPr>
              <w:t xml:space="preserve">128-to-128 linear</w:t>
            </w:r>
          </w:p>
        </w:tc>
        <w:tc>
          <w:tcPr>
            <w:tcW w:w="3900" w:type="dxa"/>
            <w:vAlign w:val="center"/>
          </w:tcPr>
          <w:p>
            <w:pPr>
              <w:spacing w:after="40"/>
            </w:pPr>
            <w:r>
              <w:rPr>
                <w:rFonts w:ascii="Calibri" w:hAnsi="Calibri"/>
              </w:rPr>
              <w:t xml:space="preserve">Reorganizes the general representation without an immediate capacity bottleneck.</w:t>
            </w:r>
          </w:p>
        </w:tc>
        <w:tc>
          <w:tcPr>
            <w:tcW w:w="3660" w:type="dxa"/>
            <w:vAlign w:val="center"/>
          </w:tcPr>
          <w:p>
            <w:pPr>
              <w:spacing w:after="40"/>
            </w:pPr>
            <w:r>
              <w:rPr>
                <w:rFonts w:ascii="Calibri" w:hAnsi="Calibri"/>
              </w:rPr>
              <w:t xml:space="preserve">No explanation is claimed at this hidden layer.</w:t>
            </w:r>
          </w:p>
        </w:tc>
      </w:tr>
      <w:tr>
        <w:trPr>
          <w:cantSplit/>
        </w:trPr>
        <w:tc>
          <w:tcPr>
            <w:tcW w:w="1800" w:type="dxa"/>
            <w:vAlign w:val="center"/>
          </w:tcPr>
          <w:p>
            <w:pPr>
              <w:spacing w:after="40"/>
            </w:pPr>
            <w:r>
              <w:rPr>
                <w:rFonts w:ascii="Calibri" w:hAnsi="Calibri"/>
              </w:rPr>
              <w:t xml:space="preserve">LayerNorm</w:t>
            </w:r>
          </w:p>
        </w:tc>
        <w:tc>
          <w:tcPr>
            <w:tcW w:w="3900" w:type="dxa"/>
            <w:vAlign w:val="center"/>
          </w:tcPr>
          <w:p>
            <w:pPr>
              <w:spacing w:after="40"/>
            </w:pPr>
            <w:r>
              <w:rPr>
                <w:rFonts w:ascii="Calibri" w:hAnsi="Calibri"/>
              </w:rPr>
              <w:t xml:space="preserve">Stabilizes inputs while the shared encoder receives gradients from several branches.</w:t>
            </w:r>
          </w:p>
        </w:tc>
        <w:tc>
          <w:tcPr>
            <w:tcW w:w="3660" w:type="dxa"/>
            <w:vAlign w:val="center"/>
          </w:tcPr>
          <w:p>
            <w:pPr>
              <w:spacing w:after="40"/>
            </w:pPr>
            <w:r>
              <w:rPr>
                <w:rFonts w:ascii="Calibri" w:hAnsi="Calibri"/>
              </w:rPr>
              <w:t xml:space="preserve">Improves reliability but does not create semantic dimensions.</w:t>
            </w:r>
          </w:p>
        </w:tc>
      </w:tr>
      <w:tr>
        <w:trPr>
          <w:cantSplit/>
        </w:trPr>
        <w:tc>
          <w:tcPr>
            <w:tcW w:w="1800" w:type="dxa"/>
            <w:vAlign w:val="center"/>
          </w:tcPr>
          <w:p>
            <w:pPr>
              <w:spacing w:after="40"/>
            </w:pPr>
            <w:r>
              <w:rPr>
                <w:rFonts w:ascii="Calibri" w:hAnsi="Calibri"/>
              </w:rPr>
              <w:t xml:space="preserve">GELU</w:t>
            </w:r>
          </w:p>
        </w:tc>
        <w:tc>
          <w:tcPr>
            <w:tcW w:w="3900" w:type="dxa"/>
            <w:vAlign w:val="center"/>
          </w:tcPr>
          <w:p>
            <w:pPr>
              <w:spacing w:after="40"/>
            </w:pPr>
            <w:r>
              <w:rPr>
                <w:rFonts w:ascii="Calibri" w:hAnsi="Calibri"/>
              </w:rPr>
              <w:t xml:space="preserve">Models nonlinear relations between learned spectral patterns and continuous descriptors.</w:t>
            </w:r>
          </w:p>
        </w:tc>
        <w:tc>
          <w:tcPr>
            <w:tcW w:w="3660" w:type="dxa"/>
            <w:vAlign w:val="center"/>
          </w:tcPr>
          <w:p>
            <w:pPr>
              <w:spacing w:after="40"/>
            </w:pPr>
            <w:r>
              <w:rPr>
                <w:rFonts w:ascii="Calibri" w:hAnsi="Calibri"/>
              </w:rPr>
              <w:t xml:space="preserve">Semantics remain attached to the supervised output, not the activation.</w:t>
            </w:r>
          </w:p>
        </w:tc>
      </w:tr>
      <w:tr>
        <w:trPr>
          <w:cantSplit/>
        </w:trPr>
        <w:tc>
          <w:tcPr>
            <w:tcW w:w="1800" w:type="dxa"/>
            <w:vAlign w:val="center"/>
          </w:tcPr>
          <w:p>
            <w:pPr>
              <w:spacing w:after="40"/>
            </w:pPr>
            <w:r>
              <w:rPr>
                <w:rFonts w:ascii="Calibri" w:hAnsi="Calibri"/>
              </w:rPr>
              <w:t xml:space="preserve">Dropout 0.20</w:t>
            </w:r>
          </w:p>
        </w:tc>
        <w:tc>
          <w:tcPr>
            <w:tcW w:w="3900" w:type="dxa"/>
            <w:vAlign w:val="center"/>
          </w:tcPr>
          <w:p>
            <w:pPr>
              <w:spacing w:after="40"/>
            </w:pPr>
            <w:r>
              <w:rPr>
                <w:rFonts w:ascii="Calibri" w:hAnsi="Calibri"/>
              </w:rPr>
              <w:t xml:space="preserve">Reduces memorization and dependence on isolated hidden units.</w:t>
            </w:r>
          </w:p>
        </w:tc>
        <w:tc>
          <w:tcPr>
            <w:tcW w:w="3660" w:type="dxa"/>
            <w:vAlign w:val="center"/>
          </w:tcPr>
          <w:p>
            <w:pPr>
              <w:spacing w:after="40"/>
            </w:pPr>
            <w:r>
              <w:rPr>
                <w:rFonts w:ascii="Calibri" w:hAnsi="Calibri"/>
              </w:rPr>
              <w:t xml:space="preserve">Encourages a more robust descriptor estimate.</w:t>
            </w:r>
          </w:p>
        </w:tc>
      </w:tr>
      <w:tr>
        <w:trPr>
          <w:cantSplit/>
        </w:trPr>
        <w:tc>
          <w:tcPr>
            <w:tcW w:w="1800" w:type="dxa"/>
            <w:vAlign w:val="center"/>
          </w:tcPr>
          <w:p>
            <w:pPr>
              <w:spacing w:after="40"/>
            </w:pPr>
            <w:r>
              <w:rPr>
                <w:rFonts w:ascii="Calibri" w:hAnsi="Calibri"/>
              </w:rPr>
              <w:t xml:space="preserve">128-to-64 linear</w:t>
            </w:r>
          </w:p>
        </w:tc>
        <w:tc>
          <w:tcPr>
            <w:tcW w:w="3900" w:type="dxa"/>
            <w:vAlign w:val="center"/>
          </w:tcPr>
          <w:p>
            <w:pPr>
              <w:spacing w:after="40"/>
            </w:pPr>
            <w:r>
              <w:rPr>
                <w:rFonts w:ascii="Calibri" w:hAnsi="Calibri"/>
              </w:rPr>
              <w:t xml:space="preserve">Forms a compact timbre-oriented hidden state.</w:t>
            </w:r>
          </w:p>
        </w:tc>
        <w:tc>
          <w:tcPr>
            <w:tcW w:w="3660" w:type="dxa"/>
            <w:vAlign w:val="center"/>
          </w:tcPr>
          <w:p>
            <w:pPr>
              <w:spacing w:after="40"/>
            </w:pPr>
            <w:r>
              <w:rPr>
                <w:rFonts w:ascii="Calibri" w:hAnsi="Calibri"/>
              </w:rPr>
              <w:t xml:space="preserve">The 64-D state is internal and must not be presented as explainable.</w:t>
            </w:r>
          </w:p>
        </w:tc>
      </w:tr>
      <w:tr>
        <w:trPr>
          <w:cantSplit/>
        </w:trPr>
        <w:tc>
          <w:tcPr>
            <w:tcW w:w="1800" w:type="dxa"/>
            <w:vAlign w:val="center"/>
          </w:tcPr>
          <w:p>
            <w:pPr>
              <w:spacing w:after="40"/>
            </w:pPr>
            <w:r>
              <w:rPr>
                <w:rFonts w:ascii="Calibri" w:hAnsi="Calibri"/>
              </w:rPr>
              <w:t xml:space="preserve">64-to-35 linear</w:t>
            </w:r>
          </w:p>
        </w:tc>
        <w:tc>
          <w:tcPr>
            <w:tcW w:w="3900" w:type="dxa"/>
            <w:vAlign w:val="center"/>
          </w:tcPr>
          <w:p>
            <w:pPr>
              <w:spacing w:after="40"/>
            </w:pPr>
            <w:r>
              <w:rPr>
                <w:rFonts w:ascii="Calibri" w:hAnsi="Calibri"/>
              </w:rPr>
              <w:t xml:space="preserve">Produces one unconstrained regression output per named descriptor.</w:t>
            </w:r>
          </w:p>
        </w:tc>
        <w:tc>
          <w:tcPr>
            <w:tcW w:w="3660" w:type="dxa"/>
            <w:vAlign w:val="center"/>
          </w:tcPr>
          <w:p>
            <w:pPr>
              <w:spacing w:after="40"/>
            </w:pPr>
            <w:r>
              <w:rPr>
                <w:rFonts w:ascii="Calibri" w:hAnsi="Calibri"/>
              </w:rPr>
              <w:t xml:space="preserve">This is the semantic bottleneck exposed for inspection.</w:t>
            </w:r>
          </w:p>
        </w:tc>
      </w:tr>
    </w:tbl>
    <w:p>
      <w:pPr/>
      <w:r>
        <w:rPr>
          <w:rFonts w:ascii="Calibri" w:hAnsi="Calibri"/>
        </w:rPr>
        <w:t xml:space="preserve">No sigmoid or softmax is used on d_hat because standardized continuous targets can be negative or positive.</w:t>
      </w:r>
    </w:p>
    <w:p>
      <w:pPr>
        <w:pStyle w:val="Heading1"/>
        <w:keepNext/>
      </w:pPr>
      <w:r>
        <w:rPr>
          <w:rFonts w:ascii="Calibri" w:hAnsi="Calibri"/>
        </w:rPr>
        <w:t xml:space="preserve">7. Output and fusion contract</w:t>
      </w:r>
    </w:p>
    <w:p>
      <w:pPr>
        <w:pStyle w:val="Heading2"/>
        <w:keepNext/>
      </w:pPr>
      <w:r>
        <w:rPr>
          <w:rFonts w:ascii="Calibri" w:hAnsi="Calibri"/>
        </w:rPr>
        <w:t xml:space="preserve">7.1 Preferred output</w:t>
      </w:r>
    </w:p>
    <w:p>
      <w:pPr>
        <w:pStyle w:val="Code"/>
        <w:spacing w:after="0"/>
        <w:keepNext/>
        <w:shd w:val="clear" w:color="auto" w:fill="F2F4F7"/>
      </w:pPr>
      <w:r>
        <w:rPr>
          <w:rFonts w:ascii="Calibri" w:hAnsi="Calibri"/>
        </w:rPr>
        <w:t xml:space="preserve">z_timbre = d_hat</w:t>
      </w:r>
    </w:p>
    <w:p>
      <w:pPr>
        <w:pStyle w:val="Code"/>
        <w:spacing w:after="160"/>
        <w:shd w:val="clear" w:color="auto" w:fill="F2F4F7"/>
      </w:pPr>
      <w:r>
        <w:rPr>
          <w:rFonts w:ascii="Calibri" w:hAnsi="Calibri"/>
        </w:rPr>
        <w:t xml:space="preserve">shape: [batch, 35]</w:t>
      </w:r>
    </w:p>
    <w:p>
      <w:pPr/>
      <w:r>
        <w:rPr>
          <w:rFonts w:ascii="Calibri" w:hAnsi="Calibri"/>
        </w:rPr>
        <w:t xml:space="preserve">This is the strongest explainability configuration. Every timbre value entering fusion corresponds directly to a named acoustic concept.</w:t>
      </w:r>
    </w:p>
    <w:p>
      <w:pPr>
        <w:pStyle w:val="Heading2"/>
        <w:keepNext/>
      </w:pPr>
      <w:r>
        <w:rPr>
          <w:rFonts w:ascii="Calibri" w:hAnsi="Calibri"/>
        </w:rPr>
        <w:t xml:space="preserve">7.2 Fixed-width alternative</w:t>
      </w:r>
    </w:p>
    <w:p>
      <w:pPr>
        <w:pStyle w:val="Code"/>
        <w:spacing w:after="160"/>
        <w:shd w:val="clear" w:color="auto" w:fill="F2F4F7"/>
      </w:pPr>
      <w:r>
        <w:rPr>
          <w:rFonts w:ascii="Calibri" w:hAnsi="Calibri"/>
        </w:rPr>
        <w:t xml:space="preserve">d_hat [35] -&gt; Linear(35, 32) -&gt; LayerNorm(32) -&gt; z_timbre [32]</w:t>
      </w:r>
    </w:p>
    <w:p>
      <w:pPr/>
      <w:r>
        <w:rPr>
          <w:rFonts w:ascii="Calibri" w:hAnsi="Calibri"/>
        </w:rPr>
        <w:t xml:space="preserve">Use this only when fusion requires every branch to produce 32 dimensions. The explanation remains d_hat; z_timbre is a compact learned mixture. A shallow linear projection is preferred because its weights can be inspected and concept interventions can still be applied immediately before it.</w:t>
      </w:r>
    </w:p>
    <w:p>
      <w:pPr>
        <w:spacing w:after="160"/>
        <w:shd w:val="clear" w:color="auto" w:fill="F4F6F9"/>
      </w:pPr>
      <w:r>
        <w:rPr>
          <w:rFonts w:ascii="Calibri" w:hAnsi="Calibri"/>
          <w:b/>
          <w:color w:val="1F4D78"/>
        </w:rPr>
        <w:t xml:space="preserve">Non-negotiable bottleneck rule: </w:t>
      </w:r>
      <w:r>
        <w:rPr>
          <w:rFonts w:ascii="Calibri" w:hAnsi="Calibri"/>
        </w:rPr>
        <w:t xml:space="preserve">Do not concatenate h_audio with d_hat or z_timbre before fusion. That shortcut would allow the genre model to bypass the named timbre concepts.</w:t>
      </w:r>
    </w:p>
    <w:p>
      <w:pPr>
        <w:pStyle w:val="Heading1"/>
        <w:keepNext/>
      </w:pPr>
      <w:r>
        <w:rPr>
          <w:rFonts w:ascii="Calibri" w:hAnsi="Calibri"/>
        </w:rPr>
        <w:t xml:space="preserve">8. Training objective</w:t>
      </w:r>
    </w:p>
    <w:p>
      <w:pPr>
        <w:pStyle w:val="Heading2"/>
        <w:keepNext/>
      </w:pPr>
      <w:r>
        <w:rPr>
          <w:rFonts w:ascii="Calibri" w:hAnsi="Calibri"/>
        </w:rPr>
        <w:t xml:space="preserve">8.1 Masked Smooth L1 loss</w:t>
      </w:r>
    </w:p>
    <w:p>
      <w:pPr/>
      <w:r>
        <w:rPr>
          <w:rFonts w:ascii="Calibri" w:hAnsi="Calibri"/>
        </w:rPr>
        <w:t xml:space="preserve">Smooth L1 is recommended because descriptor extraction can contain occasional outliers, especially for HNR and inharmonicity. For sample i and descriptor j, the validity mask m determines whether that target contributes to the loss.</w:t>
      </w:r>
    </w:p>
    <w:p>
      <w:pPr>
        <w:pStyle w:val="Code"/>
        <w:spacing w:after="160"/>
        <w:shd w:val="clear" w:color="auto" w:fill="F2F4F7"/>
      </w:pPr>
      <w:r>
        <w:rPr>
          <w:rFonts w:ascii="Calibri" w:hAnsi="Calibri"/>
        </w:rPr>
        <w:t xml:space="preserve">L_timbre = sum(m * SmoothL1(d_hat, d_true)) / max(sum(m), 1)</w:t>
      </w:r>
    </w:p>
    <w:p>
      <w:pPr>
        <w:pStyle w:val="Heading2"/>
        <w:keepNext/>
      </w:pPr>
      <w:r>
        <w:rPr>
          <w:rFonts w:ascii="Calibri" w:hAnsi="Calibri"/>
        </w:rPr>
        <w:t xml:space="preserve">8.2 Joint objective</w:t>
      </w:r>
    </w:p>
    <w:p>
      <w:pPr>
        <w:pStyle w:val="Code"/>
        <w:spacing w:after="160"/>
        <w:shd w:val="clear" w:color="auto" w:fill="F2F4F7"/>
      </w:pPr>
      <w:r>
        <w:rPr>
          <w:rFonts w:ascii="Calibri" w:hAnsi="Calibri"/>
        </w:rPr>
        <w:t xml:space="preserve">L_total = L_genre + lambda_timbre * L_timbre + losses_from_other_concept_branches</w:t>
      </w:r>
    </w:p>
    <w:p>
      <w:pPr/>
      <w:r>
        <w:rPr>
          <w:rFonts w:ascii="Calibri" w:hAnsi="Calibri"/>
        </w:rPr>
        <w:t xml:space="preserve">lambda_timbre is selected using validation data. If it is too small, d_hat may cease to represent its declared concepts. If it is too large, the system may optimize descriptor fidelity at the expense of the final genre task.</w:t>
      </w:r>
    </w:p>
    <w:p>
      <w:pPr>
        <w:pStyle w:val="Heading2"/>
        <w:keepNext/>
      </w:pPr>
      <w:r>
        <w:rPr>
          <w:rFonts w:ascii="Calibri" w:hAnsi="Calibri"/>
        </w:rPr>
        <w:t xml:space="preserve">8.3 Training schedule</w:t>
      </w:r>
    </w:p>
    <w:p>
      <w:pPr>
        <w:spacing w:after="80"/>
        <w:numPr>
          <w:ilvl w:val="0"/>
          <w:numId w:val="2"/>
        </w:numPr>
      </w:pPr>
      <w:r>
        <w:rPr>
          <w:rFonts w:ascii="Calibri" w:hAnsi="Calibri"/>
        </w:rPr>
        <w:t xml:space="preserve">Extract d_true once and save a versioned track-level descriptor table.</w:t>
      </w:r>
    </w:p>
    <w:p>
      <w:pPr>
        <w:spacing w:after="80"/>
        <w:numPr>
          <w:ilvl w:val="0"/>
          <w:numId w:val="2"/>
        </w:numPr>
      </w:pPr>
      <w:r>
        <w:rPr>
          <w:rFonts w:ascii="Calibri" w:hAnsi="Calibri"/>
        </w:rPr>
        <w:t xml:space="preserve">Fit and save the 35-feature scaler using the training subset only.</w:t>
      </w:r>
    </w:p>
    <w:p>
      <w:pPr>
        <w:spacing w:after="80"/>
        <w:numPr>
          <w:ilvl w:val="0"/>
          <w:numId w:val="2"/>
        </w:numPr>
      </w:pPr>
      <w:r>
        <w:rPr>
          <w:rFonts w:ascii="Calibri" w:hAnsi="Calibri"/>
        </w:rPr>
        <w:t xml:space="preserve">Train the timbre head with the shared encoder frozen to test whether the existing 128-D representation contains timbre information.</w:t>
      </w:r>
    </w:p>
    <w:p>
      <w:pPr>
        <w:spacing w:after="80"/>
        <w:numPr>
          <w:ilvl w:val="0"/>
          <w:numId w:val="2"/>
        </w:numPr>
      </w:pPr>
      <w:r>
        <w:rPr>
          <w:rFonts w:ascii="Calibri" w:hAnsi="Calibri"/>
        </w:rPr>
        <w:t xml:space="preserve">Jointly fine-tune the shared encoder, timbre head, other branches, fusion layer, and genre head.</w:t>
      </w:r>
    </w:p>
    <w:p>
      <w:pPr>
        <w:spacing w:after="80"/>
        <w:numPr>
          <w:ilvl w:val="0"/>
          <w:numId w:val="2"/>
        </w:numPr>
      </w:pPr>
      <w:r>
        <w:rPr>
          <w:rFonts w:ascii="Calibri" w:hAnsi="Calibri"/>
        </w:rPr>
        <w:t xml:space="preserve">Select hyperparameters on validation data and evaluate the final configuration once on the held-out test set.</w:t>
      </w:r>
    </w:p>
    <w:p>
      <w:pPr>
        <w:pStyle w:val="Heading1"/>
        <w:keepNext/>
      </w:pPr>
      <w:r>
        <w:rPr>
          <w:rFonts w:ascii="Calibri" w:hAnsi="Calibri"/>
        </w:rPr>
        <w:t xml:space="preserve">9. Explainability and concept-bottleneck validation</w:t>
      </w:r>
    </w:p>
    <w:p>
      <w:pPr>
        <w:pStyle w:val="Heading2"/>
        <w:keepNext/>
      </w:pPr>
      <w:r>
        <w:rPr>
          <w:rFonts w:ascii="Calibri" w:hAnsi="Calibri"/>
        </w:rPr>
        <w:t xml:space="preserve">9.1 What is explained</w:t>
      </w:r>
    </w:p>
    <w:p>
      <w:pPr/>
      <w:r>
        <w:rPr>
          <w:rFonts w:ascii="Calibri" w:hAnsi="Calibri"/>
        </w:rPr>
        <w:t xml:space="preserve">The model can expose both its estimated acoustic state and the effect of that state on classification. A valid explanation combines descriptor fidelity with prediction sensitivity; simply printing a descriptor name is insufficient.</w:t>
      </w:r>
    </w:p>
    <w:p>
      <w:pPr>
        <w:pStyle w:val="Heading2"/>
        <w:keepNext/>
      </w:pPr>
      <w:r>
        <w:rPr>
          <w:rFonts w:ascii="Calibri" w:hAnsi="Calibri"/>
        </w:rPr>
        <w:t xml:space="preserve">9.2 Descriptor fidelity</w:t>
      </w:r>
    </w:p>
    <w:p>
      <w:pPr>
        <w:spacing w:after="80"/>
        <w:numPr>
          <w:ilvl w:val="0"/>
          <w:numId w:val="1"/>
        </w:numPr>
      </w:pPr>
      <w:r>
        <w:rPr>
          <w:rFonts w:ascii="Calibri" w:hAnsi="Calibri"/>
        </w:rPr>
        <w:t xml:space="preserve">Report per-descriptor MAE and RMSE on the validation and test sets.</w:t>
      </w:r>
    </w:p>
    <w:p>
      <w:pPr>
        <w:spacing w:after="80"/>
        <w:numPr>
          <w:ilvl w:val="0"/>
          <w:numId w:val="1"/>
        </w:numPr>
      </w:pPr>
      <w:r>
        <w:rPr>
          <w:rFonts w:ascii="Calibri" w:hAnsi="Calibri"/>
        </w:rPr>
        <w:t xml:space="preserve">Report Pearson correlation for linear agreement and Spearman correlation for rank agreement.</w:t>
      </w:r>
    </w:p>
    <w:p>
      <w:pPr>
        <w:spacing w:after="80"/>
        <w:numPr>
          <w:ilvl w:val="0"/>
          <w:numId w:val="1"/>
        </w:numPr>
      </w:pPr>
      <w:r>
        <w:rPr>
          <w:rFonts w:ascii="Calibri" w:hAnsi="Calibri"/>
        </w:rPr>
        <w:t xml:space="preserve">Flag descriptors with weak predictive fidelity; do not use them confidently in qualitative explanations.</w:t>
      </w:r>
    </w:p>
    <w:p>
      <w:pPr>
        <w:spacing w:after="80"/>
        <w:numPr>
          <w:ilvl w:val="0"/>
          <w:numId w:val="1"/>
        </w:numPr>
      </w:pPr>
      <w:r>
        <w:rPr>
          <w:rFonts w:ascii="Calibri" w:hAnsi="Calibri"/>
        </w:rPr>
        <w:t xml:space="preserve">Convert standardized values to training-distribution percentiles for readable track reports.</w:t>
      </w:r>
    </w:p>
    <w:p>
      <w:pPr>
        <w:pStyle w:val="Heading2"/>
        <w:keepNext/>
      </w:pPr>
      <w:r>
        <w:rPr>
          <w:rFonts w:ascii="Calibri" w:hAnsi="Calibri"/>
        </w:rPr>
        <w:t xml:space="preserve">9.3 Concept interventions</w:t>
      </w:r>
    </w:p>
    <w:p>
      <w:pPr>
        <w:pStyle w:val="Code"/>
        <w:spacing w:after="0"/>
        <w:keepNext/>
        <w:shd w:val="clear" w:color="auto" w:fill="F2F4F7"/>
      </w:pPr>
      <w:r>
        <w:rPr>
          <w:rFonts w:ascii="Calibri" w:hAnsi="Calibri"/>
        </w:rPr>
        <w:t xml:space="preserve">1. Run genre prediction with the original d_hat.</w:t>
      </w:r>
    </w:p>
    <w:p>
      <w:pPr>
        <w:pStyle w:val="Code"/>
        <w:spacing w:after="0"/>
        <w:keepNext/>
        <w:shd w:val="clear" w:color="auto" w:fill="F2F4F7"/>
      </w:pPr>
      <w:r>
        <w:rPr>
          <w:rFonts w:ascii="Calibri" w:hAnsi="Calibri"/>
        </w:rPr>
        <w:t xml:space="preserve">2. Replace one descriptor, or one descriptor group, with its training mean.</w:t>
      </w:r>
    </w:p>
    <w:p>
      <w:pPr>
        <w:pStyle w:val="Code"/>
        <w:spacing w:after="0"/>
        <w:keepNext/>
        <w:shd w:val="clear" w:color="auto" w:fill="F2F4F7"/>
      </w:pPr>
      <w:r>
        <w:rPr>
          <w:rFonts w:ascii="Calibri" w:hAnsi="Calibri"/>
        </w:rPr>
        <w:t xml:space="preserve">3. Re-run fusion and record the genre-probability change.</w:t>
      </w:r>
    </w:p>
    <w:p>
      <w:pPr>
        <w:pStyle w:val="Code"/>
        <w:spacing w:after="160"/>
        <w:shd w:val="clear" w:color="auto" w:fill="F2F4F7"/>
      </w:pPr>
      <w:r>
        <w:rPr>
          <w:rFonts w:ascii="Calibri" w:hAnsi="Calibri"/>
        </w:rPr>
        <w:t xml:space="preserve">4. Attribute the observed change to that controlled model intervention.</w:t>
      </w:r>
    </w:p>
    <w:p>
      <w:pPr/>
      <w:r>
        <w:rPr>
          <w:rFonts w:ascii="Calibri" w:hAnsi="Calibri"/>
        </w:rPr>
        <w:t xml:space="preserve">For example, setting the predicted spectral-centroid concept to its training mean and observing a reduction in the electronic score provides evidence that the classifier used that concept. It does not establish a universal causal statement about music; it establishes causal behavior inside this trained model under the intervention.</w:t>
      </w:r>
    </w:p>
    <w:p>
      <w:r>
        <w:br w:type="page"/>
      </w:r>
    </w:p>
    <w:p>
      <w:pPr>
        <w:pStyle w:val="Heading2"/>
        <w:keepNext/>
      </w:pPr>
      <w:r>
        <w:rPr>
          <w:rFonts w:ascii="Calibri" w:hAnsi="Calibri"/>
        </w:rPr>
        <w:t xml:space="preserve">9.4 Group ablation</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2100"/>
        <w:gridCol w:w="1300"/>
        <w:gridCol w:w="5960"/>
      </w:tblGrid>
      <w:tr>
        <w:trPr>
          <w:tblHeader/>
          <w:cantSplit/>
        </w:trPr>
        <w:tc>
          <w:tcPr>
            <w:tcW w:w="2100" w:type="dxa"/>
            <w:shd w:val="clear" w:color="auto" w:fill="F4F6F9"/>
            <w:vAlign w:val="center"/>
          </w:tcPr>
          <w:p>
            <w:pPr>
              <w:spacing w:after="40"/>
            </w:pPr>
            <w:r>
              <w:rPr>
                <w:rFonts w:ascii="Calibri" w:hAnsi="Calibri"/>
                <w:b/>
              </w:rPr>
              <w:t xml:space="preserve">Ablated group</w:t>
            </w:r>
          </w:p>
        </w:tc>
        <w:tc>
          <w:tcPr>
            <w:tcW w:w="1300" w:type="dxa"/>
            <w:shd w:val="clear" w:color="auto" w:fill="F4F6F9"/>
            <w:vAlign w:val="center"/>
          </w:tcPr>
          <w:p>
            <w:pPr>
              <w:spacing w:after="40"/>
            </w:pPr>
            <w:r>
              <w:rPr>
                <w:rFonts w:ascii="Calibri" w:hAnsi="Calibri"/>
                <w:b/>
              </w:rPr>
              <w:t xml:space="preserve">Dimensions</w:t>
            </w:r>
          </w:p>
        </w:tc>
        <w:tc>
          <w:tcPr>
            <w:tcW w:w="5960" w:type="dxa"/>
            <w:shd w:val="clear" w:color="auto" w:fill="F4F6F9"/>
            <w:vAlign w:val="center"/>
          </w:tcPr>
          <w:p>
            <w:pPr>
              <w:spacing w:after="40"/>
            </w:pPr>
            <w:r>
              <w:rPr>
                <w:rFonts w:ascii="Calibri" w:hAnsi="Calibri"/>
                <w:b/>
              </w:rPr>
              <w:t xml:space="preserve">Question answered</w:t>
            </w:r>
          </w:p>
        </w:tc>
      </w:tr>
      <w:tr>
        <w:trPr>
          <w:cantSplit/>
        </w:trPr>
        <w:tc>
          <w:tcPr>
            <w:tcW w:w="2100" w:type="dxa"/>
            <w:vAlign w:val="center"/>
          </w:tcPr>
          <w:p>
            <w:pPr>
              <w:spacing w:after="40"/>
            </w:pPr>
            <w:r>
              <w:rPr>
                <w:rFonts w:ascii="Calibri" w:hAnsi="Calibri"/>
              </w:rPr>
              <w:t xml:space="preserve">Spectral shape</w:t>
            </w:r>
          </w:p>
        </w:tc>
        <w:tc>
          <w:tcPr>
            <w:tcW w:w="1300" w:type="dxa"/>
            <w:vAlign w:val="center"/>
          </w:tcPr>
          <w:p>
            <w:pPr>
              <w:spacing w:after="40"/>
            </w:pPr>
            <w:r>
              <w:rPr>
                <w:rFonts w:ascii="Calibri" w:hAnsi="Calibri"/>
              </w:rPr>
              <w:t xml:space="preserve">7</w:t>
            </w:r>
          </w:p>
        </w:tc>
        <w:tc>
          <w:tcPr>
            <w:tcW w:w="5960" w:type="dxa"/>
            <w:vAlign w:val="center"/>
          </w:tcPr>
          <w:p>
            <w:pPr>
              <w:spacing w:after="40"/>
            </w:pPr>
            <w:r>
              <w:rPr>
                <w:rFonts w:ascii="Calibri" w:hAnsi="Calibri"/>
              </w:rPr>
              <w:t xml:space="preserve">How much do brightness, spread, contrast, flatness, and roll-off affect the genre result?</w:t>
            </w:r>
          </w:p>
        </w:tc>
      </w:tr>
      <w:tr>
        <w:trPr>
          <w:cantSplit/>
        </w:trPr>
        <w:tc>
          <w:tcPr>
            <w:tcW w:w="2100" w:type="dxa"/>
            <w:vAlign w:val="center"/>
          </w:tcPr>
          <w:p>
            <w:pPr>
              <w:spacing w:after="40"/>
            </w:pPr>
            <w:r>
              <w:rPr>
                <w:rFonts w:ascii="Calibri" w:hAnsi="Calibri"/>
              </w:rPr>
              <w:t xml:space="preserve">Harmonic/noise</w:t>
            </w:r>
          </w:p>
        </w:tc>
        <w:tc>
          <w:tcPr>
            <w:tcW w:w="1300" w:type="dxa"/>
            <w:vAlign w:val="center"/>
          </w:tcPr>
          <w:p>
            <w:pPr>
              <w:spacing w:after="40"/>
            </w:pPr>
            <w:r>
              <w:rPr>
                <w:rFonts w:ascii="Calibri" w:hAnsi="Calibri"/>
              </w:rPr>
              <w:t xml:space="preserve">2</w:t>
            </w:r>
          </w:p>
        </w:tc>
        <w:tc>
          <w:tcPr>
            <w:tcW w:w="5960" w:type="dxa"/>
            <w:vAlign w:val="center"/>
          </w:tcPr>
          <w:p>
            <w:pPr>
              <w:spacing w:after="40"/>
            </w:pPr>
            <w:r>
              <w:rPr>
                <w:rFonts w:ascii="Calibri" w:hAnsi="Calibri"/>
              </w:rPr>
              <w:t xml:space="preserve">How much do periodicity and inharmonicity affect the result?</w:t>
            </w:r>
          </w:p>
        </w:tc>
      </w:tr>
      <w:tr>
        <w:trPr>
          <w:cantSplit/>
        </w:trPr>
        <w:tc>
          <w:tcPr>
            <w:tcW w:w="2100" w:type="dxa"/>
            <w:vAlign w:val="center"/>
          </w:tcPr>
          <w:p>
            <w:pPr>
              <w:spacing w:after="40"/>
            </w:pPr>
            <w:r>
              <w:rPr>
                <w:rFonts w:ascii="Calibri" w:hAnsi="Calibri"/>
              </w:rPr>
              <w:t xml:space="preserve">MFCC envelope</w:t>
            </w:r>
          </w:p>
        </w:tc>
        <w:tc>
          <w:tcPr>
            <w:tcW w:w="1300" w:type="dxa"/>
            <w:vAlign w:val="center"/>
          </w:tcPr>
          <w:p>
            <w:pPr>
              <w:spacing w:after="40"/>
            </w:pPr>
            <w:r>
              <w:rPr>
                <w:rFonts w:ascii="Calibri" w:hAnsi="Calibri"/>
              </w:rPr>
              <w:t xml:space="preserve">26</w:t>
            </w:r>
          </w:p>
        </w:tc>
        <w:tc>
          <w:tcPr>
            <w:tcW w:w="5960" w:type="dxa"/>
            <w:vAlign w:val="center"/>
          </w:tcPr>
          <w:p>
            <w:pPr>
              <w:spacing w:after="40"/>
            </w:pPr>
            <w:r>
              <w:rPr>
                <w:rFonts w:ascii="Calibri" w:hAnsi="Calibri"/>
              </w:rPr>
              <w:t xml:space="preserve">How much does broad tone color and its variation affect the result?</w:t>
            </w:r>
          </w:p>
        </w:tc>
      </w:tr>
      <w:tr>
        <w:trPr>
          <w:cantSplit/>
        </w:trPr>
        <w:tc>
          <w:tcPr>
            <w:tcW w:w="2100" w:type="dxa"/>
            <w:vAlign w:val="center"/>
          </w:tcPr>
          <w:p>
            <w:pPr>
              <w:spacing w:after="40"/>
            </w:pPr>
            <w:r>
              <w:rPr>
                <w:rFonts w:ascii="Calibri" w:hAnsi="Calibri"/>
              </w:rPr>
              <w:t xml:space="preserve">Entire timbre branch</w:t>
            </w:r>
          </w:p>
        </w:tc>
        <w:tc>
          <w:tcPr>
            <w:tcW w:w="1300" w:type="dxa"/>
            <w:vAlign w:val="center"/>
          </w:tcPr>
          <w:p>
            <w:pPr>
              <w:spacing w:after="40"/>
            </w:pPr>
            <w:r>
              <w:rPr>
                <w:rFonts w:ascii="Calibri" w:hAnsi="Calibri"/>
              </w:rPr>
              <w:t xml:space="preserve">35 or projected 32</w:t>
            </w:r>
          </w:p>
        </w:tc>
        <w:tc>
          <w:tcPr>
            <w:tcW w:w="5960" w:type="dxa"/>
            <w:vAlign w:val="center"/>
          </w:tcPr>
          <w:p>
            <w:pPr>
              <w:spacing w:after="40"/>
            </w:pPr>
            <w:r>
              <w:rPr>
                <w:rFonts w:ascii="Calibri" w:hAnsi="Calibri"/>
              </w:rPr>
              <w:t xml:space="preserve">How much does the complete timbre representation contribute beyond other branches?</w:t>
            </w:r>
          </w:p>
        </w:tc>
      </w:tr>
    </w:tbl>
    <w:p>
      <w:pPr>
        <w:pStyle w:val="Heading2"/>
        <w:keepNext/>
      </w:pPr>
      <w:r>
        <w:rPr>
          <w:rFonts w:ascii="Calibri" w:hAnsi="Calibri"/>
        </w:rPr>
        <w:t xml:space="preserve">9.5 Concept-bottleneck integrity</w:t>
      </w:r>
    </w:p>
    <w:p>
      <w:pPr/>
      <w:r>
        <w:rPr>
          <w:rFonts w:ascii="Calibri" w:hAnsi="Calibri"/>
        </w:rPr>
        <w:t xml:space="preserve">A strict implementation ensures that all timbre-derived information reaching fusion passes through d_hat. This makes the concepts intervenable. A direct h_audio connection would create an unexplained bypass and reduce the architecture to an auxiliary prediction head rather than a concept bottleneck.</w:t>
      </w:r>
    </w:p>
    <w:p>
      <w:pPr>
        <w:pStyle w:val="Heading1"/>
        <w:keepNext/>
      </w:pPr>
      <w:r>
        <w:rPr>
          <w:rFonts w:ascii="Calibri" w:hAnsi="Calibri"/>
        </w:rPr>
        <w:t xml:space="preserve">10. Experimental design</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2300"/>
        <w:gridCol w:w="2700"/>
        <w:gridCol w:w="4360"/>
      </w:tblGrid>
      <w:tr>
        <w:trPr>
          <w:tblHeader/>
          <w:cantSplit/>
        </w:trPr>
        <w:tc>
          <w:tcPr>
            <w:tcW w:w="2300" w:type="dxa"/>
            <w:shd w:val="clear" w:color="auto" w:fill="F4F6F9"/>
            <w:vAlign w:val="center"/>
          </w:tcPr>
          <w:p>
            <w:pPr>
              <w:spacing w:after="40"/>
            </w:pPr>
            <w:r>
              <w:rPr>
                <w:rFonts w:ascii="Calibri" w:hAnsi="Calibri"/>
                <w:b/>
              </w:rPr>
              <w:t xml:space="preserve">Experiment</w:t>
            </w:r>
          </w:p>
        </w:tc>
        <w:tc>
          <w:tcPr>
            <w:tcW w:w="2700" w:type="dxa"/>
            <w:shd w:val="clear" w:color="auto" w:fill="F4F6F9"/>
            <w:vAlign w:val="center"/>
          </w:tcPr>
          <w:p>
            <w:pPr>
              <w:spacing w:after="40"/>
            </w:pPr>
            <w:r>
              <w:rPr>
                <w:rFonts w:ascii="Calibri" w:hAnsi="Calibri"/>
                <w:b/>
              </w:rPr>
              <w:t xml:space="preserve">Timbre input to fusion</w:t>
            </w:r>
          </w:p>
        </w:tc>
        <w:tc>
          <w:tcPr>
            <w:tcW w:w="4360" w:type="dxa"/>
            <w:shd w:val="clear" w:color="auto" w:fill="F4F6F9"/>
            <w:vAlign w:val="center"/>
          </w:tcPr>
          <w:p>
            <w:pPr>
              <w:spacing w:after="40"/>
            </w:pPr>
            <w:r>
              <w:rPr>
                <w:rFonts w:ascii="Calibri" w:hAnsi="Calibri"/>
                <w:b/>
              </w:rPr>
              <w:t xml:space="preserve">Purpose</w:t>
            </w:r>
          </w:p>
        </w:tc>
      </w:tr>
      <w:tr>
        <w:trPr>
          <w:cantSplit/>
        </w:trPr>
        <w:tc>
          <w:tcPr>
            <w:tcW w:w="2300" w:type="dxa"/>
            <w:vAlign w:val="center"/>
          </w:tcPr>
          <w:p>
            <w:pPr>
              <w:spacing w:after="40"/>
            </w:pPr>
            <w:r>
              <w:rPr>
                <w:rFonts w:ascii="Calibri" w:hAnsi="Calibri"/>
              </w:rPr>
              <w:t xml:space="preserve">No-timbre ablation</w:t>
            </w:r>
          </w:p>
        </w:tc>
        <w:tc>
          <w:tcPr>
            <w:tcW w:w="2700" w:type="dxa"/>
            <w:vAlign w:val="center"/>
          </w:tcPr>
          <w:p>
            <w:pPr>
              <w:spacing w:after="40"/>
            </w:pPr>
            <w:r>
              <w:rPr>
                <w:rFonts w:ascii="Calibri" w:hAnsi="Calibri"/>
              </w:rPr>
              <w:t xml:space="preserve">None</w:t>
            </w:r>
          </w:p>
        </w:tc>
        <w:tc>
          <w:tcPr>
            <w:tcW w:w="4360" w:type="dxa"/>
            <w:vAlign w:val="center"/>
          </w:tcPr>
          <w:p>
            <w:pPr>
              <w:spacing w:after="40"/>
            </w:pPr>
            <w:r>
              <w:rPr>
                <w:rFonts w:ascii="Calibri" w:hAnsi="Calibri"/>
              </w:rPr>
              <w:t xml:space="preserve">Measures the complete branch contribution.</w:t>
            </w:r>
          </w:p>
        </w:tc>
      </w:tr>
      <w:tr>
        <w:trPr>
          <w:cantSplit/>
        </w:trPr>
        <w:tc>
          <w:tcPr>
            <w:tcW w:w="2300" w:type="dxa"/>
            <w:vAlign w:val="center"/>
          </w:tcPr>
          <w:p>
            <w:pPr>
              <w:spacing w:after="40"/>
            </w:pPr>
            <w:r>
              <w:rPr>
                <w:rFonts w:ascii="Calibri" w:hAnsi="Calibri"/>
              </w:rPr>
              <w:t xml:space="preserve">Direct-descriptor baseline</w:t>
            </w:r>
          </w:p>
        </w:tc>
        <w:tc>
          <w:tcPr>
            <w:tcW w:w="2700" w:type="dxa"/>
            <w:vAlign w:val="center"/>
          </w:tcPr>
          <w:p>
            <w:pPr>
              <w:spacing w:after="40"/>
            </w:pPr>
            <w:r>
              <w:rPr>
                <w:rFonts w:ascii="Calibri" w:hAnsi="Calibri"/>
              </w:rPr>
              <w:t xml:space="preserve">d_true</w:t>
            </w:r>
          </w:p>
        </w:tc>
        <w:tc>
          <w:tcPr>
            <w:tcW w:w="4360" w:type="dxa"/>
            <w:vAlign w:val="center"/>
          </w:tcPr>
          <w:p>
            <w:pPr>
              <w:spacing w:after="40"/>
            </w:pPr>
            <w:r>
              <w:rPr>
                <w:rFonts w:ascii="Calibri" w:hAnsi="Calibri"/>
              </w:rPr>
              <w:t xml:space="preserve">Estimates the value of accurately extracted handcrafted concepts.</w:t>
            </w:r>
          </w:p>
        </w:tc>
      </w:tr>
      <w:tr>
        <w:trPr>
          <w:cantSplit/>
        </w:trPr>
        <w:tc>
          <w:tcPr>
            <w:tcW w:w="2300" w:type="dxa"/>
            <w:vAlign w:val="center"/>
          </w:tcPr>
          <w:p>
            <w:pPr>
              <w:spacing w:after="40"/>
            </w:pPr>
            <w:r>
              <w:rPr>
                <w:rFonts w:ascii="Calibri" w:hAnsi="Calibri"/>
              </w:rPr>
              <w:t xml:space="preserve">Learned bottleneck</w:t>
            </w:r>
          </w:p>
        </w:tc>
        <w:tc>
          <w:tcPr>
            <w:tcW w:w="2700" w:type="dxa"/>
            <w:vAlign w:val="center"/>
          </w:tcPr>
          <w:p>
            <w:pPr>
              <w:spacing w:after="40"/>
            </w:pPr>
            <w:r>
              <w:rPr>
                <w:rFonts w:ascii="Calibri" w:hAnsi="Calibri"/>
              </w:rPr>
              <w:t xml:space="preserve">d_hat</w:t>
            </w:r>
          </w:p>
        </w:tc>
        <w:tc>
          <w:tcPr>
            <w:tcW w:w="4360" w:type="dxa"/>
            <w:vAlign w:val="center"/>
          </w:tcPr>
          <w:p>
            <w:pPr>
              <w:spacing w:after="40"/>
            </w:pPr>
            <w:r>
              <w:rPr>
                <w:rFonts w:ascii="Calibri" w:hAnsi="Calibri"/>
              </w:rPr>
              <w:t xml:space="preserve">Tests the proposed explainable neural branch.</w:t>
            </w:r>
          </w:p>
        </w:tc>
      </w:tr>
      <w:tr>
        <w:trPr>
          <w:cantSplit/>
        </w:trPr>
        <w:tc>
          <w:tcPr>
            <w:tcW w:w="2300" w:type="dxa"/>
            <w:vAlign w:val="center"/>
          </w:tcPr>
          <w:p>
            <w:pPr>
              <w:spacing w:after="40"/>
            </w:pPr>
            <w:r>
              <w:rPr>
                <w:rFonts w:ascii="Calibri" w:hAnsi="Calibri"/>
              </w:rPr>
              <w:t xml:space="preserve">Projected bottleneck</w:t>
            </w:r>
          </w:p>
        </w:tc>
        <w:tc>
          <w:tcPr>
            <w:tcW w:w="2700" w:type="dxa"/>
            <w:vAlign w:val="center"/>
          </w:tcPr>
          <w:p>
            <w:pPr>
              <w:spacing w:after="40"/>
            </w:pPr>
            <w:r>
              <w:rPr>
                <w:rFonts w:ascii="Calibri" w:hAnsi="Calibri"/>
              </w:rPr>
              <w:t xml:space="preserve">Linear(d_hat)</w:t>
            </w:r>
          </w:p>
        </w:tc>
        <w:tc>
          <w:tcPr>
            <w:tcW w:w="4360" w:type="dxa"/>
            <w:vAlign w:val="center"/>
          </w:tcPr>
          <w:p>
            <w:pPr>
              <w:spacing w:after="40"/>
            </w:pPr>
            <w:r>
              <w:rPr>
                <w:rFonts w:ascii="Calibri" w:hAnsi="Calibri"/>
              </w:rPr>
              <w:t xml:space="preserve">Tests compatibility with a common 32-D fusion interface.</w:t>
            </w:r>
          </w:p>
        </w:tc>
      </w:tr>
      <w:tr>
        <w:trPr>
          <w:cantSplit/>
        </w:trPr>
        <w:tc>
          <w:tcPr>
            <w:tcW w:w="2300" w:type="dxa"/>
            <w:vAlign w:val="center"/>
          </w:tcPr>
          <w:p>
            <w:pPr>
              <w:spacing w:after="40"/>
            </w:pPr>
            <w:r>
              <w:rPr>
                <w:rFonts w:ascii="Calibri" w:hAnsi="Calibri"/>
              </w:rPr>
              <w:t xml:space="preserve">Unrestricted latent baseline</w:t>
            </w:r>
          </w:p>
        </w:tc>
        <w:tc>
          <w:tcPr>
            <w:tcW w:w="2700" w:type="dxa"/>
            <w:vAlign w:val="center"/>
          </w:tcPr>
          <w:p>
            <w:pPr>
              <w:spacing w:after="40"/>
            </w:pPr>
            <w:r>
              <w:rPr>
                <w:rFonts w:ascii="Calibri" w:hAnsi="Calibri"/>
              </w:rPr>
              <w:t xml:space="preserve">Projection of h_audio</w:t>
            </w:r>
          </w:p>
        </w:tc>
        <w:tc>
          <w:tcPr>
            <w:tcW w:w="4360" w:type="dxa"/>
            <w:vAlign w:val="center"/>
          </w:tcPr>
          <w:p>
            <w:pPr>
              <w:spacing w:after="40"/>
            </w:pPr>
            <w:r>
              <w:rPr>
                <w:rFonts w:ascii="Calibri" w:hAnsi="Calibri"/>
              </w:rPr>
              <w:t xml:space="preserve">Measures performance available when concept interpretability is abandoned.</w:t>
            </w:r>
          </w:p>
        </w:tc>
      </w:tr>
      <w:tr>
        <w:trPr>
          <w:cantSplit/>
        </w:trPr>
        <w:tc>
          <w:tcPr>
            <w:tcW w:w="2300" w:type="dxa"/>
            <w:vAlign w:val="center"/>
          </w:tcPr>
          <w:p>
            <w:pPr>
              <w:spacing w:after="40"/>
            </w:pPr>
            <w:r>
              <w:rPr>
                <w:rFonts w:ascii="Calibri" w:hAnsi="Calibri"/>
              </w:rPr>
              <w:t xml:space="preserve">Shuffled-concept control</w:t>
            </w:r>
          </w:p>
        </w:tc>
        <w:tc>
          <w:tcPr>
            <w:tcW w:w="2700" w:type="dxa"/>
            <w:vAlign w:val="center"/>
          </w:tcPr>
          <w:p>
            <w:pPr>
              <w:spacing w:after="40"/>
            </w:pPr>
            <w:r>
              <w:rPr>
                <w:rFonts w:ascii="Calibri" w:hAnsi="Calibri"/>
              </w:rPr>
              <w:t xml:space="preserve">d_hat from another track</w:t>
            </w:r>
          </w:p>
        </w:tc>
        <w:tc>
          <w:tcPr>
            <w:tcW w:w="4360" w:type="dxa"/>
            <w:vAlign w:val="center"/>
          </w:tcPr>
          <w:p>
            <w:pPr>
              <w:spacing w:after="40"/>
            </w:pPr>
            <w:r>
              <w:rPr>
                <w:rFonts w:ascii="Calibri" w:hAnsi="Calibri"/>
              </w:rPr>
              <w:t xml:space="preserve">Tests whether correct track-level timbre concepts matter.</w:t>
            </w:r>
          </w:p>
        </w:tc>
      </w:tr>
    </w:tbl>
    <w:p>
      <w:pPr>
        <w:pStyle w:val="Heading2"/>
        <w:keepNext/>
      </w:pPr>
      <w:r>
        <w:rPr>
          <w:rFonts w:ascii="Calibri" w:hAnsi="Calibri"/>
        </w:rPr>
        <w:t xml:space="preserve">10.1 Timbre metrics</w:t>
      </w:r>
    </w:p>
    <w:p>
      <w:pPr>
        <w:spacing w:after="80"/>
        <w:numPr>
          <w:ilvl w:val="0"/>
          <w:numId w:val="1"/>
        </w:numPr>
      </w:pPr>
      <w:r>
        <w:rPr>
          <w:rFonts w:ascii="Calibri" w:hAnsi="Calibri"/>
        </w:rPr>
        <w:t xml:space="preserve">Macro and per-descriptor MAE/RMSE.</w:t>
      </w:r>
    </w:p>
    <w:p>
      <w:pPr>
        <w:spacing w:after="80"/>
        <w:numPr>
          <w:ilvl w:val="0"/>
          <w:numId w:val="1"/>
        </w:numPr>
      </w:pPr>
      <w:r>
        <w:rPr>
          <w:rFonts w:ascii="Calibri" w:hAnsi="Calibri"/>
        </w:rPr>
        <w:t xml:space="preserve">Per-descriptor Pearson and Spearman correlation.</w:t>
      </w:r>
    </w:p>
    <w:p>
      <w:pPr>
        <w:spacing w:after="80"/>
        <w:numPr>
          <w:ilvl w:val="0"/>
          <w:numId w:val="1"/>
        </w:numPr>
      </w:pPr>
      <w:r>
        <w:rPr>
          <w:rFonts w:ascii="Calibri" w:hAnsi="Calibri"/>
        </w:rPr>
        <w:t xml:space="preserve">Coefficient of determination where stable and meaningful.</w:t>
      </w:r>
    </w:p>
    <w:p>
      <w:pPr>
        <w:spacing w:after="80"/>
        <w:numPr>
          <w:ilvl w:val="0"/>
          <w:numId w:val="1"/>
        </w:numPr>
      </w:pPr>
      <w:r>
        <w:rPr>
          <w:rFonts w:ascii="Calibri" w:hAnsi="Calibri"/>
        </w:rPr>
        <w:t xml:space="preserve">Percentage of valid targets for every descriptor.</w:t>
      </w:r>
    </w:p>
    <w:p>
      <w:pPr>
        <w:pStyle w:val="Heading2"/>
        <w:keepNext/>
      </w:pPr>
      <w:r>
        <w:rPr>
          <w:rFonts w:ascii="Calibri" w:hAnsi="Calibri"/>
        </w:rPr>
        <w:t xml:space="preserve">10.2 Genre and explanation metrics</w:t>
      </w:r>
    </w:p>
    <w:p>
      <w:pPr>
        <w:spacing w:after="80"/>
        <w:numPr>
          <w:ilvl w:val="0"/>
          <w:numId w:val="1"/>
        </w:numPr>
      </w:pPr>
      <w:r>
        <w:rPr>
          <w:rFonts w:ascii="Calibri" w:hAnsi="Calibri"/>
        </w:rPr>
        <w:t xml:space="preserve">Macro and micro PR-AUC for the multi-label genre task.</w:t>
      </w:r>
    </w:p>
    <w:p>
      <w:pPr>
        <w:spacing w:after="80"/>
        <w:numPr>
          <w:ilvl w:val="0"/>
          <w:numId w:val="1"/>
        </w:numPr>
      </w:pPr>
      <w:r>
        <w:rPr>
          <w:rFonts w:ascii="Calibri" w:hAnsi="Calibri"/>
        </w:rPr>
        <w:t xml:space="preserve">Macro and micro F1, with per-genre results.</w:t>
      </w:r>
    </w:p>
    <w:p>
      <w:pPr>
        <w:spacing w:after="80"/>
        <w:numPr>
          <w:ilvl w:val="0"/>
          <w:numId w:val="1"/>
        </w:numPr>
      </w:pPr>
      <w:r>
        <w:rPr>
          <w:rFonts w:ascii="Calibri" w:hAnsi="Calibri"/>
        </w:rPr>
        <w:t xml:space="preserve">Genre-probability change under descriptor and group interventions.</w:t>
      </w:r>
    </w:p>
    <w:p>
      <w:pPr>
        <w:spacing w:after="80"/>
        <w:numPr>
          <w:ilvl w:val="0"/>
          <w:numId w:val="1"/>
        </w:numPr>
      </w:pPr>
      <w:r>
        <w:rPr>
          <w:rFonts w:ascii="Calibri" w:hAnsi="Calibri"/>
        </w:rPr>
        <w:t xml:space="preserve">Performance difference between d_true and d_hat fusion.</w:t>
      </w:r>
    </w:p>
    <w:p>
      <w:pPr>
        <w:spacing w:after="80"/>
        <w:numPr>
          <w:ilvl w:val="0"/>
          <w:numId w:val="1"/>
        </w:numPr>
      </w:pPr>
      <w:r>
        <w:rPr>
          <w:rFonts w:ascii="Calibri" w:hAnsi="Calibri"/>
        </w:rPr>
        <w:t xml:space="preserve">Performance drop when the complete timbre branch is removed.</w:t>
      </w:r>
    </w:p>
    <w:p>
      <w:pPr>
        <w:pStyle w:val="Heading1"/>
        <w:keepNext/>
      </w:pPr>
      <w:r>
        <w:rPr>
          <w:rFonts w:ascii="Calibri" w:hAnsi="Calibri"/>
        </w:rPr>
        <w:t xml:space="preserve">11. Software interface and reproducibility</w:t>
      </w:r>
    </w:p>
    <w:p>
      <w:pPr>
        <w:pStyle w:val="Code"/>
        <w:spacing w:after="0"/>
        <w:keepNext/>
        <w:shd w:val="clear" w:color="auto" w:fill="F2F4F7"/>
      </w:pPr>
      <w:r>
        <w:rPr>
          <w:rFonts w:ascii="Calibri" w:hAnsi="Calibri"/>
        </w:rPr>
        <w:t xml:space="preserve">{</w:t>
      </w:r>
    </w:p>
    <w:p>
      <w:pPr>
        <w:pStyle w:val="Code"/>
        <w:spacing w:after="0"/>
        <w:keepNext/>
        <w:shd w:val="clear" w:color="auto" w:fill="F2F4F7"/>
      </w:pPr>
      <w:r>
        <w:rPr>
          <w:rFonts w:ascii="Calibri" w:hAnsi="Calibri"/>
        </w:rPr>
        <w:t xml:space="preserve">  d_hat:          Tensor[batch, 35],</w:t>
      </w:r>
    </w:p>
    <w:p>
      <w:pPr>
        <w:pStyle w:val="Code"/>
        <w:spacing w:after="0"/>
        <w:keepNext/>
        <w:shd w:val="clear" w:color="auto" w:fill="F2F4F7"/>
      </w:pPr>
      <w:r>
        <w:rPr>
          <w:rFonts w:ascii="Calibri" w:hAnsi="Calibri"/>
        </w:rPr>
        <w:t xml:space="preserve">  z_timbre:       Tensor[batch, 35 or 32],</w:t>
      </w:r>
    </w:p>
    <w:p>
      <w:pPr>
        <w:pStyle w:val="Code"/>
        <w:spacing w:after="0"/>
        <w:keepNext/>
        <w:shd w:val="clear" w:color="auto" w:fill="F2F4F7"/>
      </w:pPr>
      <w:r>
        <w:rPr>
          <w:rFonts w:ascii="Calibri" w:hAnsi="Calibri"/>
        </w:rPr>
        <w:t xml:space="preserve">  timbre_loss:    scalar Tensor,</w:t>
      </w:r>
    </w:p>
    <w:p>
      <w:pPr>
        <w:pStyle w:val="Code"/>
        <w:spacing w:after="0"/>
        <w:keepNext/>
        <w:shd w:val="clear" w:color="auto" w:fill="F2F4F7"/>
      </w:pPr>
      <w:r>
        <w:rPr>
          <w:rFonts w:ascii="Calibri" w:hAnsi="Calibri"/>
        </w:rPr>
        <w:t xml:space="preserve">  validity_mask:  Tensor[batch, 35]</w:t>
      </w:r>
    </w:p>
    <w:p>
      <w:pPr>
        <w:pStyle w:val="Code"/>
        <w:spacing w:after="160"/>
        <w:shd w:val="clear" w:color="auto" w:fill="F2F4F7"/>
      </w:pPr>
      <w:r>
        <w:rPr>
          <w:rFonts w:ascii="Calibri" w:hAnsi="Calibri"/>
        </w:rPr>
        <w:t xml:space="preserve">}</w:t>
      </w:r>
    </w:p>
    <w:p>
      <w:pPr/>
      <w:r>
        <w:rPr>
          <w:rFonts w:ascii="Calibri" w:hAnsi="Calibri"/>
        </w:rPr>
        <w:t xml:space="preserve">The model checkpoint must store the descriptor order, training means, training standard deviations, extraction configuration, and projection choice. Without these artifacts, the output dimensions cannot be interpreted or reproduced reliably.</w:t>
      </w:r>
    </w:p>
    <w:p>
      <w:pPr>
        <w:pStyle w:val="Heading2"/>
        <w:keepNext/>
      </w:pPr>
      <w:r>
        <w:rPr>
          <w:rFonts w:ascii="Calibri" w:hAnsi="Calibri"/>
        </w:rPr>
        <w:t xml:space="preserve">11.1 Required artifacts</w:t>
      </w:r>
    </w:p>
    <w:p>
      <w:pPr>
        <w:spacing w:after="80"/>
        <w:numPr>
          <w:ilvl w:val="0"/>
          <w:numId w:val="1"/>
        </w:numPr>
      </w:pPr>
      <w:r>
        <w:rPr>
          <w:rFonts w:ascii="Calibri" w:hAnsi="Calibri"/>
        </w:rPr>
        <w:t xml:space="preserve">Versioned descriptor CSV keyed by TRACK_ID.</w:t>
      </w:r>
    </w:p>
    <w:p>
      <w:pPr>
        <w:spacing w:after="80"/>
        <w:numPr>
          <w:ilvl w:val="0"/>
          <w:numId w:val="1"/>
        </w:numPr>
      </w:pPr>
      <w:r>
        <w:rPr>
          <w:rFonts w:ascii="Calibri" w:hAnsi="Calibri"/>
        </w:rPr>
        <w:t xml:space="preserve">Extraction configuration including sample rate, FFT size, hop length, roll-off threshold, and software versions.</w:t>
      </w:r>
    </w:p>
    <w:p>
      <w:pPr>
        <w:spacing w:after="80"/>
        <w:numPr>
          <w:ilvl w:val="0"/>
          <w:numId w:val="1"/>
        </w:numPr>
      </w:pPr>
      <w:r>
        <w:rPr>
          <w:rFonts w:ascii="Calibri" w:hAnsi="Calibri"/>
        </w:rPr>
        <w:t xml:space="preserve">Training-only scaler parameters for all 35 descriptors.</w:t>
      </w:r>
    </w:p>
    <w:p>
      <w:pPr>
        <w:spacing w:after="80"/>
        <w:numPr>
          <w:ilvl w:val="0"/>
          <w:numId w:val="1"/>
        </w:numPr>
      </w:pPr>
      <w:r>
        <w:rPr>
          <w:rFonts w:ascii="Calibri" w:hAnsi="Calibri"/>
        </w:rPr>
        <w:t xml:space="preserve">Descriptor names in their exact model-output order.</w:t>
      </w:r>
    </w:p>
    <w:p>
      <w:pPr>
        <w:spacing w:after="80"/>
        <w:numPr>
          <w:ilvl w:val="0"/>
          <w:numId w:val="1"/>
        </w:numPr>
      </w:pPr>
      <w:r>
        <w:rPr>
          <w:rFonts w:ascii="Calibri" w:hAnsi="Calibri"/>
        </w:rPr>
        <w:t xml:space="preserve">Model checkpoint, hyperparameters, random seed, and data-split identifiers.</w:t>
      </w:r>
    </w:p>
    <w:p>
      <w:pPr>
        <w:spacing w:after="80"/>
        <w:numPr>
          <w:ilvl w:val="0"/>
          <w:numId w:val="1"/>
        </w:numPr>
      </w:pPr>
      <w:r>
        <w:rPr>
          <w:rFonts w:ascii="Calibri" w:hAnsi="Calibri"/>
        </w:rPr>
        <w:t xml:space="preserve">Evaluation tables covering concept fidelity, genre performance, and interventions.</w:t>
      </w:r>
    </w:p>
    <w:p>
      <w:pPr>
        <w:pStyle w:val="Heading1"/>
        <w:keepNext/>
      </w:pPr>
      <w:r>
        <w:rPr>
          <w:rFonts w:ascii="Calibri" w:hAnsi="Calibri"/>
        </w:rPr>
        <w:t xml:space="preserve">12. Risks and limitations</w:t>
      </w:r>
    </w:p>
    <w:tbl>
      <w:tblPr>
        <w:tblW w:w="9360" w:type="dxa"/>
        <w:tblInd w:w="120" w:type="dxa"/>
        <w:tblLayout w:type="fixed"/>
        <w:tblBorders>
          <w:top w:val="single" w:sz="4" w:space="0" w:color="CBD3DC"/>
          <w:left w:val="single" w:sz="4" w:space="0" w:color="CBD3DC"/>
          <w:bottom w:val="single" w:sz="4" w:space="0" w:color="CBD3DC"/>
          <w:right w:val="single" w:sz="4" w:space="0" w:color="CBD3DC"/>
          <w:insideH w:val="single" w:sz="4" w:space="0" w:color="CBD3DC"/>
          <w:insideV w:val="single" w:sz="4" w:space="0" w:color="CBD3DC"/>
        </w:tblBorders>
        <w:tblCellMar>
          <w:top w:w="80" w:type="dxa"/>
          <w:start w:w="120" w:type="dxa"/>
          <w:bottom w:w="80" w:type="dxa"/>
          <w:end w:w="120" w:type="dxa"/>
        </w:tblCellMar>
      </w:tblPr>
      <w:tblGrid>
        <w:gridCol w:w="2350"/>
        <w:gridCol w:w="3220"/>
        <w:gridCol w:w="3790"/>
      </w:tblGrid>
      <w:tr>
        <w:trPr>
          <w:tblHeader/>
          <w:cantSplit/>
        </w:trPr>
        <w:tc>
          <w:tcPr>
            <w:tcW w:w="2350" w:type="dxa"/>
            <w:shd w:val="clear" w:color="auto" w:fill="F4F6F9"/>
            <w:vAlign w:val="center"/>
          </w:tcPr>
          <w:p>
            <w:pPr>
              <w:spacing w:after="40"/>
            </w:pPr>
            <w:r>
              <w:rPr>
                <w:rFonts w:ascii="Calibri" w:hAnsi="Calibri"/>
                <w:b/>
              </w:rPr>
              <w:t xml:space="preserve">Risk</w:t>
            </w:r>
          </w:p>
        </w:tc>
        <w:tc>
          <w:tcPr>
            <w:tcW w:w="3220" w:type="dxa"/>
            <w:shd w:val="clear" w:color="auto" w:fill="F4F6F9"/>
            <w:vAlign w:val="center"/>
          </w:tcPr>
          <w:p>
            <w:pPr>
              <w:spacing w:after="40"/>
            </w:pPr>
            <w:r>
              <w:rPr>
                <w:rFonts w:ascii="Calibri" w:hAnsi="Calibri"/>
                <w:b/>
              </w:rPr>
              <w:t xml:space="preserve">Consequence</w:t>
            </w:r>
          </w:p>
        </w:tc>
        <w:tc>
          <w:tcPr>
            <w:tcW w:w="3790" w:type="dxa"/>
            <w:shd w:val="clear" w:color="auto" w:fill="F4F6F9"/>
            <w:vAlign w:val="center"/>
          </w:tcPr>
          <w:p>
            <w:pPr>
              <w:spacing w:after="40"/>
            </w:pPr>
            <w:r>
              <w:rPr>
                <w:rFonts w:ascii="Calibri" w:hAnsi="Calibri"/>
                <w:b/>
              </w:rPr>
              <w:t xml:space="preserve">Mitigation</w:t>
            </w:r>
          </w:p>
        </w:tc>
      </w:tr>
      <w:tr>
        <w:trPr>
          <w:cantSplit/>
        </w:trPr>
        <w:tc>
          <w:tcPr>
            <w:tcW w:w="2350" w:type="dxa"/>
            <w:vAlign w:val="center"/>
          </w:tcPr>
          <w:p>
            <w:pPr>
              <w:spacing w:after="40"/>
            </w:pPr>
            <w:r>
              <w:rPr>
                <w:rFonts w:ascii="Calibri" w:hAnsi="Calibri"/>
              </w:rPr>
              <w:t xml:space="preserve">HNR/inharmonicity instability in mixtures</w:t>
            </w:r>
          </w:p>
        </w:tc>
        <w:tc>
          <w:tcPr>
            <w:tcW w:w="3220" w:type="dxa"/>
            <w:vAlign w:val="center"/>
          </w:tcPr>
          <w:p>
            <w:pPr>
              <w:spacing w:after="40"/>
            </w:pPr>
            <w:r>
              <w:rPr>
                <w:rFonts w:ascii="Calibri" w:hAnsi="Calibri"/>
              </w:rPr>
              <w:t xml:space="preserve">Noisy targets can weaken concept supervision.</w:t>
            </w:r>
          </w:p>
        </w:tc>
        <w:tc>
          <w:tcPr>
            <w:tcW w:w="3790" w:type="dxa"/>
            <w:vAlign w:val="center"/>
          </w:tcPr>
          <w:p>
            <w:pPr>
              <w:spacing w:after="40"/>
            </w:pPr>
            <w:r>
              <w:rPr>
                <w:rFonts w:ascii="Calibri" w:hAnsi="Calibri"/>
              </w:rPr>
              <w:t xml:space="preserve">Use validity masks, robust aggregation, and per-feature quality checks.</w:t>
            </w:r>
          </w:p>
        </w:tc>
      </w:tr>
      <w:tr>
        <w:trPr>
          <w:cantSplit/>
        </w:trPr>
        <w:tc>
          <w:tcPr>
            <w:tcW w:w="2350" w:type="dxa"/>
            <w:vAlign w:val="center"/>
          </w:tcPr>
          <w:p>
            <w:pPr>
              <w:spacing w:after="40"/>
            </w:pPr>
            <w:r>
              <w:rPr>
                <w:rFonts w:ascii="Calibri" w:hAnsi="Calibri"/>
              </w:rPr>
              <w:t xml:space="preserve">Production effects in MFCCs</w:t>
            </w:r>
          </w:p>
        </w:tc>
        <w:tc>
          <w:tcPr>
            <w:tcW w:w="3220" w:type="dxa"/>
            <w:vAlign w:val="center"/>
          </w:tcPr>
          <w:p>
            <w:pPr>
              <w:spacing w:after="40"/>
            </w:pPr>
            <w:r>
              <w:rPr>
                <w:rFonts w:ascii="Calibri" w:hAnsi="Calibri"/>
              </w:rPr>
              <w:t xml:space="preserve">The branch may capture mastering or recording conditions.</w:t>
            </w:r>
          </w:p>
        </w:tc>
        <w:tc>
          <w:tcPr>
            <w:tcW w:w="3790" w:type="dxa"/>
            <w:vAlign w:val="center"/>
          </w:tcPr>
          <w:p>
            <w:pPr>
              <w:spacing w:after="40"/>
            </w:pPr>
            <w:r>
              <w:rPr>
                <w:rFonts w:ascii="Calibri" w:hAnsi="Calibri"/>
              </w:rPr>
              <w:t xml:space="preserve">Report this limitation and test gain/codec augmentation.</w:t>
            </w:r>
          </w:p>
        </w:tc>
      </w:tr>
      <w:tr>
        <w:trPr>
          <w:cantSplit/>
        </w:trPr>
        <w:tc>
          <w:tcPr>
            <w:tcW w:w="2350" w:type="dxa"/>
            <w:vAlign w:val="center"/>
          </w:tcPr>
          <w:p>
            <w:pPr>
              <w:spacing w:after="40"/>
            </w:pPr>
            <w:r>
              <w:rPr>
                <w:rFonts w:ascii="Calibri" w:hAnsi="Calibri"/>
              </w:rPr>
              <w:t xml:space="preserve">Shared-encoder information loss</w:t>
            </w:r>
          </w:p>
        </w:tc>
        <w:tc>
          <w:tcPr>
            <w:tcW w:w="3220" w:type="dxa"/>
            <w:vAlign w:val="center"/>
          </w:tcPr>
          <w:p>
            <w:pPr>
              <w:spacing w:after="40"/>
            </w:pPr>
            <w:r>
              <w:rPr>
                <w:rFonts w:ascii="Calibri" w:hAnsi="Calibri"/>
              </w:rPr>
              <w:t xml:space="preserve">The 128-D embedding may not retain details needed for all descriptors.</w:t>
            </w:r>
          </w:p>
        </w:tc>
        <w:tc>
          <w:tcPr>
            <w:tcW w:w="3790" w:type="dxa"/>
            <w:vAlign w:val="center"/>
          </w:tcPr>
          <w:p>
            <w:pPr>
              <w:spacing w:after="40"/>
            </w:pPr>
            <w:r>
              <w:rPr>
                <w:rFonts w:ascii="Calibri" w:hAnsi="Calibri"/>
              </w:rPr>
              <w:t xml:space="preserve">Measure frozen-encoder fidelity before joint fine-tuning.</w:t>
            </w:r>
          </w:p>
        </w:tc>
      </w:tr>
      <w:tr>
        <w:trPr>
          <w:cantSplit/>
        </w:trPr>
        <w:tc>
          <w:tcPr>
            <w:tcW w:w="2350" w:type="dxa"/>
            <w:vAlign w:val="center"/>
          </w:tcPr>
          <w:p>
            <w:pPr>
              <w:spacing w:after="40"/>
            </w:pPr>
            <w:r>
              <w:rPr>
                <w:rFonts w:ascii="Calibri" w:hAnsi="Calibri"/>
              </w:rPr>
              <w:t xml:space="preserve">Concept correlation</w:t>
            </w:r>
          </w:p>
        </w:tc>
        <w:tc>
          <w:tcPr>
            <w:tcW w:w="3220" w:type="dxa"/>
            <w:vAlign w:val="center"/>
          </w:tcPr>
          <w:p>
            <w:pPr>
              <w:spacing w:after="40"/>
            </w:pPr>
            <w:r>
              <w:rPr>
                <w:rFonts w:ascii="Calibri" w:hAnsi="Calibri"/>
              </w:rPr>
              <w:t xml:space="preserve">Timbre features may correlate with instruments, rhythm, or genre.</w:t>
            </w:r>
          </w:p>
        </w:tc>
        <w:tc>
          <w:tcPr>
            <w:tcW w:w="3790" w:type="dxa"/>
            <w:vAlign w:val="center"/>
          </w:tcPr>
          <w:p>
            <w:pPr>
              <w:spacing w:after="40"/>
            </w:pPr>
            <w:r>
              <w:rPr>
                <w:rFonts w:ascii="Calibri" w:hAnsi="Calibri"/>
              </w:rPr>
              <w:t xml:space="preserve">Use branch boundaries, ablations, and cautious interpretation rather than claiming perfect disentanglement.</w:t>
            </w:r>
          </w:p>
        </w:tc>
      </w:tr>
      <w:tr>
        <w:trPr>
          <w:cantSplit/>
        </w:trPr>
        <w:tc>
          <w:tcPr>
            <w:tcW w:w="2350" w:type="dxa"/>
            <w:vAlign w:val="center"/>
          </w:tcPr>
          <w:p>
            <w:pPr>
              <w:spacing w:after="40"/>
            </w:pPr>
            <w:r>
              <w:rPr>
                <w:rFonts w:ascii="Calibri" w:hAnsi="Calibri"/>
              </w:rPr>
              <w:t xml:space="preserve">Projection reduces transparency</w:t>
            </w:r>
          </w:p>
        </w:tc>
        <w:tc>
          <w:tcPr>
            <w:tcW w:w="3220" w:type="dxa"/>
            <w:vAlign w:val="center"/>
          </w:tcPr>
          <w:p>
            <w:pPr>
              <w:spacing w:after="40"/>
            </w:pPr>
            <w:r>
              <w:rPr>
                <w:rFonts w:ascii="Calibri" w:hAnsi="Calibri"/>
              </w:rPr>
              <w:t xml:space="preserve">Individual 32-D dimensions lose fixed acoustic meanings.</w:t>
            </w:r>
          </w:p>
        </w:tc>
        <w:tc>
          <w:tcPr>
            <w:tcW w:w="3790" w:type="dxa"/>
            <w:vAlign w:val="center"/>
          </w:tcPr>
          <w:p>
            <w:pPr>
              <w:spacing w:after="40"/>
            </w:pPr>
            <w:r>
              <w:rPr>
                <w:rFonts w:ascii="Calibri" w:hAnsi="Calibri"/>
              </w:rPr>
              <w:t xml:space="preserve">Keep d_hat exposed and perform interventions before projection.</w:t>
            </w:r>
          </w:p>
        </w:tc>
      </w:tr>
      <w:tr>
        <w:trPr>
          <w:cantSplit/>
        </w:trPr>
        <w:tc>
          <w:tcPr>
            <w:tcW w:w="2350" w:type="dxa"/>
            <w:vAlign w:val="center"/>
          </w:tcPr>
          <w:p>
            <w:pPr>
              <w:spacing w:after="40"/>
            </w:pPr>
            <w:r>
              <w:rPr>
                <w:rFonts w:ascii="Calibri" w:hAnsi="Calibri"/>
              </w:rPr>
              <w:t xml:space="preserve">Genre-performance trade-off</w:t>
            </w:r>
          </w:p>
        </w:tc>
        <w:tc>
          <w:tcPr>
            <w:tcW w:w="3220" w:type="dxa"/>
            <w:vAlign w:val="center"/>
          </w:tcPr>
          <w:p>
            <w:pPr>
              <w:spacing w:after="40"/>
            </w:pPr>
            <w:r>
              <w:rPr>
                <w:rFonts w:ascii="Calibri" w:hAnsi="Calibri"/>
              </w:rPr>
              <w:t xml:space="preserve">A strict bottleneck may underperform an unrestricted latent model.</w:t>
            </w:r>
          </w:p>
        </w:tc>
        <w:tc>
          <w:tcPr>
            <w:tcW w:w="3790" w:type="dxa"/>
            <w:vAlign w:val="center"/>
          </w:tcPr>
          <w:p>
            <w:pPr>
              <w:spacing w:after="40"/>
            </w:pPr>
            <w:r>
              <w:rPr>
                <w:rFonts w:ascii="Calibri" w:hAnsi="Calibri"/>
              </w:rPr>
              <w:t xml:space="preserve">Report both models and treat the difference as the cost of interpretability.</w:t>
            </w:r>
          </w:p>
        </w:tc>
      </w:tr>
    </w:tbl>
    <w:p>
      <w:pPr>
        <w:pStyle w:val="Heading1"/>
        <w:keepNext/>
      </w:pPr>
      <w:r>
        <w:rPr>
          <w:rFonts w:ascii="Calibri" w:hAnsi="Calibri"/>
        </w:rPr>
        <w:t xml:space="preserve">13. Acceptance criteria</w:t>
      </w:r>
    </w:p>
    <w:p>
      <w:pPr>
        <w:spacing w:after="80"/>
        <w:numPr>
          <w:ilvl w:val="0"/>
          <w:numId w:val="1"/>
        </w:numPr>
      </w:pPr>
      <w:r>
        <w:rPr>
          <w:rFonts w:ascii="Calibri" w:hAnsi="Calibri"/>
        </w:rPr>
        <w:t xml:space="preserve">Every row in the descriptor table is keyed by a valid TRACK_ID and records feature validity.</w:t>
      </w:r>
    </w:p>
    <w:p>
      <w:pPr>
        <w:spacing w:after="80"/>
        <w:numPr>
          <w:ilvl w:val="0"/>
          <w:numId w:val="1"/>
        </w:numPr>
      </w:pPr>
      <w:r>
        <w:rPr>
          <w:rFonts w:ascii="Calibri" w:hAnsi="Calibri"/>
        </w:rPr>
        <w:t xml:space="preserve">The scaler is fitted only on the training partition and saved with the experiment.</w:t>
      </w:r>
    </w:p>
    <w:p>
      <w:pPr>
        <w:spacing w:after="80"/>
        <w:numPr>
          <w:ilvl w:val="0"/>
          <w:numId w:val="1"/>
        </w:numPr>
      </w:pPr>
      <w:r>
        <w:rPr>
          <w:rFonts w:ascii="Calibri" w:hAnsi="Calibri"/>
        </w:rPr>
        <w:t xml:space="preserve">The timbre head returns exactly 35 ordered, supervised descriptor predictions.</w:t>
      </w:r>
    </w:p>
    <w:p>
      <w:pPr>
        <w:spacing w:after="80"/>
        <w:numPr>
          <w:ilvl w:val="0"/>
          <w:numId w:val="1"/>
        </w:numPr>
      </w:pPr>
      <w:r>
        <w:rPr>
          <w:rFonts w:ascii="Calibri" w:hAnsi="Calibri"/>
        </w:rPr>
        <w:t xml:space="preserve">The fusion layer receives only d_hat or its declared projection from the timbre branch.</w:t>
      </w:r>
    </w:p>
    <w:p>
      <w:pPr>
        <w:spacing w:after="80"/>
        <w:numPr>
          <w:ilvl w:val="0"/>
          <w:numId w:val="1"/>
        </w:numPr>
      </w:pPr>
      <w:r>
        <w:rPr>
          <w:rFonts w:ascii="Calibri" w:hAnsi="Calibri"/>
        </w:rPr>
        <w:t xml:space="preserve">Descriptor fidelity is reported per concept, not only as one average loss.</w:t>
      </w:r>
    </w:p>
    <w:p>
      <w:pPr>
        <w:spacing w:after="80"/>
        <w:numPr>
          <w:ilvl w:val="0"/>
          <w:numId w:val="1"/>
        </w:numPr>
      </w:pPr>
      <w:r>
        <w:rPr>
          <w:rFonts w:ascii="Calibri" w:hAnsi="Calibri"/>
        </w:rPr>
        <w:t xml:space="preserve">At least one descriptor intervention, one group ablation, and one complete-branch ablation are evaluated.</w:t>
      </w:r>
    </w:p>
    <w:p>
      <w:pPr>
        <w:spacing w:after="80"/>
        <w:numPr>
          <w:ilvl w:val="0"/>
          <w:numId w:val="1"/>
        </w:numPr>
      </w:pPr>
      <w:r>
        <w:rPr>
          <w:rFonts w:ascii="Calibri" w:hAnsi="Calibri"/>
        </w:rPr>
        <w:t xml:space="preserve">The direct-descriptor and unrestricted-latent baselines are included for an honest comparison.</w:t>
      </w:r>
    </w:p>
    <w:p>
      <w:pPr>
        <w:pStyle w:val="Heading1"/>
        <w:keepNext/>
      </w:pPr>
      <w:r>
        <w:rPr>
          <w:rFonts w:ascii="Calibri" w:hAnsi="Calibri"/>
        </w:rPr>
        <w:t xml:space="preserve">14. Final recommendation</w:t>
      </w:r>
    </w:p>
    <w:p>
      <w:pPr/>
      <w:r>
        <w:rPr>
          <w:rFonts w:ascii="Calibri" w:hAnsi="Calibri"/>
        </w:rPr>
        <w:t xml:space="preserve">Implement the timbre branch as a strict 128-to-35 learned concept bottleneck supervised by standardized waveform-derived descriptors. Pass the 35 predicted concepts directly to fusion whenever possible. If the system requires equal branch widths, apply one shallow 35-to-32 projection while retaining d_hat as the explanation and intervention layer.</w:t>
      </w:r>
    </w:p>
    <w:p>
      <w:pPr>
        <w:spacing w:after="160"/>
        <w:shd w:val="clear" w:color="auto" w:fill="F4F6F9"/>
      </w:pPr>
      <w:r>
        <w:rPr>
          <w:rFonts w:ascii="Calibri" w:hAnsi="Calibri"/>
          <w:b/>
          <w:color w:val="1F4D78"/>
        </w:rPr>
        <w:t xml:space="preserve">Research claim: </w:t>
      </w:r>
      <w:r>
        <w:rPr>
          <w:rFonts w:ascii="Calibri" w:hAnsi="Calibri"/>
        </w:rPr>
        <w:t xml:space="preserve">The branch converts a general shared representation into explicitly supervised timbre concepts and forces the timbre contribution to genre prediction through that semantic interface. Explainability is supported by descriptor fidelity, concept interventions, and controlled ablations - not by the bottleneck label alone.</w:t>
      </w:r>
    </w:p>
    <w:sectPr>
      <w:headerReference w:type="default" r:id="rId4"/>
      <w:footerReference w:type="default" r:id="rId5"/>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right"/>
    </w:pPr>
    <w:r>
      <w:rPr>
        <w:sz w:val="18"/>
        <w:color w:val="657382"/>
      </w:rPr>
      <w:t xml:space="preserve">Page </w:t>
    </w:r>
    <w:fldSimple w:instr="PAGE">
      <w:r>
        <w:rPr>
          <w:sz w:val="18"/>
          <w:color w:val="657382"/>
        </w:rPr>
        <w:t>1</w:t>
      </w:r>
    </w:fldSimple>
  </w:p>
</w:ftr>
</file>

<file path=word/header1.xml><?xml version="1.0" encoding="utf-8"?>
<w:hdr xmlns:w="http://schemas.openxmlformats.org/wordprocessingml/2006/main">
  <w:p>
    <w:pPr>
      <w:jc w:val="right"/>
      <w:pBdr>
        <w:bottom w:val="single" w:sz="4" w:space="3" w:color="D5DEE8"/>
      </w:pBdr>
      <w:spacing w:after="80"/>
    </w:pPr>
    <w:r>
      <w:rPr>
        <w:rFonts w:ascii="Calibri" w:hAnsi="Calibri"/>
        <w:sz w:val="18"/>
        <w:color w:val="657382"/>
      </w:rPr>
      <w:t>Explainable Timbre Branch | Research Proposal</w:t>
    </w:r>
  </w:p>
</w:hdr>
</file>

<file path=word/numbering.xml><?xml version="1.0" encoding="utf-8"?>
<w:numbering xmlns:w="http://schemas.openxmlformats.org/wordprocessingml/2006/main">
  <w:abstractNum w:abstractNumId="0">
    <w:multiLevelType w:val="multilevel"/>
    <w:lvl w:ilvl="0">
      <w:start w:val="1"/>
      <w:numFmt w:val="bullet"/>
      <w:lvlText w:val="•"/>
      <w:lvlJc w:val="left"/>
      <w:pPr>
        <w:tabs>
          <w:tab w:val="num" w:pos="540"/>
        </w:tabs>
        <w:ind w:left="540" w:hanging="280"/>
        <w:spacing w:after="80" w:line="290" w:lineRule="auto"/>
      </w:pPr>
      <w:rPr>
        <w:rFonts w:ascii="Calibri" w:hAnsi="Calibri"/>
      </w:rPr>
    </w:lvl>
    <w:lvl w:ilvl="1">
      <w:start w:val="1"/>
      <w:numFmt w:val="bullet"/>
      <w:lvlText w:val="•"/>
      <w:lvlJc w:val="left"/>
      <w:pPr>
        <w:tabs>
          <w:tab w:val="num" w:pos="900"/>
        </w:tabs>
        <w:ind w:left="900" w:hanging="280"/>
        <w:spacing w:after="80" w:line="290" w:lineRule="auto"/>
      </w:pPr>
      <w:rPr>
        <w:rFonts w:ascii="Calibri" w:hAnsi="Calibri"/>
      </w:rPr>
    </w:lvl>
    <w:lvl w:ilvl="2">
      <w:start w:val="1"/>
      <w:numFmt w:val="bullet"/>
      <w:lvlText w:val="•"/>
      <w:lvlJc w:val="left"/>
      <w:pPr>
        <w:tabs>
          <w:tab w:val="num" w:pos="1260"/>
        </w:tabs>
        <w:ind w:left="1260" w:hanging="280"/>
        <w:spacing w:after="80" w:line="290" w:lineRule="auto"/>
      </w:pPr>
      <w:rPr>
        <w:rFonts w:ascii="Calibri" w:hAnsi="Calibri"/>
      </w:rPr>
    </w:lvl>
  </w:abstractNum>
  <w:abstractNum w:abstractNumId="1">
    <w:multiLevelType w:val="multilevel"/>
    <w:lvl w:ilvl="0">
      <w:start w:val="1"/>
      <w:numFmt w:val="decimal"/>
      <w:lvlText w:val="%1."/>
      <w:lvlJc w:val="left"/>
      <w:pPr>
        <w:tabs>
          <w:tab w:val="num" w:pos="540"/>
        </w:tabs>
        <w:ind w:left="540" w:hanging="280"/>
        <w:spacing w:after="80" w:line="290" w:lineRule="auto"/>
      </w:pPr>
    </w:lvl>
    <w:lvl w:ilvl="1">
      <w:start w:val="1"/>
      <w:numFmt w:val="decimal"/>
      <w:lvlText w:val="%2."/>
      <w:lvlJc w:val="left"/>
      <w:pPr>
        <w:tabs>
          <w:tab w:val="num" w:pos="900"/>
        </w:tabs>
        <w:ind w:left="900" w:hanging="280"/>
        <w:spacing w:after="80" w:line="290" w:lineRule="auto"/>
      </w:pPr>
    </w:lvl>
    <w:lvl w:ilvl="2">
      <w:start w:val="1"/>
      <w:numFmt w:val="decimal"/>
      <w:lvlText w:val="%3."/>
      <w:lvlJc w:val="left"/>
      <w:pPr>
        <w:tabs>
          <w:tab w:val="num" w:pos="1260"/>
        </w:tabs>
        <w:ind w:left="1260" w:hanging="280"/>
        <w:spacing w:after="80" w:line="290" w:lineRule="auto"/>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szCs w:val="22"/>
        <w:color w:val="202A33"/>
      </w:rPr>
    </w:rPrDefault>
    <w:pPrDefault>
      <w:pPr>
        <w:spacing w:after="160" w:line="320" w:lineRule="auto"/>
        <w:jc w:val="both"/>
      </w:pPr>
    </w:pPrDefault>
  </w:docDefaults>
  <w:style w:type="paragraph" w:default="1" w:styleId="Normal">
    <w:name w:val="Normal"/>
    <w:qFormat/>
    <w:pPr>
      <w:spacing w:before="0" w:after="160" w:line="320" w:lineRule="auto"/>
      <w:jc w:val="both"/>
    </w:pPr>
    <w:rPr>
      <w:rFonts w:ascii="Calibri" w:hAnsi="Calibri"/>
      <w:sz w:val="22"/>
      <w:szCs w:val="22"/>
      <w:color w:val="202A33"/>
    </w:rPr>
  </w:style>
  <w:style w:type="paragraph" w:styleId="Heading1">
    <w:name w:val="heading 1"/>
    <w:basedOn w:val="Normal"/>
    <w:next w:val="Normal"/>
    <w:qFormat/>
    <w:pPr>
      <w:keepNext/>
      <w:keepLines/>
      <w:spacing w:before="360" w:after="200"/>
      <w:outlineLvl w:val="0"/>
    </w:pPr>
    <w:rPr>
      <w:rFonts w:ascii="Calibri" w:hAnsi="Calibri"/>
      <w:b/>
      <w:color w:val="2E74B5"/>
      <w:sz w:val="32"/>
      <w:szCs w:val="32"/>
    </w:rPr>
  </w:style>
  <w:style w:type="paragraph" w:styleId="Heading2">
    <w:name w:val="heading 2"/>
    <w:basedOn w:val="Normal"/>
    <w:next w:val="Normal"/>
    <w:qFormat/>
    <w:pPr>
      <w:keepNext/>
      <w:keepLines/>
      <w:spacing w:before="240" w:after="120"/>
      <w:outlineLvl w:val="1"/>
    </w:pPr>
    <w:rPr>
      <w:rFonts w:ascii="Calibri" w:hAnsi="Calibri"/>
      <w:b/>
      <w:color w:val="2E74B5"/>
      <w:sz w:val="26"/>
      <w:szCs w:val="26"/>
    </w:rPr>
  </w:style>
  <w:style w:type="paragraph" w:styleId="Heading3">
    <w:name w:val="heading 3"/>
    <w:basedOn w:val="Normal"/>
    <w:next w:val="Normal"/>
    <w:qFormat/>
    <w:pPr>
      <w:keepNext/>
      <w:keepLines/>
      <w:spacing w:before="160" w:after="80"/>
      <w:outlineLvl w:val="2"/>
    </w:pPr>
    <w:rPr>
      <w:rFonts w:ascii="Calibri" w:hAnsi="Calibri"/>
      <w:b/>
      <w:color w:val="1F4D78"/>
      <w:sz w:val="24"/>
      <w:szCs w:val="24"/>
    </w:rPr>
  </w:style>
  <w:style w:type="paragraph" w:styleId="Code">
    <w:name w:val="Code"/>
    <w:basedOn w:val="Normal"/>
    <w:pPr>
      <w:spacing w:before="0" w:after="0" w:line="260" w:lineRule="auto"/>
      <w:jc w:val="left"/>
      <w:ind w:left="240" w:right="240"/>
    </w:pPr>
    <w:rPr>
      <w:rFonts w:ascii="Consolas" w:hAnsi="Consolas"/>
      <w:sz w:val="19"/>
      <w:szCs w:val="19"/>
      <w:color w:val="26374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4" Type="http://schemas.openxmlformats.org/officeDocument/2006/relationships/header" Target="header1.xml"/>
<Relationship Id="rId5"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Explainable Timbre Concept-Bottleneck Branch</dc:title>
  <dc:subject>Music genre classification research proposal</dc:subject>
  <dc:creator>Research Project Team</dc:creator>
  <cp:keywords>timbre; concept bottleneck; explainability; music genre classification</cp:keywords>
  <dcterms:created xsi:type="dcterms:W3CDTF">2026-09-22T18:40:53Z</dcterms:created>
  <dcterms:modified xsi:type="dcterms:W3CDTF">2026-09-22T18:40:53Z</dcterms:modified>
</cp:coreProperties>
</file>