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Evidence Base for Explainable Music Features</w:t>
      </w:r>
    </w:p>
    <w:p>
      <w:pPr>
        <w:jc w:val="center"/>
      </w:pPr>
      <w:r>
        <w:rPr>
          <w:i/>
          <w:color w:val="2E75B6"/>
          <w:sz w:val="24"/>
        </w:rPr>
        <w:t>Stable feature contract, acoustic interpretation, and research justification</w:t>
      </w:r>
    </w:p>
    <w:tbl>
      <w:tblPr>
        <w:tblW w:type="auto" w:w="0"/>
        <w:jc w:val="center"/>
        <w:tblLook w:firstColumn="1" w:firstRow="1" w:lastColumn="0" w:lastRow="0" w:noHBand="0" w:noVBand="1" w:val="04A0"/>
      </w:tblPr>
      <w:tblGrid>
        <w:gridCol w:w="10368"/>
      </w:tblGrid>
      <w:tr>
        <w:tc>
          <w:tcPr>
            <w:tcW w:type="dxa" w:w="10368"/>
            <w:shd w:fill="DDEBF7"/>
            <w:vAlign w:val="center"/>
          </w:tcPr>
          <w:p>
            <w:pPr>
              <w:spacing w:after="0" w:before="0"/>
              <w:jc w:val="center"/>
            </w:pPr>
            <w:r/>
            <w:r>
              <w:rPr>
                <w:rFonts w:ascii="Aptos" w:hAnsi="Aptos"/>
                <w:b/>
                <w:color w:val="17324D"/>
                <w:sz w:val="22"/>
              </w:rPr>
              <w:t>CURRENT STABLE VERSION</w:t>
              <w:br/>
              <w:t>41 instrument features  •  10 rhythm features  •  12 timbre features  •  12 harmony features  •  6 genre targets</w:t>
            </w:r>
          </w:p>
        </w:tc>
      </w:tr>
    </w:tbl>
    <w:p/>
    <w:p>
      <w:pPr>
        <w:spacing w:after="120"/>
      </w:pPr>
      <w:r>
        <w:rPr>
          <w:b/>
        </w:rPr>
        <w:t>Purpose.</w:t>
      </w:r>
      <w:r>
        <w:t xml:space="preserve"> This document records why each interpretable timbre and harmony descriptor is relevant to music-genre analysis, ties the feature families to published music-information-retrieval (MIR) research, and fixes the boundary between warehouse candidates and the stable model input.</w:t>
      </w:r>
    </w:p>
    <w:p>
      <w:pPr>
        <w:spacing w:after="120"/>
      </w:pPr>
      <w:r>
        <w:rPr>
          <w:b/>
        </w:rPr>
        <w:t>Evidence claim.</w:t>
      </w:r>
      <w:r>
        <w:t xml:space="preserve"> The cited literature supports the acoustic construct and its use in music analysis; it does not prove that this exact 12-feature subset is universally optimal. The final subset is a transparent, low-dimensional engineering choice balancing coverage, interpretability, redundancy, and reproducibility.</w:t>
      </w:r>
    </w:p>
    <w:p>
      <w:pPr>
        <w:pStyle w:val="Heading1"/>
      </w:pPr>
      <w:r>
        <w:t>1. Stable feature contract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17324D"/>
          </w:tcPr>
          <w:p>
            <w:pPr>
              <w:spacing w:after="0" w:before="0"/>
            </w:pPr>
            <w:r/>
            <w:r>
              <w:rPr>
                <w:rFonts w:ascii="Aptos" w:hAnsi="Aptos"/>
                <w:b/>
                <w:color w:val="FFFFFF"/>
                <w:sz w:val="16"/>
              </w:rPr>
              <w:t>Branch</w:t>
            </w:r>
          </w:p>
        </w:tc>
        <w:tc>
          <w:tcPr>
            <w:tcW w:type="dxa" w:w="2592"/>
            <w:vAlign w:val="center"/>
            <w:shd w:fill="17324D"/>
          </w:tcPr>
          <w:p>
            <w:pPr>
              <w:spacing w:after="0" w:before="0"/>
            </w:pPr>
            <w:r/>
            <w:r>
              <w:rPr>
                <w:rFonts w:ascii="Aptos" w:hAnsi="Aptos"/>
                <w:b/>
                <w:color w:val="FFFFFF"/>
                <w:sz w:val="16"/>
              </w:rPr>
              <w:t>Count</w:t>
            </w:r>
          </w:p>
        </w:tc>
        <w:tc>
          <w:tcPr>
            <w:tcW w:type="dxa" w:w="2592"/>
            <w:vAlign w:val="center"/>
            <w:shd w:fill="17324D"/>
          </w:tcPr>
          <w:p>
            <w:pPr>
              <w:spacing w:after="0" w:before="0"/>
            </w:pPr>
            <w:r/>
            <w:r>
              <w:rPr>
                <w:rFonts w:ascii="Aptos" w:hAnsi="Aptos"/>
                <w:b/>
                <w:color w:val="FFFFFF"/>
                <w:sz w:val="16"/>
              </w:rPr>
              <w:t>Interpretive scope</w:t>
            </w:r>
          </w:p>
        </w:tc>
        <w:tc>
          <w:tcPr>
            <w:tcW w:type="dxa" w:w="2592"/>
            <w:vAlign w:val="center"/>
            <w:shd w:fill="17324D"/>
          </w:tcPr>
          <w:p>
            <w:pPr>
              <w:spacing w:after="0" w:before="0"/>
            </w:pPr>
            <w:r/>
            <w:r>
              <w:rPr>
                <w:rFonts w:ascii="Aptos" w:hAnsi="Aptos"/>
                <w:b/>
                <w:color w:val="FFFFFF"/>
                <w:sz w:val="16"/>
              </w:rPr>
              <w:t>Status</w:t>
            </w:r>
          </w:p>
        </w:tc>
      </w:tr>
      <w:tr>
        <w:trPr>
          <w:cantSplit/>
        </w:trPr>
        <w:tc>
          <w:tcPr>
            <w:tcW w:type="dxa" w:w="1800"/>
            <w:vAlign w:val="center"/>
          </w:tcPr>
          <w:p>
            <w:pPr>
              <w:spacing w:after="0" w:before="0"/>
            </w:pPr>
            <w:r/>
            <w:r>
              <w:rPr>
                <w:rFonts w:ascii="Aptos" w:hAnsi="Aptos"/>
                <w:b w:val="0"/>
                <w:sz w:val="17"/>
              </w:rPr>
              <w:t>Instrument</w:t>
            </w:r>
          </w:p>
        </w:tc>
        <w:tc>
          <w:tcPr>
            <w:tcW w:type="dxa" w:w="792"/>
            <w:vAlign w:val="center"/>
          </w:tcPr>
          <w:p>
            <w:pPr>
              <w:spacing w:after="0" w:before="0"/>
            </w:pPr>
            <w:r/>
            <w:r>
              <w:rPr>
                <w:rFonts w:ascii="Aptos" w:hAnsi="Aptos"/>
                <w:b w:val="0"/>
                <w:sz w:val="17"/>
              </w:rPr>
              <w:t>41</w:t>
            </w:r>
          </w:p>
        </w:tc>
        <w:tc>
          <w:tcPr>
            <w:tcW w:type="dxa" w:w="6696"/>
            <w:vAlign w:val="center"/>
          </w:tcPr>
          <w:p>
            <w:pPr>
              <w:spacing w:after="0" w:before="0"/>
            </w:pPr>
            <w:r/>
            <w:r>
              <w:rPr>
                <w:rFonts w:ascii="Aptos" w:hAnsi="Aptos"/>
                <w:b w:val="0"/>
                <w:sz w:val="17"/>
              </w:rPr>
              <w:t>Recognizable source/instrument concepts</w:t>
            </w:r>
          </w:p>
        </w:tc>
        <w:tc>
          <w:tcPr>
            <w:tcW w:type="dxa" w:w="1800"/>
            <w:vAlign w:val="center"/>
          </w:tcPr>
          <w:p>
            <w:pPr>
              <w:spacing w:after="0" w:before="0"/>
            </w:pPr>
            <w:r/>
            <w:r>
              <w:rPr>
                <w:rFonts w:ascii="Aptos" w:hAnsi="Aptos"/>
                <w:b w:val="0"/>
                <w:sz w:val="17"/>
              </w:rPr>
              <w:t>Stable input</w:t>
            </w:r>
          </w:p>
        </w:tc>
      </w:tr>
      <w:tr>
        <w:trPr>
          <w:cantSplit/>
        </w:trPr>
        <w:tc>
          <w:tcPr>
            <w:tcW w:type="dxa" w:w="1800"/>
            <w:vAlign w:val="center"/>
            <w:shd w:fill="F2F2F2"/>
          </w:tcPr>
          <w:p>
            <w:pPr>
              <w:spacing w:after="0" w:before="0"/>
            </w:pPr>
            <w:r/>
            <w:r>
              <w:rPr>
                <w:rFonts w:ascii="Aptos" w:hAnsi="Aptos"/>
                <w:b w:val="0"/>
                <w:sz w:val="17"/>
              </w:rPr>
              <w:t>Rhythm</w:t>
            </w:r>
          </w:p>
        </w:tc>
        <w:tc>
          <w:tcPr>
            <w:tcW w:type="dxa" w:w="792"/>
            <w:vAlign w:val="center"/>
            <w:shd w:fill="F2F2F2"/>
          </w:tcPr>
          <w:p>
            <w:pPr>
              <w:spacing w:after="0" w:before="0"/>
            </w:pPr>
            <w:r/>
            <w:r>
              <w:rPr>
                <w:rFonts w:ascii="Aptos" w:hAnsi="Aptos"/>
                <w:b w:val="0"/>
                <w:sz w:val="17"/>
              </w:rPr>
              <w:t>10</w:t>
            </w:r>
          </w:p>
        </w:tc>
        <w:tc>
          <w:tcPr>
            <w:tcW w:type="dxa" w:w="6696"/>
            <w:vAlign w:val="center"/>
            <w:shd w:fill="F2F2F2"/>
          </w:tcPr>
          <w:p>
            <w:pPr>
              <w:spacing w:after="0" w:before="0"/>
            </w:pPr>
            <w:r/>
            <w:r>
              <w:rPr>
                <w:rFonts w:ascii="Aptos" w:hAnsi="Aptos"/>
                <w:b w:val="0"/>
                <w:sz w:val="17"/>
              </w:rPr>
              <w:t>Tempo, beat regularity, onset activity, danceability</w:t>
            </w:r>
          </w:p>
        </w:tc>
        <w:tc>
          <w:tcPr>
            <w:tcW w:type="dxa" w:w="1800"/>
            <w:vAlign w:val="center"/>
            <w:shd w:fill="F2F2F2"/>
          </w:tcPr>
          <w:p>
            <w:pPr>
              <w:spacing w:after="0" w:before="0"/>
            </w:pPr>
            <w:r/>
            <w:r>
              <w:rPr>
                <w:rFonts w:ascii="Aptos" w:hAnsi="Aptos"/>
                <w:b w:val="0"/>
                <w:sz w:val="17"/>
              </w:rPr>
              <w:t>Stable input</w:t>
            </w:r>
          </w:p>
        </w:tc>
      </w:tr>
      <w:tr>
        <w:trPr>
          <w:cantSplit/>
        </w:trPr>
        <w:tc>
          <w:tcPr>
            <w:tcW w:type="dxa" w:w="1800"/>
            <w:vAlign w:val="center"/>
          </w:tcPr>
          <w:p>
            <w:pPr>
              <w:spacing w:after="0" w:before="0"/>
            </w:pPr>
            <w:r/>
            <w:r>
              <w:rPr>
                <w:rFonts w:ascii="Aptos" w:hAnsi="Aptos"/>
                <w:b w:val="0"/>
                <w:sz w:val="17"/>
              </w:rPr>
              <w:t>Timbre</w:t>
            </w:r>
          </w:p>
        </w:tc>
        <w:tc>
          <w:tcPr>
            <w:tcW w:type="dxa" w:w="792"/>
            <w:vAlign w:val="center"/>
          </w:tcPr>
          <w:p>
            <w:pPr>
              <w:spacing w:after="0" w:before="0"/>
            </w:pPr>
            <w:r/>
            <w:r>
              <w:rPr>
                <w:rFonts w:ascii="Aptos" w:hAnsi="Aptos"/>
                <w:b w:val="0"/>
                <w:sz w:val="17"/>
              </w:rPr>
              <w:t>12</w:t>
            </w:r>
          </w:p>
        </w:tc>
        <w:tc>
          <w:tcPr>
            <w:tcW w:type="dxa" w:w="6696"/>
            <w:vAlign w:val="center"/>
          </w:tcPr>
          <w:p>
            <w:pPr>
              <w:spacing w:after="0" w:before="0"/>
            </w:pPr>
            <w:r/>
            <w:r>
              <w:rPr>
                <w:rFonts w:ascii="Aptos" w:hAnsi="Aptos"/>
                <w:b w:val="0"/>
                <w:sz w:val="17"/>
              </w:rPr>
              <w:t>Brightness, spread, shape, contrast, noisiness, change, harmonicity</w:t>
            </w:r>
          </w:p>
        </w:tc>
        <w:tc>
          <w:tcPr>
            <w:tcW w:type="dxa" w:w="1800"/>
            <w:vAlign w:val="center"/>
          </w:tcPr>
          <w:p>
            <w:pPr>
              <w:spacing w:after="0" w:before="0"/>
            </w:pPr>
            <w:r/>
            <w:r>
              <w:rPr>
                <w:rFonts w:ascii="Aptos" w:hAnsi="Aptos"/>
                <w:b w:val="0"/>
                <w:sz w:val="17"/>
              </w:rPr>
              <w:t>Stable input</w:t>
            </w:r>
          </w:p>
        </w:tc>
      </w:tr>
      <w:tr>
        <w:trPr>
          <w:cantSplit/>
        </w:trPr>
        <w:tc>
          <w:tcPr>
            <w:tcW w:type="dxa" w:w="1800"/>
            <w:vAlign w:val="center"/>
            <w:shd w:fill="F2F2F2"/>
          </w:tcPr>
          <w:p>
            <w:pPr>
              <w:spacing w:after="0" w:before="0"/>
            </w:pPr>
            <w:r/>
            <w:r>
              <w:rPr>
                <w:rFonts w:ascii="Aptos" w:hAnsi="Aptos"/>
                <w:b w:val="0"/>
                <w:sz w:val="17"/>
              </w:rPr>
              <w:t>Harmony</w:t>
            </w:r>
          </w:p>
        </w:tc>
        <w:tc>
          <w:tcPr>
            <w:tcW w:type="dxa" w:w="792"/>
            <w:vAlign w:val="center"/>
            <w:shd w:fill="F2F2F2"/>
          </w:tcPr>
          <w:p>
            <w:pPr>
              <w:spacing w:after="0" w:before="0"/>
            </w:pPr>
            <w:r/>
            <w:r>
              <w:rPr>
                <w:rFonts w:ascii="Aptos" w:hAnsi="Aptos"/>
                <w:b w:val="0"/>
                <w:sz w:val="17"/>
              </w:rPr>
              <w:t>12</w:t>
            </w:r>
          </w:p>
        </w:tc>
        <w:tc>
          <w:tcPr>
            <w:tcW w:type="dxa" w:w="6696"/>
            <w:vAlign w:val="center"/>
            <w:shd w:fill="F2F2F2"/>
          </w:tcPr>
          <w:p>
            <w:pPr>
              <w:spacing w:after="0" w:before="0"/>
            </w:pPr>
            <w:r/>
            <w:r>
              <w:rPr>
                <w:rFonts w:ascii="Aptos" w:hAnsi="Aptos"/>
                <w:b w:val="0"/>
                <w:sz w:val="17"/>
              </w:rPr>
              <w:t>Key/mode, tonal stability, chroma organization, movement, recurrence, chords</w:t>
            </w:r>
          </w:p>
        </w:tc>
        <w:tc>
          <w:tcPr>
            <w:tcW w:type="dxa" w:w="1800"/>
            <w:vAlign w:val="center"/>
            <w:shd w:fill="F2F2F2"/>
          </w:tcPr>
          <w:p>
            <w:pPr>
              <w:spacing w:after="0" w:before="0"/>
            </w:pPr>
            <w:r/>
            <w:r>
              <w:rPr>
                <w:rFonts w:ascii="Aptos" w:hAnsi="Aptos"/>
                <w:b w:val="0"/>
                <w:sz w:val="17"/>
              </w:rPr>
              <w:t>Stable input</w:t>
            </w:r>
          </w:p>
        </w:tc>
      </w:tr>
      <w:tr>
        <w:trPr>
          <w:cantSplit/>
        </w:trPr>
        <w:tc>
          <w:tcPr>
            <w:tcW w:type="dxa" w:w="1800"/>
            <w:vAlign w:val="center"/>
          </w:tcPr>
          <w:p>
            <w:pPr>
              <w:spacing w:after="0" w:before="0"/>
            </w:pPr>
            <w:r/>
            <w:r>
              <w:rPr>
                <w:rFonts w:ascii="Aptos" w:hAnsi="Aptos"/>
                <w:b w:val="0"/>
                <w:sz w:val="17"/>
              </w:rPr>
              <w:t>Genre</w:t>
            </w:r>
          </w:p>
        </w:tc>
        <w:tc>
          <w:tcPr>
            <w:tcW w:type="dxa" w:w="792"/>
            <w:vAlign w:val="center"/>
          </w:tcPr>
          <w:p>
            <w:pPr>
              <w:spacing w:after="0" w:before="0"/>
            </w:pPr>
            <w:r/>
            <w:r>
              <w:rPr>
                <w:rFonts w:ascii="Aptos" w:hAnsi="Aptos"/>
                <w:b w:val="0"/>
                <w:sz w:val="17"/>
              </w:rPr>
              <w:t>6</w:t>
            </w:r>
          </w:p>
        </w:tc>
        <w:tc>
          <w:tcPr>
            <w:tcW w:type="dxa" w:w="6696"/>
            <w:vAlign w:val="center"/>
          </w:tcPr>
          <w:p>
            <w:pPr>
              <w:spacing w:after="0" w:before="0"/>
            </w:pPr>
            <w:r/>
            <w:r>
              <w:rPr>
                <w:rFonts w:ascii="Aptos" w:hAnsi="Aptos"/>
                <w:b w:val="0"/>
                <w:sz w:val="17"/>
              </w:rPr>
              <w:t>Multilabel genre targets</w:t>
            </w:r>
          </w:p>
        </w:tc>
        <w:tc>
          <w:tcPr>
            <w:tcW w:type="dxa" w:w="1800"/>
            <w:vAlign w:val="center"/>
          </w:tcPr>
          <w:p>
            <w:pPr>
              <w:spacing w:after="0" w:before="0"/>
            </w:pPr>
            <w:r/>
            <w:r>
              <w:rPr>
                <w:rFonts w:ascii="Aptos" w:hAnsi="Aptos"/>
                <w:b w:val="0"/>
                <w:sz w:val="17"/>
              </w:rPr>
              <w:t>Stable output</w:t>
            </w:r>
          </w:p>
        </w:tc>
      </w:tr>
      <w:tr>
        <w:trPr>
          <w:cantSplit/>
        </w:trPr>
        <w:tc>
          <w:tcPr>
            <w:tcW w:type="dxa" w:w="1800"/>
            <w:vAlign w:val="center"/>
            <w:shd w:fill="F2F2F2"/>
          </w:tcPr>
          <w:p>
            <w:pPr>
              <w:spacing w:after="0" w:before="0"/>
            </w:pPr>
            <w:r/>
            <w:r>
              <w:rPr>
                <w:rFonts w:ascii="Aptos" w:hAnsi="Aptos"/>
                <w:b w:val="0"/>
                <w:sz w:val="17"/>
              </w:rPr>
              <w:t>Harmony warehouse</w:t>
            </w:r>
          </w:p>
        </w:tc>
        <w:tc>
          <w:tcPr>
            <w:tcW w:type="dxa" w:w="792"/>
            <w:vAlign w:val="center"/>
            <w:shd w:fill="F2F2F2"/>
          </w:tcPr>
          <w:p>
            <w:pPr>
              <w:spacing w:after="0" w:before="0"/>
            </w:pPr>
            <w:r/>
            <w:r>
              <w:rPr>
                <w:rFonts w:ascii="Aptos" w:hAnsi="Aptos"/>
                <w:b w:val="0"/>
                <w:sz w:val="17"/>
              </w:rPr>
              <w:t>15</w:t>
            </w:r>
          </w:p>
        </w:tc>
        <w:tc>
          <w:tcPr>
            <w:tcW w:type="dxa" w:w="6696"/>
            <w:vAlign w:val="center"/>
            <w:shd w:fill="F2F2F2"/>
          </w:tcPr>
          <w:p>
            <w:pPr>
              <w:spacing w:after="0" w:before="0"/>
            </w:pPr>
            <w:r/>
            <w:r>
              <w:rPr>
                <w:rFonts w:ascii="Aptos" w:hAnsi="Aptos"/>
                <w:b w:val="0"/>
                <w:sz w:val="17"/>
              </w:rPr>
              <w:t>Stable 12 plus three retained variability candidates</w:t>
            </w:r>
          </w:p>
        </w:tc>
        <w:tc>
          <w:tcPr>
            <w:tcW w:type="dxa" w:w="1800"/>
            <w:vAlign w:val="center"/>
            <w:shd w:fill="F2F2F2"/>
          </w:tcPr>
          <w:p>
            <w:pPr>
              <w:spacing w:after="0" w:before="0"/>
            </w:pPr>
            <w:r/>
            <w:r>
              <w:rPr>
                <w:rFonts w:ascii="Aptos" w:hAnsi="Aptos"/>
                <w:b w:val="0"/>
                <w:sz w:val="17"/>
              </w:rPr>
              <w:t>Warehouse only</w:t>
            </w:r>
          </w:p>
        </w:tc>
      </w:tr>
    </w:tbl>
    <w:p>
      <w:pPr>
        <w:spacing w:after="0"/>
      </w:pPr>
    </w:p>
    <w:p>
      <w:pPr>
        <w:spacing w:after="120"/>
      </w:pPr>
      <w:r>
        <w:rPr>
          <w:b/>
          <w:color w:val="17324D"/>
        </w:rPr>
        <w:t xml:space="preserve">Strict boundary: </w:t>
      </w:r>
      <w:r>
        <w:t>the 15 harmony fields are retained only in the feature warehouse. The current stable harmony branch uses exactly 12 features; the three additional warehouse fields are not part of the stable vector.</w:t>
      </w:r>
    </w:p>
    <w:p>
      <w:pPr>
        <w:pStyle w:val="Heading1"/>
      </w:pPr>
      <w:r>
        <w:t>2. Selection logic</w:t>
      </w:r>
    </w:p>
    <w:p>
      <w:pPr>
        <w:pStyle w:val="ListBullet"/>
        <w:spacing w:after="60"/>
      </w:pPr>
      <w:r>
        <w:t>Construct coverage: retain features that expose different audible dimensions instead of many near-duplicates.</w:t>
      </w:r>
    </w:p>
    <w:p>
      <w:pPr>
        <w:pStyle w:val="ListBullet"/>
        <w:spacing w:after="60"/>
      </w:pPr>
      <w:r>
        <w:t>Human-readable direction: a higher or lower value should permit a defensible acoustic interpretation.</w:t>
      </w:r>
    </w:p>
    <w:p>
      <w:pPr>
        <w:pStyle w:val="ListBullet"/>
        <w:spacing w:after="60"/>
      </w:pPr>
      <w:r>
        <w:t>Temporal information: pair selected central-tendency measures with variability or movement measures where variation is musically meaningful.</w:t>
      </w:r>
    </w:p>
    <w:p>
      <w:pPr>
        <w:pStyle w:val="ListBullet"/>
        <w:spacing w:after="60"/>
      </w:pPr>
      <w:r>
        <w:t>Published provenance: use established MIR descriptors or transparent statistics derived from established representations.</w:t>
      </w:r>
    </w:p>
    <w:p>
      <w:pPr>
        <w:pStyle w:val="ListBullet"/>
        <w:spacing w:after="60"/>
      </w:pPr>
      <w:r>
        <w:t>Stable contract: warehouse availability does not automatically authorize use as a model input.</w:t>
      </w:r>
    </w:p>
    <w:p>
      <w:r>
        <w:br w:type="page"/>
      </w:r>
    </w:p>
    <w:p>
      <w:pPr>
        <w:pStyle w:val="Heading1"/>
      </w:pPr>
      <w:r>
        <w:t>3. Timbre branch — stable 12</w:t>
      </w:r>
    </w:p>
    <w:p>
      <w:pPr>
        <w:spacing w:after="120"/>
      </w:pPr>
      <w:r>
        <w:t>Timbre is multidimensional: it reflects spectral distribution, temporal evolution, and harmonic versus noise-like structure. The selected descriptors deliberately avoid an opaque all-MFCC representation. Peeters et al. organize timbre descriptors across temporal, spectral, spectro-temporal, energetic, and harmonic dimensions [1]; Tzanetakis and Cook show the value of short-time spectral statistics for genre classification [2].</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17324D"/>
          </w:tcPr>
          <w:p>
            <w:pPr>
              <w:spacing w:after="0" w:before="0"/>
            </w:pPr>
            <w:r/>
            <w:r>
              <w:rPr>
                <w:rFonts w:ascii="Aptos" w:hAnsi="Aptos"/>
                <w:b/>
                <w:color w:val="FFFFFF"/>
                <w:sz w:val="16"/>
              </w:rPr>
              <w:t>Feature</w:t>
            </w:r>
          </w:p>
        </w:tc>
        <w:tc>
          <w:tcPr>
            <w:tcW w:type="dxa" w:w="2592"/>
            <w:vAlign w:val="center"/>
            <w:shd w:fill="17324D"/>
          </w:tcPr>
          <w:p>
            <w:pPr>
              <w:spacing w:after="0" w:before="0"/>
            </w:pPr>
            <w:r/>
            <w:r>
              <w:rPr>
                <w:rFonts w:ascii="Aptos" w:hAnsi="Aptos"/>
                <w:b/>
                <w:color w:val="FFFFFF"/>
                <w:sz w:val="16"/>
              </w:rPr>
              <w:t>What it measures</w:t>
            </w:r>
          </w:p>
        </w:tc>
        <w:tc>
          <w:tcPr>
            <w:tcW w:type="dxa" w:w="2592"/>
            <w:vAlign w:val="center"/>
            <w:shd w:fill="17324D"/>
          </w:tcPr>
          <w:p>
            <w:pPr>
              <w:spacing w:after="0" w:before="0"/>
            </w:pPr>
            <w:r/>
            <w:r>
              <w:rPr>
                <w:rFonts w:ascii="Aptos" w:hAnsi="Aptos"/>
                <w:b/>
                <w:color w:val="FFFFFF"/>
                <w:sz w:val="16"/>
              </w:rPr>
              <w:t>Readable meaning</w:t>
            </w:r>
          </w:p>
        </w:tc>
        <w:tc>
          <w:tcPr>
            <w:tcW w:type="dxa" w:w="2592"/>
            <w:vAlign w:val="center"/>
            <w:shd w:fill="17324D"/>
          </w:tcPr>
          <w:p>
            <w:pPr>
              <w:spacing w:after="0" w:before="0"/>
            </w:pPr>
            <w:r/>
            <w:r>
              <w:rPr>
                <w:rFonts w:ascii="Aptos" w:hAnsi="Aptos"/>
                <w:b/>
                <w:color w:val="FFFFFF"/>
                <w:sz w:val="16"/>
              </w:rPr>
              <w:t>Evidence and study fit</w:t>
            </w:r>
          </w:p>
        </w:tc>
      </w:tr>
      <w:tr>
        <w:trPr>
          <w:cantSplit/>
        </w:trPr>
        <w:tc>
          <w:tcPr>
            <w:tcW w:type="dxa" w:w="2232"/>
            <w:vAlign w:val="center"/>
          </w:tcPr>
          <w:p>
            <w:pPr>
              <w:spacing w:after="0" w:before="0"/>
            </w:pPr>
            <w:r/>
            <w:r>
              <w:rPr>
                <w:rFonts w:ascii="Aptos" w:hAnsi="Aptos"/>
                <w:b w:val="0"/>
                <w:sz w:val="15"/>
              </w:rPr>
              <w:t>spectral_centroid_mean</w:t>
            </w:r>
          </w:p>
        </w:tc>
        <w:tc>
          <w:tcPr>
            <w:tcW w:type="dxa" w:w="2376"/>
            <w:vAlign w:val="center"/>
          </w:tcPr>
          <w:p>
            <w:pPr>
              <w:spacing w:after="0" w:before="0"/>
            </w:pPr>
            <w:r/>
            <w:r>
              <w:rPr>
                <w:rFonts w:ascii="Aptos" w:hAnsi="Aptos"/>
                <w:b w:val="0"/>
                <w:sz w:val="15"/>
              </w:rPr>
              <w:t>Average spectral centre of gravity.</w:t>
            </w:r>
          </w:p>
        </w:tc>
        <w:tc>
          <w:tcPr>
            <w:tcW w:type="dxa" w:w="2880"/>
            <w:vAlign w:val="center"/>
          </w:tcPr>
          <w:p>
            <w:pPr>
              <w:spacing w:after="0" w:before="0"/>
            </w:pPr>
            <w:r/>
            <w:r>
              <w:rPr>
                <w:rFonts w:ascii="Aptos" w:hAnsi="Aptos"/>
                <w:b w:val="0"/>
                <w:sz w:val="15"/>
              </w:rPr>
              <w:t>Overall brightness: more high-frequency energy generally raises the value.</w:t>
            </w:r>
          </w:p>
        </w:tc>
        <w:tc>
          <w:tcPr>
            <w:tcW w:type="dxa" w:w="4176"/>
            <w:vAlign w:val="center"/>
          </w:tcPr>
          <w:p>
            <w:pPr>
              <w:spacing w:after="0" w:before="0"/>
            </w:pPr>
            <w:r/>
            <w:r>
              <w:rPr>
                <w:rFonts w:ascii="Aptos" w:hAnsi="Aptos"/>
                <w:b w:val="0"/>
                <w:sz w:val="15"/>
              </w:rPr>
              <w:t>Established perceptual correlate of brightness and a standard timbral-texture descriptor [1–3].</w:t>
            </w:r>
          </w:p>
        </w:tc>
      </w:tr>
      <w:tr>
        <w:trPr>
          <w:cantSplit/>
        </w:trPr>
        <w:tc>
          <w:tcPr>
            <w:tcW w:type="dxa" w:w="2232"/>
            <w:vAlign w:val="center"/>
            <w:shd w:fill="F2F2F2"/>
          </w:tcPr>
          <w:p>
            <w:pPr>
              <w:spacing w:after="0" w:before="0"/>
            </w:pPr>
            <w:r/>
            <w:r>
              <w:rPr>
                <w:rFonts w:ascii="Aptos" w:hAnsi="Aptos"/>
                <w:b w:val="0"/>
                <w:sz w:val="15"/>
              </w:rPr>
              <w:t>spectral_centroid_std</w:t>
            </w:r>
          </w:p>
        </w:tc>
        <w:tc>
          <w:tcPr>
            <w:tcW w:type="dxa" w:w="2376"/>
            <w:vAlign w:val="center"/>
            <w:shd w:fill="F2F2F2"/>
          </w:tcPr>
          <w:p>
            <w:pPr>
              <w:spacing w:after="0" w:before="0"/>
            </w:pPr>
            <w:r/>
            <w:r>
              <w:rPr>
                <w:rFonts w:ascii="Aptos" w:hAnsi="Aptos"/>
                <w:b w:val="0"/>
                <w:sz w:val="15"/>
              </w:rPr>
              <w:t>Across-frame variability of centroid.</w:t>
            </w:r>
          </w:p>
        </w:tc>
        <w:tc>
          <w:tcPr>
            <w:tcW w:type="dxa" w:w="2880"/>
            <w:vAlign w:val="center"/>
            <w:shd w:fill="F2F2F2"/>
          </w:tcPr>
          <w:p>
            <w:pPr>
              <w:spacing w:after="0" w:before="0"/>
            </w:pPr>
            <w:r/>
            <w:r>
              <w:rPr>
                <w:rFonts w:ascii="Aptos" w:hAnsi="Aptos"/>
                <w:b w:val="0"/>
                <w:sz w:val="15"/>
              </w:rPr>
              <w:t>How much brightness changes through the track.</w:t>
            </w:r>
          </w:p>
        </w:tc>
        <w:tc>
          <w:tcPr>
            <w:tcW w:type="dxa" w:w="4176"/>
            <w:vAlign w:val="center"/>
            <w:shd w:fill="F2F2F2"/>
          </w:tcPr>
          <w:p>
            <w:pPr>
              <w:spacing w:after="0" w:before="0"/>
            </w:pPr>
            <w:r/>
            <w:r>
              <w:rPr>
                <w:rFonts w:ascii="Aptos" w:hAnsi="Aptos"/>
                <w:b w:val="0"/>
                <w:sz w:val="15"/>
              </w:rPr>
              <w:t>Temporal summary statistics preserve timbral evolution that a single mean loses [1,2].</w:t>
            </w:r>
          </w:p>
        </w:tc>
      </w:tr>
      <w:tr>
        <w:trPr>
          <w:cantSplit/>
        </w:trPr>
        <w:tc>
          <w:tcPr>
            <w:tcW w:type="dxa" w:w="2232"/>
            <w:vAlign w:val="center"/>
          </w:tcPr>
          <w:p>
            <w:pPr>
              <w:spacing w:after="0" w:before="0"/>
            </w:pPr>
            <w:r/>
            <w:r>
              <w:rPr>
                <w:rFonts w:ascii="Aptos" w:hAnsi="Aptos"/>
                <w:b w:val="0"/>
                <w:sz w:val="15"/>
              </w:rPr>
              <w:t>spectral_bandwidth_mean</w:t>
            </w:r>
          </w:p>
        </w:tc>
        <w:tc>
          <w:tcPr>
            <w:tcW w:type="dxa" w:w="2376"/>
            <w:vAlign w:val="center"/>
          </w:tcPr>
          <w:p>
            <w:pPr>
              <w:spacing w:after="0" w:before="0"/>
            </w:pPr>
            <w:r/>
            <w:r>
              <w:rPr>
                <w:rFonts w:ascii="Aptos" w:hAnsi="Aptos"/>
                <w:b w:val="0"/>
                <w:sz w:val="15"/>
              </w:rPr>
              <w:t>Average spread around the centroid.</w:t>
            </w:r>
          </w:p>
        </w:tc>
        <w:tc>
          <w:tcPr>
            <w:tcW w:type="dxa" w:w="2880"/>
            <w:vAlign w:val="center"/>
          </w:tcPr>
          <w:p>
            <w:pPr>
              <w:spacing w:after="0" w:before="0"/>
            </w:pPr>
            <w:r/>
            <w:r>
              <w:rPr>
                <w:rFonts w:ascii="Aptos" w:hAnsi="Aptos"/>
                <w:b w:val="0"/>
                <w:sz w:val="15"/>
              </w:rPr>
              <w:t>Broad/full versus narrow/concentrated spectral energy.</w:t>
            </w:r>
          </w:p>
        </w:tc>
        <w:tc>
          <w:tcPr>
            <w:tcW w:type="dxa" w:w="4176"/>
            <w:vAlign w:val="center"/>
          </w:tcPr>
          <w:p>
            <w:pPr>
              <w:spacing w:after="0" w:before="0"/>
            </w:pPr>
            <w:r/>
            <w:r>
              <w:rPr>
                <w:rFonts w:ascii="Aptos" w:hAnsi="Aptos"/>
                <w:b w:val="0"/>
                <w:sz w:val="15"/>
              </w:rPr>
              <w:t>Spectral spread is a core spectral-shape dimension in systematic timbre descriptor sets [1].</w:t>
            </w:r>
          </w:p>
        </w:tc>
      </w:tr>
      <w:tr>
        <w:trPr>
          <w:cantSplit/>
        </w:trPr>
        <w:tc>
          <w:tcPr>
            <w:tcW w:type="dxa" w:w="2232"/>
            <w:vAlign w:val="center"/>
            <w:shd w:fill="F2F2F2"/>
          </w:tcPr>
          <w:p>
            <w:pPr>
              <w:spacing w:after="0" w:before="0"/>
            </w:pPr>
            <w:r/>
            <w:r>
              <w:rPr>
                <w:rFonts w:ascii="Aptos" w:hAnsi="Aptos"/>
                <w:b w:val="0"/>
                <w:sz w:val="15"/>
              </w:rPr>
              <w:t>spectral_bandwidth_std</w:t>
            </w:r>
          </w:p>
        </w:tc>
        <w:tc>
          <w:tcPr>
            <w:tcW w:type="dxa" w:w="2376"/>
            <w:vAlign w:val="center"/>
            <w:shd w:fill="F2F2F2"/>
          </w:tcPr>
          <w:p>
            <w:pPr>
              <w:spacing w:after="0" w:before="0"/>
            </w:pPr>
            <w:r/>
            <w:r>
              <w:rPr>
                <w:rFonts w:ascii="Aptos" w:hAnsi="Aptos"/>
                <w:b w:val="0"/>
                <w:sz w:val="15"/>
              </w:rPr>
              <w:t>Across-frame variability of bandwidth.</w:t>
            </w:r>
          </w:p>
        </w:tc>
        <w:tc>
          <w:tcPr>
            <w:tcW w:type="dxa" w:w="2880"/>
            <w:vAlign w:val="center"/>
            <w:shd w:fill="F2F2F2"/>
          </w:tcPr>
          <w:p>
            <w:pPr>
              <w:spacing w:after="0" w:before="0"/>
            </w:pPr>
            <w:r/>
            <w:r>
              <w:rPr>
                <w:rFonts w:ascii="Aptos" w:hAnsi="Aptos"/>
                <w:b w:val="0"/>
                <w:sz w:val="15"/>
              </w:rPr>
              <w:t>Changes in spectral fullness or orchestration density.</w:t>
            </w:r>
          </w:p>
        </w:tc>
        <w:tc>
          <w:tcPr>
            <w:tcW w:type="dxa" w:w="4176"/>
            <w:vAlign w:val="center"/>
            <w:shd w:fill="F2F2F2"/>
          </w:tcPr>
          <w:p>
            <w:pPr>
              <w:spacing w:after="0" w:before="0"/>
            </w:pPr>
            <w:r/>
            <w:r>
              <w:rPr>
                <w:rFonts w:ascii="Aptos" w:hAnsi="Aptos"/>
                <w:b w:val="0"/>
                <w:sz w:val="15"/>
              </w:rPr>
              <w:t>Complements mean spread with temporal variability, consistent with frame-distribution summaries [1,2].</w:t>
            </w:r>
          </w:p>
        </w:tc>
      </w:tr>
      <w:tr>
        <w:trPr>
          <w:cantSplit/>
        </w:trPr>
        <w:tc>
          <w:tcPr>
            <w:tcW w:type="dxa" w:w="2232"/>
            <w:vAlign w:val="center"/>
          </w:tcPr>
          <w:p>
            <w:pPr>
              <w:spacing w:after="0" w:before="0"/>
            </w:pPr>
            <w:r/>
            <w:r>
              <w:rPr>
                <w:rFonts w:ascii="Aptos" w:hAnsi="Aptos"/>
                <w:b w:val="0"/>
                <w:sz w:val="15"/>
              </w:rPr>
              <w:t>spectral_skewness_mean</w:t>
            </w:r>
          </w:p>
        </w:tc>
        <w:tc>
          <w:tcPr>
            <w:tcW w:type="dxa" w:w="2376"/>
            <w:vAlign w:val="center"/>
          </w:tcPr>
          <w:p>
            <w:pPr>
              <w:spacing w:after="0" w:before="0"/>
            </w:pPr>
            <w:r/>
            <w:r>
              <w:rPr>
                <w:rFonts w:ascii="Aptos" w:hAnsi="Aptos"/>
                <w:b w:val="0"/>
                <w:sz w:val="15"/>
              </w:rPr>
              <w:t>Average asymmetry of the magnitude spectrum.</w:t>
            </w:r>
          </w:p>
        </w:tc>
        <w:tc>
          <w:tcPr>
            <w:tcW w:type="dxa" w:w="2880"/>
            <w:vAlign w:val="center"/>
          </w:tcPr>
          <w:p>
            <w:pPr>
              <w:spacing w:after="0" w:before="0"/>
            </w:pPr>
            <w:r/>
            <w:r>
              <w:rPr>
                <w:rFonts w:ascii="Aptos" w:hAnsi="Aptos"/>
                <w:b w:val="0"/>
                <w:sz w:val="15"/>
              </w:rPr>
              <w:t>Whether the spectral tail is biased toward lower or higher frequencies.</w:t>
            </w:r>
          </w:p>
        </w:tc>
        <w:tc>
          <w:tcPr>
            <w:tcW w:type="dxa" w:w="4176"/>
            <w:vAlign w:val="center"/>
          </w:tcPr>
          <w:p>
            <w:pPr>
              <w:spacing w:after="0" w:before="0"/>
            </w:pPr>
            <w:r/>
            <w:r>
              <w:rPr>
                <w:rFonts w:ascii="Aptos" w:hAnsi="Aptos"/>
                <w:b w:val="0"/>
                <w:sz w:val="15"/>
              </w:rPr>
              <w:t>Higher-order spectral shape is included in the Timbre Toolbox taxonomy and adds shape information beyond centre and spread [1].</w:t>
            </w:r>
          </w:p>
        </w:tc>
      </w:tr>
      <w:tr>
        <w:trPr>
          <w:cantSplit/>
        </w:trPr>
        <w:tc>
          <w:tcPr>
            <w:tcW w:type="dxa" w:w="2232"/>
            <w:vAlign w:val="center"/>
            <w:shd w:fill="F2F2F2"/>
          </w:tcPr>
          <w:p>
            <w:pPr>
              <w:spacing w:after="0" w:before="0"/>
            </w:pPr>
            <w:r/>
            <w:r>
              <w:rPr>
                <w:rFonts w:ascii="Aptos" w:hAnsi="Aptos"/>
                <w:b w:val="0"/>
                <w:sz w:val="15"/>
              </w:rPr>
              <w:t>spectral_contrast_mean</w:t>
            </w:r>
          </w:p>
        </w:tc>
        <w:tc>
          <w:tcPr>
            <w:tcW w:type="dxa" w:w="2376"/>
            <w:vAlign w:val="center"/>
            <w:shd w:fill="F2F2F2"/>
          </w:tcPr>
          <w:p>
            <w:pPr>
              <w:spacing w:after="0" w:before="0"/>
            </w:pPr>
            <w:r/>
            <w:r>
              <w:rPr>
                <w:rFonts w:ascii="Aptos" w:hAnsi="Aptos"/>
                <w:b w:val="0"/>
                <w:sz w:val="15"/>
              </w:rPr>
              <w:t>Average peak–valley contrast across octave bands.</w:t>
            </w:r>
          </w:p>
        </w:tc>
        <w:tc>
          <w:tcPr>
            <w:tcW w:type="dxa" w:w="2880"/>
            <w:vAlign w:val="center"/>
            <w:shd w:fill="F2F2F2"/>
          </w:tcPr>
          <w:p>
            <w:pPr>
              <w:spacing w:after="0" w:before="0"/>
            </w:pPr>
            <w:r/>
            <w:r>
              <w:rPr>
                <w:rFonts w:ascii="Aptos" w:hAnsi="Aptos"/>
                <w:b w:val="0"/>
                <w:sz w:val="15"/>
              </w:rPr>
              <w:t>Separation of prominent harmonic peaks from spectral valleys/noise floor.</w:t>
            </w:r>
          </w:p>
        </w:tc>
        <w:tc>
          <w:tcPr>
            <w:tcW w:type="dxa" w:w="4176"/>
            <w:vAlign w:val="center"/>
            <w:shd w:fill="F2F2F2"/>
          </w:tcPr>
          <w:p>
            <w:pPr>
              <w:spacing w:after="0" w:before="0"/>
            </w:pPr>
            <w:r/>
            <w:r>
              <w:rPr>
                <w:rFonts w:ascii="Aptos" w:hAnsi="Aptos"/>
                <w:b w:val="0"/>
                <w:sz w:val="15"/>
              </w:rPr>
              <w:t>Proposed specifically for music-type classification; shown to retain relative spectral structure lost by average envelopes [4].</w:t>
            </w:r>
          </w:p>
        </w:tc>
      </w:tr>
      <w:tr>
        <w:trPr>
          <w:cantSplit/>
        </w:trPr>
        <w:tc>
          <w:tcPr>
            <w:tcW w:type="dxa" w:w="2232"/>
            <w:vAlign w:val="center"/>
          </w:tcPr>
          <w:p>
            <w:pPr>
              <w:spacing w:after="0" w:before="0"/>
            </w:pPr>
            <w:r/>
            <w:r>
              <w:rPr>
                <w:rFonts w:ascii="Aptos" w:hAnsi="Aptos"/>
                <w:b w:val="0"/>
                <w:sz w:val="15"/>
              </w:rPr>
              <w:t>spectral_flatness_mean</w:t>
            </w:r>
          </w:p>
        </w:tc>
        <w:tc>
          <w:tcPr>
            <w:tcW w:type="dxa" w:w="2376"/>
            <w:vAlign w:val="center"/>
          </w:tcPr>
          <w:p>
            <w:pPr>
              <w:spacing w:after="0" w:before="0"/>
            </w:pPr>
            <w:r/>
            <w:r>
              <w:rPr>
                <w:rFonts w:ascii="Aptos" w:hAnsi="Aptos"/>
                <w:b w:val="0"/>
                <w:sz w:val="15"/>
              </w:rPr>
              <w:t>Geometric-to-arithmetic spectral energy ratio.</w:t>
            </w:r>
          </w:p>
        </w:tc>
        <w:tc>
          <w:tcPr>
            <w:tcW w:type="dxa" w:w="2880"/>
            <w:vAlign w:val="center"/>
          </w:tcPr>
          <w:p>
            <w:pPr>
              <w:spacing w:after="0" w:before="0"/>
            </w:pPr>
            <w:r/>
            <w:r>
              <w:rPr>
                <w:rFonts w:ascii="Aptos" w:hAnsi="Aptos"/>
                <w:b w:val="0"/>
                <w:sz w:val="15"/>
              </w:rPr>
              <w:t>Noise-like/flat versus tonal/peaked spectrum.</w:t>
            </w:r>
          </w:p>
        </w:tc>
        <w:tc>
          <w:tcPr>
            <w:tcW w:type="dxa" w:w="4176"/>
            <w:vAlign w:val="center"/>
          </w:tcPr>
          <w:p>
            <w:pPr>
              <w:spacing w:after="0" w:before="0"/>
            </w:pPr>
            <w:r/>
            <w:r>
              <w:rPr>
                <w:rFonts w:ascii="Aptos" w:hAnsi="Aptos"/>
                <w:b w:val="0"/>
                <w:sz w:val="15"/>
              </w:rPr>
              <w:t>A standard descriptor for distinguishing noise-like and harmonic spectra in timbre analysis [1].</w:t>
            </w:r>
          </w:p>
        </w:tc>
      </w:tr>
      <w:tr>
        <w:trPr>
          <w:cantSplit/>
        </w:trPr>
        <w:tc>
          <w:tcPr>
            <w:tcW w:type="dxa" w:w="2232"/>
            <w:vAlign w:val="center"/>
            <w:shd w:fill="F2F2F2"/>
          </w:tcPr>
          <w:p>
            <w:pPr>
              <w:spacing w:after="0" w:before="0"/>
            </w:pPr>
            <w:r/>
            <w:r>
              <w:rPr>
                <w:rFonts w:ascii="Aptos" w:hAnsi="Aptos"/>
                <w:b w:val="0"/>
                <w:sz w:val="15"/>
              </w:rPr>
              <w:t>spectral_rolloff_mean</w:t>
            </w:r>
          </w:p>
        </w:tc>
        <w:tc>
          <w:tcPr>
            <w:tcW w:type="dxa" w:w="2376"/>
            <w:vAlign w:val="center"/>
            <w:shd w:fill="F2F2F2"/>
          </w:tcPr>
          <w:p>
            <w:pPr>
              <w:spacing w:after="0" w:before="0"/>
            </w:pPr>
            <w:r/>
            <w:r>
              <w:rPr>
                <w:rFonts w:ascii="Aptos" w:hAnsi="Aptos"/>
                <w:b w:val="0"/>
                <w:sz w:val="15"/>
              </w:rPr>
              <w:t>Frequency below which a fixed proportion of spectral energy lies.</w:t>
            </w:r>
          </w:p>
        </w:tc>
        <w:tc>
          <w:tcPr>
            <w:tcW w:type="dxa" w:w="2880"/>
            <w:vAlign w:val="center"/>
            <w:shd w:fill="F2F2F2"/>
          </w:tcPr>
          <w:p>
            <w:pPr>
              <w:spacing w:after="0" w:before="0"/>
            </w:pPr>
            <w:r/>
            <w:r>
              <w:rPr>
                <w:rFonts w:ascii="Aptos" w:hAnsi="Aptos"/>
                <w:b w:val="0"/>
                <w:sz w:val="15"/>
              </w:rPr>
              <w:t>High-frequency extent and spectral edge.</w:t>
            </w:r>
          </w:p>
        </w:tc>
        <w:tc>
          <w:tcPr>
            <w:tcW w:type="dxa" w:w="4176"/>
            <w:vAlign w:val="center"/>
            <w:shd w:fill="F2F2F2"/>
          </w:tcPr>
          <w:p>
            <w:pPr>
              <w:spacing w:after="0" w:before="0"/>
            </w:pPr>
            <w:r/>
            <w:r>
              <w:rPr>
                <w:rFonts w:ascii="Aptos" w:hAnsi="Aptos"/>
                <w:b w:val="0"/>
                <w:sz w:val="15"/>
              </w:rPr>
              <w:t>A canonical timbral-texture feature used in genre classification [2] and included in broad timbre descriptor taxonomies [1].</w:t>
            </w:r>
          </w:p>
        </w:tc>
      </w:tr>
      <w:tr>
        <w:trPr>
          <w:cantSplit/>
        </w:trPr>
        <w:tc>
          <w:tcPr>
            <w:tcW w:type="dxa" w:w="2232"/>
            <w:vAlign w:val="center"/>
          </w:tcPr>
          <w:p>
            <w:pPr>
              <w:spacing w:after="0" w:before="0"/>
            </w:pPr>
            <w:r/>
            <w:r>
              <w:rPr>
                <w:rFonts w:ascii="Aptos" w:hAnsi="Aptos"/>
                <w:b w:val="0"/>
                <w:sz w:val="15"/>
              </w:rPr>
              <w:t>spectral_flux_mean</w:t>
            </w:r>
          </w:p>
        </w:tc>
        <w:tc>
          <w:tcPr>
            <w:tcW w:type="dxa" w:w="2376"/>
            <w:vAlign w:val="center"/>
          </w:tcPr>
          <w:p>
            <w:pPr>
              <w:spacing w:after="0" w:before="0"/>
            </w:pPr>
            <w:r/>
            <w:r>
              <w:rPr>
                <w:rFonts w:ascii="Aptos" w:hAnsi="Aptos"/>
                <w:b w:val="0"/>
                <w:sz w:val="15"/>
              </w:rPr>
              <w:t>Average frame-to-frame spectral change.</w:t>
            </w:r>
          </w:p>
        </w:tc>
        <w:tc>
          <w:tcPr>
            <w:tcW w:type="dxa" w:w="2880"/>
            <w:vAlign w:val="center"/>
          </w:tcPr>
          <w:p>
            <w:pPr>
              <w:spacing w:after="0" w:before="0"/>
            </w:pPr>
            <w:r/>
            <w:r>
              <w:rPr>
                <w:rFonts w:ascii="Aptos" w:hAnsi="Aptos"/>
                <w:b w:val="0"/>
                <w:sz w:val="15"/>
              </w:rPr>
              <w:t>Typical rate/amount of timbral activity and note/onset-related change.</w:t>
            </w:r>
          </w:p>
        </w:tc>
        <w:tc>
          <w:tcPr>
            <w:tcW w:type="dxa" w:w="4176"/>
            <w:vAlign w:val="center"/>
          </w:tcPr>
          <w:p>
            <w:pPr>
              <w:spacing w:after="0" w:before="0"/>
            </w:pPr>
            <w:r/>
            <w:r>
              <w:rPr>
                <w:rFonts w:ascii="Aptos" w:hAnsi="Aptos"/>
                <w:b w:val="0"/>
                <w:sz w:val="15"/>
              </w:rPr>
              <w:t>Used as a timbral-texture statistic in genre classification and linked to perceived activity in polyphonic timbre [2,5].</w:t>
            </w:r>
          </w:p>
        </w:tc>
      </w:tr>
      <w:tr>
        <w:trPr>
          <w:cantSplit/>
        </w:trPr>
        <w:tc>
          <w:tcPr>
            <w:tcW w:type="dxa" w:w="2232"/>
            <w:vAlign w:val="center"/>
            <w:shd w:fill="F2F2F2"/>
          </w:tcPr>
          <w:p>
            <w:pPr>
              <w:spacing w:after="0" w:before="0"/>
            </w:pPr>
            <w:r/>
            <w:r>
              <w:rPr>
                <w:rFonts w:ascii="Aptos" w:hAnsi="Aptos"/>
                <w:b w:val="0"/>
                <w:sz w:val="15"/>
              </w:rPr>
              <w:t>spectral_flux_std</w:t>
            </w:r>
          </w:p>
        </w:tc>
        <w:tc>
          <w:tcPr>
            <w:tcW w:type="dxa" w:w="2376"/>
            <w:vAlign w:val="center"/>
            <w:shd w:fill="F2F2F2"/>
          </w:tcPr>
          <w:p>
            <w:pPr>
              <w:spacing w:after="0" w:before="0"/>
            </w:pPr>
            <w:r/>
            <w:r>
              <w:rPr>
                <w:rFonts w:ascii="Aptos" w:hAnsi="Aptos"/>
                <w:b w:val="0"/>
                <w:sz w:val="15"/>
              </w:rPr>
              <w:t>Variability of frame-to-frame spectral change.</w:t>
            </w:r>
          </w:p>
        </w:tc>
        <w:tc>
          <w:tcPr>
            <w:tcW w:type="dxa" w:w="2880"/>
            <w:vAlign w:val="center"/>
            <w:shd w:fill="F2F2F2"/>
          </w:tcPr>
          <w:p>
            <w:pPr>
              <w:spacing w:after="0" w:before="0"/>
            </w:pPr>
            <w:r/>
            <w:r>
              <w:rPr>
                <w:rFonts w:ascii="Aptos" w:hAnsi="Aptos"/>
                <w:b w:val="0"/>
                <w:sz w:val="15"/>
              </w:rPr>
              <w:t>Whether timbral activity is steady or alternates between stable and changing passages.</w:t>
            </w:r>
          </w:p>
        </w:tc>
        <w:tc>
          <w:tcPr>
            <w:tcW w:type="dxa" w:w="4176"/>
            <w:vAlign w:val="center"/>
            <w:shd w:fill="F2F2F2"/>
          </w:tcPr>
          <w:p>
            <w:pPr>
              <w:spacing w:after="0" w:before="0"/>
            </w:pPr>
            <w:r/>
            <w:r>
              <w:rPr>
                <w:rFonts w:ascii="Aptos" w:hAnsi="Aptos"/>
                <w:b w:val="0"/>
                <w:sz w:val="15"/>
              </w:rPr>
              <w:t>Adds dynamic dispersion to the established spectral-flux construct [2,5].</w:t>
            </w:r>
          </w:p>
        </w:tc>
      </w:tr>
      <w:tr>
        <w:trPr>
          <w:cantSplit/>
        </w:trPr>
        <w:tc>
          <w:tcPr>
            <w:tcW w:type="dxa" w:w="2232"/>
            <w:vAlign w:val="center"/>
          </w:tcPr>
          <w:p>
            <w:pPr>
              <w:spacing w:after="0" w:before="0"/>
            </w:pPr>
            <w:r/>
            <w:r>
              <w:rPr>
                <w:rFonts w:ascii="Aptos" w:hAnsi="Aptos"/>
                <w:b w:val="0"/>
                <w:sz w:val="15"/>
              </w:rPr>
              <w:t>hnr_mean_db</w:t>
            </w:r>
          </w:p>
        </w:tc>
        <w:tc>
          <w:tcPr>
            <w:tcW w:type="dxa" w:w="2376"/>
            <w:vAlign w:val="center"/>
          </w:tcPr>
          <w:p>
            <w:pPr>
              <w:spacing w:after="0" w:before="0"/>
            </w:pPr>
            <w:r/>
            <w:r>
              <w:rPr>
                <w:rFonts w:ascii="Aptos" w:hAnsi="Aptos"/>
                <w:b w:val="0"/>
                <w:sz w:val="15"/>
              </w:rPr>
              <w:t>Mean harmonic-to-noise ratio.</w:t>
            </w:r>
          </w:p>
        </w:tc>
        <w:tc>
          <w:tcPr>
            <w:tcW w:type="dxa" w:w="2880"/>
            <w:vAlign w:val="center"/>
          </w:tcPr>
          <w:p>
            <w:pPr>
              <w:spacing w:after="0" w:before="0"/>
            </w:pPr>
            <w:r/>
            <w:r>
              <w:rPr>
                <w:rFonts w:ascii="Aptos" w:hAnsi="Aptos"/>
                <w:b w:val="0"/>
                <w:sz w:val="15"/>
              </w:rPr>
              <w:t>Periodic/tonal dominance versus noisy or breathy energy.</w:t>
            </w:r>
          </w:p>
        </w:tc>
        <w:tc>
          <w:tcPr>
            <w:tcW w:type="dxa" w:w="4176"/>
            <w:vAlign w:val="center"/>
          </w:tcPr>
          <w:p>
            <w:pPr>
              <w:spacing w:after="0" w:before="0"/>
            </w:pPr>
            <w:r/>
            <w:r>
              <w:rPr>
                <w:rFonts w:ascii="Aptos" w:hAnsi="Aptos"/>
                <w:b w:val="0"/>
                <w:sz w:val="15"/>
              </w:rPr>
              <w:t>Harmonic/noise balance is an interpretable component of timbre and is represented in comprehensive timbre descriptor families [1].</w:t>
            </w:r>
          </w:p>
        </w:tc>
      </w:tr>
      <w:tr>
        <w:trPr>
          <w:cantSplit/>
        </w:trPr>
        <w:tc>
          <w:tcPr>
            <w:tcW w:type="dxa" w:w="2232"/>
            <w:vAlign w:val="center"/>
            <w:shd w:fill="F2F2F2"/>
          </w:tcPr>
          <w:p>
            <w:pPr>
              <w:spacing w:after="0" w:before="0"/>
            </w:pPr>
            <w:r/>
            <w:r>
              <w:rPr>
                <w:rFonts w:ascii="Aptos" w:hAnsi="Aptos"/>
                <w:b w:val="0"/>
                <w:sz w:val="15"/>
              </w:rPr>
              <w:t>inharmonicity_mean</w:t>
            </w:r>
          </w:p>
        </w:tc>
        <w:tc>
          <w:tcPr>
            <w:tcW w:type="dxa" w:w="2376"/>
            <w:vAlign w:val="center"/>
            <w:shd w:fill="F2F2F2"/>
          </w:tcPr>
          <w:p>
            <w:pPr>
              <w:spacing w:after="0" w:before="0"/>
            </w:pPr>
            <w:r/>
            <w:r>
              <w:rPr>
                <w:rFonts w:ascii="Aptos" w:hAnsi="Aptos"/>
                <w:b w:val="0"/>
                <w:sz w:val="15"/>
              </w:rPr>
              <w:t>Mean deviation of partials from integer multiples of a fundamental.</w:t>
            </w:r>
          </w:p>
        </w:tc>
        <w:tc>
          <w:tcPr>
            <w:tcW w:type="dxa" w:w="2880"/>
            <w:vAlign w:val="center"/>
            <w:shd w:fill="F2F2F2"/>
          </w:tcPr>
          <w:p>
            <w:pPr>
              <w:spacing w:after="0" w:before="0"/>
            </w:pPr>
            <w:r/>
            <w:r>
              <w:rPr>
                <w:rFonts w:ascii="Aptos" w:hAnsi="Aptos"/>
                <w:b w:val="0"/>
                <w:sz w:val="15"/>
              </w:rPr>
              <w:t>Harmonic purity versus stretched, metallic, bell-like, or percussive spectra.</w:t>
            </w:r>
          </w:p>
        </w:tc>
        <w:tc>
          <w:tcPr>
            <w:tcW w:type="dxa" w:w="4176"/>
            <w:vAlign w:val="center"/>
            <w:shd w:fill="F2F2F2"/>
          </w:tcPr>
          <w:p>
            <w:pPr>
              <w:spacing w:after="0" w:before="0"/>
            </w:pPr>
            <w:r/>
            <w:r>
              <w:rPr>
                <w:rFonts w:ascii="Aptos" w:hAnsi="Aptos"/>
                <w:b w:val="0"/>
                <w:sz w:val="15"/>
              </w:rPr>
              <w:t>Inharmonicity is an established harmonic spectral descriptor in the Timbre Toolbox [1].</w:t>
            </w:r>
          </w:p>
        </w:tc>
      </w:tr>
    </w:tbl>
    <w:p>
      <w:pPr>
        <w:spacing w:after="0"/>
      </w:pPr>
    </w:p>
    <w:p>
      <w:pPr>
        <w:pStyle w:val="Heading2"/>
      </w:pPr>
      <w:r>
        <w:t>Coverage judgement</w:t>
      </w:r>
    </w:p>
    <w:p>
      <w:pPr>
        <w:spacing w:after="120"/>
      </w:pPr>
      <w:r>
        <w:t>Together, the Timbre-12 cover seven complementary axes: brightness (centroid), spread (bandwidth), shape (skewness), local peak/valley structure (contrast), noisiness (flatness and HNR), upper spectral extent (rolloff), temporal change (flux), and harmonic regularity (inharmonicity). The mean/standard-deviation pairs are intentional only where time variation adds a distinct interpretation. This set is explainable and broad, but should be described as a compact operationalization of timbre—not a complete representation of every perceptual timbre dimension.</w:t>
      </w:r>
    </w:p>
    <w:p>
      <w:r>
        <w:br w:type="page"/>
      </w:r>
    </w:p>
    <w:p>
      <w:pPr>
        <w:pStyle w:val="Heading1"/>
      </w:pPr>
      <w:r>
        <w:t>4. Harmony branch — stable 12</w:t>
      </w:r>
    </w:p>
    <w:p>
      <w:pPr>
        <w:spacing w:after="120"/>
      </w:pPr>
      <w:r>
        <w:t>The harmony branch starts from pitch-class/chroma representations, which intentionally fold octave-equivalent pitches into 12 pitch classes and are widely used for chord recognition, tonal analysis, alignment, structure discovery, and retrieval [6]. Tonal-centroid (Tonnetz) geometry then converts pitch-class relations into distances and trajectories that expose harmonic motion [7].</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center"/>
            <w:shd w:fill="17324D"/>
          </w:tcPr>
          <w:p>
            <w:pPr>
              <w:spacing w:after="0" w:before="0"/>
            </w:pPr>
            <w:r/>
            <w:r>
              <w:rPr>
                <w:rFonts w:ascii="Aptos" w:hAnsi="Aptos"/>
                <w:b/>
                <w:color w:val="FFFFFF"/>
                <w:sz w:val="16"/>
              </w:rPr>
              <w:t>Feature</w:t>
            </w:r>
          </w:p>
        </w:tc>
        <w:tc>
          <w:tcPr>
            <w:tcW w:type="dxa" w:w="2592"/>
            <w:vAlign w:val="center"/>
            <w:shd w:fill="17324D"/>
          </w:tcPr>
          <w:p>
            <w:pPr>
              <w:spacing w:after="0" w:before="0"/>
            </w:pPr>
            <w:r/>
            <w:r>
              <w:rPr>
                <w:rFonts w:ascii="Aptos" w:hAnsi="Aptos"/>
                <w:b/>
                <w:color w:val="FFFFFF"/>
                <w:sz w:val="16"/>
              </w:rPr>
              <w:t>What it measures</w:t>
            </w:r>
          </w:p>
        </w:tc>
        <w:tc>
          <w:tcPr>
            <w:tcW w:type="dxa" w:w="2592"/>
            <w:vAlign w:val="center"/>
            <w:shd w:fill="17324D"/>
          </w:tcPr>
          <w:p>
            <w:pPr>
              <w:spacing w:after="0" w:before="0"/>
            </w:pPr>
            <w:r/>
            <w:r>
              <w:rPr>
                <w:rFonts w:ascii="Aptos" w:hAnsi="Aptos"/>
                <w:b/>
                <w:color w:val="FFFFFF"/>
                <w:sz w:val="16"/>
              </w:rPr>
              <w:t>Readable meaning</w:t>
            </w:r>
          </w:p>
        </w:tc>
        <w:tc>
          <w:tcPr>
            <w:tcW w:type="dxa" w:w="2592"/>
            <w:vAlign w:val="center"/>
            <w:shd w:fill="17324D"/>
          </w:tcPr>
          <w:p>
            <w:pPr>
              <w:spacing w:after="0" w:before="0"/>
            </w:pPr>
            <w:r/>
            <w:r>
              <w:rPr>
                <w:rFonts w:ascii="Aptos" w:hAnsi="Aptos"/>
                <w:b/>
                <w:color w:val="FFFFFF"/>
                <w:sz w:val="16"/>
              </w:rPr>
              <w:t>Evidence and study fit</w:t>
            </w:r>
          </w:p>
        </w:tc>
      </w:tr>
      <w:tr>
        <w:trPr>
          <w:cantSplit/>
        </w:trPr>
        <w:tc>
          <w:tcPr>
            <w:tcW w:type="dxa" w:w="2232"/>
            <w:vAlign w:val="center"/>
          </w:tcPr>
          <w:p>
            <w:pPr>
              <w:spacing w:after="0" w:before="0"/>
            </w:pPr>
            <w:r/>
            <w:r>
              <w:rPr>
                <w:rFonts w:ascii="Aptos" w:hAnsi="Aptos"/>
                <w:b w:val="0"/>
                <w:sz w:val="15"/>
              </w:rPr>
              <w:t>global_key_strength</w:t>
            </w:r>
          </w:p>
        </w:tc>
        <w:tc>
          <w:tcPr>
            <w:tcW w:type="dxa" w:w="2376"/>
            <w:vAlign w:val="center"/>
          </w:tcPr>
          <w:p>
            <w:pPr>
              <w:spacing w:after="0" w:before="0"/>
            </w:pPr>
            <w:r/>
            <w:r>
              <w:rPr>
                <w:rFonts w:ascii="Aptos" w:hAnsi="Aptos"/>
                <w:b w:val="0"/>
                <w:sz w:val="15"/>
              </w:rPr>
              <w:t>Strength of the best global key-profile match.</w:t>
            </w:r>
          </w:p>
        </w:tc>
        <w:tc>
          <w:tcPr>
            <w:tcW w:type="dxa" w:w="2880"/>
            <w:vAlign w:val="center"/>
          </w:tcPr>
          <w:p>
            <w:pPr>
              <w:spacing w:after="0" w:before="0"/>
            </w:pPr>
            <w:r/>
            <w:r>
              <w:rPr>
                <w:rFonts w:ascii="Aptos" w:hAnsi="Aptos"/>
                <w:b w:val="0"/>
                <w:sz w:val="15"/>
              </w:rPr>
              <w:t>How clearly the track supports one global key.</w:t>
            </w:r>
          </w:p>
        </w:tc>
        <w:tc>
          <w:tcPr>
            <w:tcW w:type="dxa" w:w="4176"/>
            <w:vAlign w:val="center"/>
          </w:tcPr>
          <w:p>
            <w:pPr>
              <w:spacing w:after="0" w:before="0"/>
            </w:pPr>
            <w:r/>
            <w:r>
              <w:rPr>
                <w:rFonts w:ascii="Aptos" w:hAnsi="Aptos"/>
                <w:b w:val="0"/>
                <w:sz w:val="15"/>
              </w:rPr>
              <w:t>Key-profile matching is a foundational computational model of key finding [8,9].</w:t>
            </w:r>
          </w:p>
        </w:tc>
      </w:tr>
      <w:tr>
        <w:trPr>
          <w:cantSplit/>
        </w:trPr>
        <w:tc>
          <w:tcPr>
            <w:tcW w:type="dxa" w:w="2232"/>
            <w:vAlign w:val="center"/>
            <w:shd w:fill="F2F2F2"/>
          </w:tcPr>
          <w:p>
            <w:pPr>
              <w:spacing w:after="0" w:before="0"/>
            </w:pPr>
            <w:r/>
            <w:r>
              <w:rPr>
                <w:rFonts w:ascii="Aptos" w:hAnsi="Aptos"/>
                <w:b w:val="0"/>
                <w:sz w:val="15"/>
              </w:rPr>
              <w:t>mode_confidence</w:t>
            </w:r>
          </w:p>
        </w:tc>
        <w:tc>
          <w:tcPr>
            <w:tcW w:type="dxa" w:w="2376"/>
            <w:vAlign w:val="center"/>
            <w:shd w:fill="F2F2F2"/>
          </w:tcPr>
          <w:p>
            <w:pPr>
              <w:spacing w:after="0" w:before="0"/>
            </w:pPr>
            <w:r/>
            <w:r>
              <w:rPr>
                <w:rFonts w:ascii="Aptos" w:hAnsi="Aptos"/>
                <w:b w:val="0"/>
                <w:sz w:val="15"/>
              </w:rPr>
              <w:t>Confidence/separation for major versus minor interpretation.</w:t>
            </w:r>
          </w:p>
        </w:tc>
        <w:tc>
          <w:tcPr>
            <w:tcW w:type="dxa" w:w="2880"/>
            <w:vAlign w:val="center"/>
            <w:shd w:fill="F2F2F2"/>
          </w:tcPr>
          <w:p>
            <w:pPr>
              <w:spacing w:after="0" w:before="0"/>
            </w:pPr>
            <w:r/>
            <w:r>
              <w:rPr>
                <w:rFonts w:ascii="Aptos" w:hAnsi="Aptos"/>
                <w:b w:val="0"/>
                <w:sz w:val="15"/>
              </w:rPr>
              <w:t>How unambiguous the inferred mode is.</w:t>
            </w:r>
          </w:p>
        </w:tc>
        <w:tc>
          <w:tcPr>
            <w:tcW w:type="dxa" w:w="4176"/>
            <w:vAlign w:val="center"/>
            <w:shd w:fill="F2F2F2"/>
          </w:tcPr>
          <w:p>
            <w:pPr>
              <w:spacing w:after="0" w:before="0"/>
            </w:pPr>
            <w:r/>
            <w:r>
              <w:rPr>
                <w:rFonts w:ascii="Aptos" w:hAnsi="Aptos"/>
                <w:b w:val="0"/>
                <w:sz w:val="15"/>
              </w:rPr>
              <w:t>Key-finding research treats tonic and mode as profile-matching decisions; confidence makes ambiguity explicit [8,9].</w:t>
            </w:r>
          </w:p>
        </w:tc>
      </w:tr>
      <w:tr>
        <w:trPr>
          <w:cantSplit/>
        </w:trPr>
        <w:tc>
          <w:tcPr>
            <w:tcW w:type="dxa" w:w="2232"/>
            <w:vAlign w:val="center"/>
          </w:tcPr>
          <w:p>
            <w:pPr>
              <w:spacing w:after="0" w:before="0"/>
            </w:pPr>
            <w:r/>
            <w:r>
              <w:rPr>
                <w:rFonts w:ascii="Aptos" w:hAnsi="Aptos"/>
                <w:b w:val="0"/>
                <w:sz w:val="15"/>
              </w:rPr>
              <w:t>key_stability</w:t>
            </w:r>
          </w:p>
        </w:tc>
        <w:tc>
          <w:tcPr>
            <w:tcW w:type="dxa" w:w="2376"/>
            <w:vAlign w:val="center"/>
          </w:tcPr>
          <w:p>
            <w:pPr>
              <w:spacing w:after="0" w:before="0"/>
            </w:pPr>
            <w:r/>
            <w:r>
              <w:rPr>
                <w:rFonts w:ascii="Aptos" w:hAnsi="Aptos"/>
                <w:b w:val="0"/>
                <w:sz w:val="15"/>
              </w:rPr>
              <w:t>Consistency of local key evidence through time.</w:t>
            </w:r>
          </w:p>
        </w:tc>
        <w:tc>
          <w:tcPr>
            <w:tcW w:type="dxa" w:w="2880"/>
            <w:vAlign w:val="center"/>
          </w:tcPr>
          <w:p>
            <w:pPr>
              <w:spacing w:after="0" w:before="0"/>
            </w:pPr>
            <w:r/>
            <w:r>
              <w:rPr>
                <w:rFonts w:ascii="Aptos" w:hAnsi="Aptos"/>
                <w:b w:val="0"/>
                <w:sz w:val="15"/>
              </w:rPr>
              <w:t>Stable tonality versus modulation or uncertain local key.</w:t>
            </w:r>
          </w:p>
        </w:tc>
        <w:tc>
          <w:tcPr>
            <w:tcW w:type="dxa" w:w="4176"/>
            <w:vAlign w:val="center"/>
          </w:tcPr>
          <w:p>
            <w:pPr>
              <w:spacing w:after="0" w:before="0"/>
            </w:pPr>
            <w:r/>
            <w:r>
              <w:rPr>
                <w:rFonts w:ascii="Aptos" w:hAnsi="Aptos"/>
                <w:b w:val="0"/>
                <w:sz w:val="15"/>
              </w:rPr>
              <w:t>Temporal key evidence and changes are central limitations/extensions of global key models [9].</w:t>
            </w:r>
          </w:p>
        </w:tc>
      </w:tr>
      <w:tr>
        <w:trPr>
          <w:cantSplit/>
        </w:trPr>
        <w:tc>
          <w:tcPr>
            <w:tcW w:type="dxa" w:w="2232"/>
            <w:vAlign w:val="center"/>
            <w:shd w:fill="F2F2F2"/>
          </w:tcPr>
          <w:p>
            <w:pPr>
              <w:spacing w:after="0" w:before="0"/>
            </w:pPr>
            <w:r/>
            <w:r>
              <w:rPr>
                <w:rFonts w:ascii="Aptos" w:hAnsi="Aptos"/>
                <w:b w:val="0"/>
                <w:sz w:val="15"/>
              </w:rPr>
              <w:t>chroma_entropy_mean</w:t>
            </w:r>
          </w:p>
        </w:tc>
        <w:tc>
          <w:tcPr>
            <w:tcW w:type="dxa" w:w="2376"/>
            <w:vAlign w:val="center"/>
            <w:shd w:fill="F2F2F2"/>
          </w:tcPr>
          <w:p>
            <w:pPr>
              <w:spacing w:after="0" w:before="0"/>
            </w:pPr>
            <w:r/>
            <w:r>
              <w:rPr>
                <w:rFonts w:ascii="Aptos" w:hAnsi="Aptos"/>
                <w:b w:val="0"/>
                <w:sz w:val="15"/>
              </w:rPr>
              <w:t>Mean Shannon entropy of framewise pitch-class energy.</w:t>
            </w:r>
          </w:p>
        </w:tc>
        <w:tc>
          <w:tcPr>
            <w:tcW w:type="dxa" w:w="2880"/>
            <w:vAlign w:val="center"/>
            <w:shd w:fill="F2F2F2"/>
          </w:tcPr>
          <w:p>
            <w:pPr>
              <w:spacing w:after="0" w:before="0"/>
            </w:pPr>
            <w:r/>
            <w:r>
              <w:rPr>
                <w:rFonts w:ascii="Aptos" w:hAnsi="Aptos"/>
                <w:b w:val="0"/>
                <w:sz w:val="15"/>
              </w:rPr>
              <w:t>Concentrated pitch-class content versus diffuse/complex tonal content.</w:t>
            </w:r>
          </w:p>
        </w:tc>
        <w:tc>
          <w:tcPr>
            <w:tcW w:type="dxa" w:w="4176"/>
            <w:vAlign w:val="center"/>
            <w:shd w:fill="F2F2F2"/>
          </w:tcPr>
          <w:p>
            <w:pPr>
              <w:spacing w:after="0" w:before="0"/>
            </w:pPr>
            <w:r/>
            <w:r>
              <w:rPr>
                <w:rFonts w:ascii="Aptos" w:hAnsi="Aptos"/>
                <w:b w:val="0"/>
                <w:sz w:val="15"/>
              </w:rPr>
              <w:t>Chroma entropy is used to quantify tonal complexity from local pitch-class distributions [10].</w:t>
            </w:r>
          </w:p>
        </w:tc>
      </w:tr>
      <w:tr>
        <w:trPr>
          <w:cantSplit/>
        </w:trPr>
        <w:tc>
          <w:tcPr>
            <w:tcW w:type="dxa" w:w="2232"/>
            <w:vAlign w:val="center"/>
          </w:tcPr>
          <w:p>
            <w:pPr>
              <w:spacing w:after="0" w:before="0"/>
            </w:pPr>
            <w:r/>
            <w:r>
              <w:rPr>
                <w:rFonts w:ascii="Aptos" w:hAnsi="Aptos"/>
                <w:b w:val="0"/>
                <w:sz w:val="15"/>
              </w:rPr>
              <w:t>chroma_entropy_std</w:t>
            </w:r>
          </w:p>
        </w:tc>
        <w:tc>
          <w:tcPr>
            <w:tcW w:type="dxa" w:w="2376"/>
            <w:vAlign w:val="center"/>
          </w:tcPr>
          <w:p>
            <w:pPr>
              <w:spacing w:after="0" w:before="0"/>
            </w:pPr>
            <w:r/>
            <w:r>
              <w:rPr>
                <w:rFonts w:ascii="Aptos" w:hAnsi="Aptos"/>
                <w:b w:val="0"/>
                <w:sz w:val="15"/>
              </w:rPr>
              <w:t>Variability of chroma entropy over time.</w:t>
            </w:r>
          </w:p>
        </w:tc>
        <w:tc>
          <w:tcPr>
            <w:tcW w:type="dxa" w:w="2880"/>
            <w:vAlign w:val="center"/>
          </w:tcPr>
          <w:p>
            <w:pPr>
              <w:spacing w:after="0" w:before="0"/>
            </w:pPr>
            <w:r/>
            <w:r>
              <w:rPr>
                <w:rFonts w:ascii="Aptos" w:hAnsi="Aptos"/>
                <w:b w:val="0"/>
                <w:sz w:val="15"/>
              </w:rPr>
              <w:t>Whether tonal complexity is uniform or alternates across sections.</w:t>
            </w:r>
          </w:p>
        </w:tc>
        <w:tc>
          <w:tcPr>
            <w:tcW w:type="dxa" w:w="4176"/>
            <w:vAlign w:val="center"/>
          </w:tcPr>
          <w:p>
            <w:pPr>
              <w:spacing w:after="0" w:before="0"/>
            </w:pPr>
            <w:r/>
            <w:r>
              <w:rPr>
                <w:rFonts w:ascii="Aptos" w:hAnsi="Aptos"/>
                <w:b w:val="0"/>
                <w:sz w:val="15"/>
              </w:rPr>
              <w:t>A transparent temporal statistic over the established entropy-based complexity measure [10].</w:t>
            </w:r>
          </w:p>
        </w:tc>
      </w:tr>
      <w:tr>
        <w:trPr>
          <w:cantSplit/>
        </w:trPr>
        <w:tc>
          <w:tcPr>
            <w:tcW w:type="dxa" w:w="2232"/>
            <w:vAlign w:val="center"/>
            <w:shd w:fill="F2F2F2"/>
          </w:tcPr>
          <w:p>
            <w:pPr>
              <w:spacing w:after="0" w:before="0"/>
            </w:pPr>
            <w:r/>
            <w:r>
              <w:rPr>
                <w:rFonts w:ascii="Aptos" w:hAnsi="Aptos"/>
                <w:b w:val="0"/>
                <w:sz w:val="15"/>
              </w:rPr>
              <w:t>chroma_flux_mean</w:t>
            </w:r>
          </w:p>
        </w:tc>
        <w:tc>
          <w:tcPr>
            <w:tcW w:type="dxa" w:w="2376"/>
            <w:vAlign w:val="center"/>
            <w:shd w:fill="F2F2F2"/>
          </w:tcPr>
          <w:p>
            <w:pPr>
              <w:spacing w:after="0" w:before="0"/>
            </w:pPr>
            <w:r/>
            <w:r>
              <w:rPr>
                <w:rFonts w:ascii="Aptos" w:hAnsi="Aptos"/>
                <w:b w:val="0"/>
                <w:sz w:val="15"/>
              </w:rPr>
              <w:t>Mean frame-to-frame change in chroma.</w:t>
            </w:r>
          </w:p>
        </w:tc>
        <w:tc>
          <w:tcPr>
            <w:tcW w:type="dxa" w:w="2880"/>
            <w:vAlign w:val="center"/>
            <w:shd w:fill="F2F2F2"/>
          </w:tcPr>
          <w:p>
            <w:pPr>
              <w:spacing w:after="0" w:before="0"/>
            </w:pPr>
            <w:r/>
            <w:r>
              <w:rPr>
                <w:rFonts w:ascii="Aptos" w:hAnsi="Aptos"/>
                <w:b w:val="0"/>
                <w:sz w:val="15"/>
              </w:rPr>
              <w:t>Average harmonic/pitch-class activity.</w:t>
            </w:r>
          </w:p>
        </w:tc>
        <w:tc>
          <w:tcPr>
            <w:tcW w:type="dxa" w:w="4176"/>
            <w:vAlign w:val="center"/>
            <w:shd w:fill="F2F2F2"/>
          </w:tcPr>
          <w:p>
            <w:pPr>
              <w:spacing w:after="0" w:before="0"/>
            </w:pPr>
            <w:r/>
            <w:r>
              <w:rPr>
                <w:rFonts w:ascii="Aptos" w:hAnsi="Aptos"/>
                <w:b w:val="0"/>
                <w:sz w:val="15"/>
              </w:rPr>
              <w:t>Chroma is an established harmonic representation [6]; temporal change of chroma operationalizes harmonic activity and complements geometric Tonnetz motion.</w:t>
            </w:r>
          </w:p>
        </w:tc>
      </w:tr>
      <w:tr>
        <w:trPr>
          <w:cantSplit/>
        </w:trPr>
        <w:tc>
          <w:tcPr>
            <w:tcW w:type="dxa" w:w="2232"/>
            <w:vAlign w:val="center"/>
          </w:tcPr>
          <w:p>
            <w:pPr>
              <w:spacing w:after="0" w:before="0"/>
            </w:pPr>
            <w:r/>
            <w:r>
              <w:rPr>
                <w:rFonts w:ascii="Aptos" w:hAnsi="Aptos"/>
                <w:b w:val="0"/>
                <w:sz w:val="15"/>
              </w:rPr>
              <w:t>tonnetz_movement_mean</w:t>
            </w:r>
          </w:p>
        </w:tc>
        <w:tc>
          <w:tcPr>
            <w:tcW w:type="dxa" w:w="2376"/>
            <w:vAlign w:val="center"/>
          </w:tcPr>
          <w:p>
            <w:pPr>
              <w:spacing w:after="0" w:before="0"/>
            </w:pPr>
            <w:r/>
            <w:r>
              <w:rPr>
                <w:rFonts w:ascii="Aptos" w:hAnsi="Aptos"/>
                <w:b w:val="0"/>
                <w:sz w:val="15"/>
              </w:rPr>
              <w:t>Mean distance between successive tonal-centroid positions.</w:t>
            </w:r>
          </w:p>
        </w:tc>
        <w:tc>
          <w:tcPr>
            <w:tcW w:type="dxa" w:w="2880"/>
            <w:vAlign w:val="center"/>
          </w:tcPr>
          <w:p>
            <w:pPr>
              <w:spacing w:after="0" w:before="0"/>
            </w:pPr>
            <w:r/>
            <w:r>
              <w:rPr>
                <w:rFonts w:ascii="Aptos" w:hAnsi="Aptos"/>
                <w:b w:val="0"/>
                <w:sz w:val="15"/>
              </w:rPr>
              <w:t>Average harmonic movement between nearby frames.</w:t>
            </w:r>
          </w:p>
        </w:tc>
        <w:tc>
          <w:tcPr>
            <w:tcW w:type="dxa" w:w="4176"/>
            <w:vAlign w:val="center"/>
          </w:tcPr>
          <w:p>
            <w:pPr>
              <w:spacing w:after="0" w:before="0"/>
            </w:pPr>
            <w:r/>
            <w:r>
              <w:rPr>
                <w:rFonts w:ascii="Aptos" w:hAnsi="Aptos"/>
                <w:b w:val="0"/>
                <w:sz w:val="15"/>
              </w:rPr>
              <w:t>Harte et al. introduced tonal-centroid movement for detecting harmonic change [7].</w:t>
            </w:r>
          </w:p>
        </w:tc>
      </w:tr>
      <w:tr>
        <w:trPr>
          <w:cantSplit/>
        </w:trPr>
        <w:tc>
          <w:tcPr>
            <w:tcW w:type="dxa" w:w="2232"/>
            <w:vAlign w:val="center"/>
            <w:shd w:fill="F2F2F2"/>
          </w:tcPr>
          <w:p>
            <w:pPr>
              <w:spacing w:after="0" w:before="0"/>
            </w:pPr>
            <w:r/>
            <w:r>
              <w:rPr>
                <w:rFonts w:ascii="Aptos" w:hAnsi="Aptos"/>
                <w:b w:val="0"/>
                <w:sz w:val="15"/>
              </w:rPr>
              <w:t>tonal_centroid_radius_mean</w:t>
            </w:r>
          </w:p>
        </w:tc>
        <w:tc>
          <w:tcPr>
            <w:tcW w:type="dxa" w:w="2376"/>
            <w:vAlign w:val="center"/>
            <w:shd w:fill="F2F2F2"/>
          </w:tcPr>
          <w:p>
            <w:pPr>
              <w:spacing w:after="0" w:before="0"/>
            </w:pPr>
            <w:r/>
            <w:r>
              <w:rPr>
                <w:rFonts w:ascii="Aptos" w:hAnsi="Aptos"/>
                <w:b w:val="0"/>
                <w:sz w:val="15"/>
              </w:rPr>
              <w:t>Mean distance from the tonal-centroid origin.</w:t>
            </w:r>
          </w:p>
        </w:tc>
        <w:tc>
          <w:tcPr>
            <w:tcW w:type="dxa" w:w="2880"/>
            <w:vAlign w:val="center"/>
            <w:shd w:fill="F2F2F2"/>
          </w:tcPr>
          <w:p>
            <w:pPr>
              <w:spacing w:after="0" w:before="0"/>
            </w:pPr>
            <w:r/>
            <w:r>
              <w:rPr>
                <w:rFonts w:ascii="Aptos" w:hAnsi="Aptos"/>
                <w:b w:val="0"/>
                <w:sz w:val="15"/>
              </w:rPr>
              <w:t>Degree of tonal concentration in Tonnetz space.</w:t>
            </w:r>
          </w:p>
        </w:tc>
        <w:tc>
          <w:tcPr>
            <w:tcW w:type="dxa" w:w="4176"/>
            <w:vAlign w:val="center"/>
            <w:shd w:fill="F2F2F2"/>
          </w:tcPr>
          <w:p>
            <w:pPr>
              <w:spacing w:after="0" w:before="0"/>
            </w:pPr>
            <w:r/>
            <w:r>
              <w:rPr>
                <w:rFonts w:ascii="Aptos" w:hAnsi="Aptos"/>
                <w:b w:val="0"/>
                <w:sz w:val="15"/>
              </w:rPr>
              <w:t>Tonal-centroid geometry represents harmonic relations; radius is an interpretable geometric summary of concentration [7].</w:t>
            </w:r>
          </w:p>
        </w:tc>
      </w:tr>
      <w:tr>
        <w:trPr>
          <w:cantSplit/>
        </w:trPr>
        <w:tc>
          <w:tcPr>
            <w:tcW w:type="dxa" w:w="2232"/>
            <w:vAlign w:val="center"/>
          </w:tcPr>
          <w:p>
            <w:pPr>
              <w:spacing w:after="0" w:before="0"/>
            </w:pPr>
            <w:r/>
            <w:r>
              <w:rPr>
                <w:rFonts w:ascii="Aptos" w:hAnsi="Aptos"/>
                <w:b w:val="0"/>
                <w:sz w:val="15"/>
              </w:rPr>
              <w:t>chroma_recurrence_15s</w:t>
            </w:r>
          </w:p>
        </w:tc>
        <w:tc>
          <w:tcPr>
            <w:tcW w:type="dxa" w:w="2376"/>
            <w:vAlign w:val="center"/>
          </w:tcPr>
          <w:p>
            <w:pPr>
              <w:spacing w:after="0" w:before="0"/>
            </w:pPr>
            <w:r/>
            <w:r>
              <w:rPr>
                <w:rFonts w:ascii="Aptos" w:hAnsi="Aptos"/>
                <w:b w:val="0"/>
                <w:sz w:val="15"/>
              </w:rPr>
              <w:t>Similarity/recurrence of chroma patterns at a 15-second lag.</w:t>
            </w:r>
          </w:p>
        </w:tc>
        <w:tc>
          <w:tcPr>
            <w:tcW w:type="dxa" w:w="2880"/>
            <w:vAlign w:val="center"/>
          </w:tcPr>
          <w:p>
            <w:pPr>
              <w:spacing w:after="0" w:before="0"/>
            </w:pPr>
            <w:r/>
            <w:r>
              <w:rPr>
                <w:rFonts w:ascii="Aptos" w:hAnsi="Aptos"/>
                <w:b w:val="0"/>
                <w:sz w:val="15"/>
              </w:rPr>
              <w:t>Return of harmonic material at a musically meaningful section-scale lag.</w:t>
            </w:r>
          </w:p>
        </w:tc>
        <w:tc>
          <w:tcPr>
            <w:tcW w:type="dxa" w:w="4176"/>
            <w:vAlign w:val="center"/>
          </w:tcPr>
          <w:p>
            <w:pPr>
              <w:spacing w:after="0" w:before="0"/>
            </w:pPr>
            <w:r/>
            <w:r>
              <w:rPr>
                <w:rFonts w:ascii="Aptos" w:hAnsi="Aptos"/>
                <w:b w:val="0"/>
                <w:sz w:val="15"/>
              </w:rPr>
              <w:t>Chroma is widely used for music structure and recurrence analysis [6]; this statistic summarizes repeated harmonic content.</w:t>
            </w:r>
          </w:p>
        </w:tc>
      </w:tr>
      <w:tr>
        <w:trPr>
          <w:cantSplit/>
        </w:trPr>
        <w:tc>
          <w:tcPr>
            <w:tcW w:type="dxa" w:w="2232"/>
            <w:vAlign w:val="center"/>
            <w:shd w:fill="F2F2F2"/>
          </w:tcPr>
          <w:p>
            <w:pPr>
              <w:spacing w:after="0" w:before="0"/>
            </w:pPr>
            <w:r/>
            <w:r>
              <w:rPr>
                <w:rFonts w:ascii="Aptos" w:hAnsi="Aptos"/>
                <w:b w:val="0"/>
                <w:sz w:val="15"/>
              </w:rPr>
              <w:t>chord_strength_mean</w:t>
            </w:r>
          </w:p>
        </w:tc>
        <w:tc>
          <w:tcPr>
            <w:tcW w:type="dxa" w:w="2376"/>
            <w:vAlign w:val="center"/>
            <w:shd w:fill="F2F2F2"/>
          </w:tcPr>
          <w:p>
            <w:pPr>
              <w:spacing w:after="0" w:before="0"/>
            </w:pPr>
            <w:r/>
            <w:r>
              <w:rPr>
                <w:rFonts w:ascii="Aptos" w:hAnsi="Aptos"/>
                <w:b w:val="0"/>
                <w:sz w:val="15"/>
              </w:rPr>
              <w:t>Mean confidence/strength of chord-template matches.</w:t>
            </w:r>
          </w:p>
        </w:tc>
        <w:tc>
          <w:tcPr>
            <w:tcW w:type="dxa" w:w="2880"/>
            <w:vAlign w:val="center"/>
            <w:shd w:fill="F2F2F2"/>
          </w:tcPr>
          <w:p>
            <w:pPr>
              <w:spacing w:after="0" w:before="0"/>
            </w:pPr>
            <w:r/>
            <w:r>
              <w:rPr>
                <w:rFonts w:ascii="Aptos" w:hAnsi="Aptos"/>
                <w:b w:val="0"/>
                <w:sz w:val="15"/>
              </w:rPr>
              <w:t>Clarity of detected chordal harmony.</w:t>
            </w:r>
          </w:p>
        </w:tc>
        <w:tc>
          <w:tcPr>
            <w:tcW w:type="dxa" w:w="4176"/>
            <w:vAlign w:val="center"/>
            <w:shd w:fill="F2F2F2"/>
          </w:tcPr>
          <w:p>
            <w:pPr>
              <w:spacing w:after="0" w:before="0"/>
            </w:pPr>
            <w:r/>
            <w:r>
              <w:rPr>
                <w:rFonts w:ascii="Aptos" w:hAnsi="Aptos"/>
                <w:b w:val="0"/>
                <w:sz w:val="15"/>
              </w:rPr>
              <w:t>Essentia exposes chord strength and chord descriptors within its tonal analysis framework [11,12].</w:t>
            </w:r>
          </w:p>
        </w:tc>
      </w:tr>
      <w:tr>
        <w:trPr>
          <w:cantSplit/>
        </w:trPr>
        <w:tc>
          <w:tcPr>
            <w:tcW w:type="dxa" w:w="2232"/>
            <w:vAlign w:val="center"/>
          </w:tcPr>
          <w:p>
            <w:pPr>
              <w:spacing w:after="0" w:before="0"/>
            </w:pPr>
            <w:r/>
            <w:r>
              <w:rPr>
                <w:rFonts w:ascii="Aptos" w:hAnsi="Aptos"/>
                <w:b w:val="0"/>
                <w:sz w:val="15"/>
              </w:rPr>
              <w:t>chord_change_rate</w:t>
            </w:r>
          </w:p>
        </w:tc>
        <w:tc>
          <w:tcPr>
            <w:tcW w:type="dxa" w:w="2376"/>
            <w:vAlign w:val="center"/>
          </w:tcPr>
          <w:p>
            <w:pPr>
              <w:spacing w:after="0" w:before="0"/>
            </w:pPr>
            <w:r/>
            <w:r>
              <w:rPr>
                <w:rFonts w:ascii="Aptos" w:hAnsi="Aptos"/>
                <w:b w:val="0"/>
                <w:sz w:val="15"/>
              </w:rPr>
              <w:t>Rate of changes in the estimated chord sequence.</w:t>
            </w:r>
          </w:p>
        </w:tc>
        <w:tc>
          <w:tcPr>
            <w:tcW w:type="dxa" w:w="2880"/>
            <w:vAlign w:val="center"/>
          </w:tcPr>
          <w:p>
            <w:pPr>
              <w:spacing w:after="0" w:before="0"/>
            </w:pPr>
            <w:r/>
            <w:r>
              <w:rPr>
                <w:rFonts w:ascii="Aptos" w:hAnsi="Aptos"/>
                <w:b w:val="0"/>
                <w:sz w:val="15"/>
              </w:rPr>
              <w:t>Harmonic rhythm: how frequently chords change.</w:t>
            </w:r>
          </w:p>
        </w:tc>
        <w:tc>
          <w:tcPr>
            <w:tcW w:type="dxa" w:w="4176"/>
            <w:vAlign w:val="center"/>
          </w:tcPr>
          <w:p>
            <w:pPr>
              <w:spacing w:after="0" w:before="0"/>
            </w:pPr>
            <w:r/>
            <w:r>
              <w:rPr>
                <w:rFonts w:ascii="Aptos" w:hAnsi="Aptos"/>
                <w:b w:val="0"/>
                <w:sz w:val="15"/>
              </w:rPr>
              <w:t>Chord change rate is an established Essentia high-level tonal descriptor [11,12].</w:t>
            </w:r>
          </w:p>
        </w:tc>
      </w:tr>
      <w:tr>
        <w:trPr>
          <w:cantSplit/>
        </w:trPr>
        <w:tc>
          <w:tcPr>
            <w:tcW w:type="dxa" w:w="2232"/>
            <w:vAlign w:val="center"/>
            <w:shd w:fill="F2F2F2"/>
          </w:tcPr>
          <w:p>
            <w:pPr>
              <w:spacing w:after="0" w:before="0"/>
            </w:pPr>
            <w:r/>
            <w:r>
              <w:rPr>
                <w:rFonts w:ascii="Aptos" w:hAnsi="Aptos"/>
                <w:b w:val="0"/>
                <w:sz w:val="15"/>
              </w:rPr>
              <w:t>chord_vocabulary_ratio</w:t>
            </w:r>
          </w:p>
        </w:tc>
        <w:tc>
          <w:tcPr>
            <w:tcW w:type="dxa" w:w="2376"/>
            <w:vAlign w:val="center"/>
            <w:shd w:fill="F2F2F2"/>
          </w:tcPr>
          <w:p>
            <w:pPr>
              <w:spacing w:after="0" w:before="0"/>
            </w:pPr>
            <w:r/>
            <w:r>
              <w:rPr>
                <w:rFonts w:ascii="Aptos" w:hAnsi="Aptos"/>
                <w:b w:val="0"/>
                <w:sz w:val="15"/>
              </w:rPr>
              <w:t>Unique detected chord classes relative to chord observations.</w:t>
            </w:r>
          </w:p>
        </w:tc>
        <w:tc>
          <w:tcPr>
            <w:tcW w:type="dxa" w:w="2880"/>
            <w:vAlign w:val="center"/>
            <w:shd w:fill="F2F2F2"/>
          </w:tcPr>
          <w:p>
            <w:pPr>
              <w:spacing w:after="0" w:before="0"/>
            </w:pPr>
            <w:r/>
            <w:r>
              <w:rPr>
                <w:rFonts w:ascii="Aptos" w:hAnsi="Aptos"/>
                <w:b w:val="0"/>
                <w:sz w:val="15"/>
              </w:rPr>
              <w:t>Diversity of the track’s chord vocabulary.</w:t>
            </w:r>
          </w:p>
        </w:tc>
        <w:tc>
          <w:tcPr>
            <w:tcW w:type="dxa" w:w="4176"/>
            <w:vAlign w:val="center"/>
            <w:shd w:fill="F2F2F2"/>
          </w:tcPr>
          <w:p>
            <w:pPr>
              <w:spacing w:after="0" w:before="0"/>
            </w:pPr>
            <w:r/>
            <w:r>
              <w:rPr>
                <w:rFonts w:ascii="Aptos" w:hAnsi="Aptos"/>
                <w:b w:val="0"/>
                <w:sz w:val="15"/>
              </w:rPr>
              <w:t>Chord distributions/progressions carry genre information; language-model studies demonstrate genre discrimination from chord structures [13].</w:t>
            </w:r>
          </w:p>
        </w:tc>
      </w:tr>
    </w:tbl>
    <w:p>
      <w:pPr>
        <w:spacing w:after="0"/>
      </w:pPr>
    </w:p>
    <w:p>
      <w:pPr>
        <w:pStyle w:val="Heading2"/>
      </w:pPr>
      <w:r>
        <w:t>What the stable harmony vector can and cannot say</w:t>
      </w:r>
    </w:p>
    <w:p>
      <w:pPr>
        <w:spacing w:after="120"/>
      </w:pPr>
      <w:r>
        <w:t>The chord-aware features improve sensitivity to progression-related behavior: chord-change rate captures harmonic rhythm, vocabulary ratio captures chord diversity, and chord strength captures reliability/clarity. However, the 12-dimensional vector does not encode the exact ordered chord progression (for example, I–V–vi–IV). It summarizes progression behavior. Exact sequence modeling would require a chord-sequence model and is deliberately outside this compact explainable branch.</w:t>
      </w:r>
    </w:p>
    <w:p>
      <w:r>
        <w:br w:type="page"/>
      </w:r>
    </w:p>
    <w:p>
      <w:pPr>
        <w:pStyle w:val="Heading1"/>
      </w:pPr>
      <w:r>
        <w:t>5. Harmony warehouse — 15 retained fields</w:t>
      </w:r>
    </w:p>
    <w:p>
      <w:pPr>
        <w:spacing w:after="120"/>
      </w:pPr>
      <w:r>
        <w:t>All 15 fields remain available for audit, ablation, correlation analysis, and future model versions. Only 12 are authorized for the current stable harmony branch.</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17324D"/>
          </w:tcPr>
          <w:p>
            <w:pPr>
              <w:spacing w:after="0" w:before="0"/>
            </w:pPr>
            <w:r/>
            <w:r>
              <w:rPr>
                <w:rFonts w:ascii="Aptos" w:hAnsi="Aptos"/>
                <w:b/>
                <w:color w:val="FFFFFF"/>
                <w:sz w:val="16"/>
              </w:rPr>
              <w:t>Warehouse feature</w:t>
            </w:r>
          </w:p>
        </w:tc>
        <w:tc>
          <w:tcPr>
            <w:tcW w:type="dxa" w:w="3456"/>
            <w:vAlign w:val="center"/>
            <w:shd w:fill="17324D"/>
          </w:tcPr>
          <w:p>
            <w:pPr>
              <w:spacing w:after="0" w:before="0"/>
            </w:pPr>
            <w:r/>
            <w:r>
              <w:rPr>
                <w:rFonts w:ascii="Aptos" w:hAnsi="Aptos"/>
                <w:b/>
                <w:color w:val="FFFFFF"/>
                <w:sz w:val="16"/>
              </w:rPr>
              <w:t>Current status</w:t>
            </w:r>
          </w:p>
        </w:tc>
        <w:tc>
          <w:tcPr>
            <w:tcW w:type="dxa" w:w="3456"/>
            <w:vAlign w:val="center"/>
            <w:shd w:fill="17324D"/>
          </w:tcPr>
          <w:p>
            <w:pPr>
              <w:spacing w:after="0" w:before="0"/>
            </w:pPr>
            <w:r/>
            <w:r>
              <w:rPr>
                <w:rFonts w:ascii="Aptos" w:hAnsi="Aptos"/>
                <w:b/>
                <w:color w:val="FFFFFF"/>
                <w:sz w:val="16"/>
              </w:rPr>
              <w:t>Interpretive role</w:t>
            </w:r>
          </w:p>
        </w:tc>
      </w:tr>
      <w:tr>
        <w:trPr>
          <w:cantSplit/>
        </w:trPr>
        <w:tc>
          <w:tcPr>
            <w:tcW w:type="dxa" w:w="3888"/>
            <w:vAlign w:val="center"/>
            <w:shd w:fill="E2F0D9"/>
          </w:tcPr>
          <w:p>
            <w:pPr>
              <w:spacing w:after="0" w:before="0"/>
            </w:pPr>
            <w:r/>
            <w:r>
              <w:rPr>
                <w:rFonts w:ascii="Aptos" w:hAnsi="Aptos"/>
                <w:b w:val="0"/>
                <w:sz w:val="17"/>
              </w:rPr>
              <w:t>global_key_strength</w:t>
            </w:r>
          </w:p>
        </w:tc>
        <w:tc>
          <w:tcPr>
            <w:tcW w:type="dxa" w:w="2016"/>
            <w:vAlign w:val="center"/>
            <w:shd w:fill="E2F0D9"/>
          </w:tcPr>
          <w:p>
            <w:pPr>
              <w:spacing w:after="0" w:before="0"/>
            </w:pPr>
            <w:r/>
            <w:r>
              <w:rPr>
                <w:rFonts w:ascii="Aptos" w:hAnsi="Aptos"/>
                <w:b w:val="0"/>
                <w:sz w:val="17"/>
              </w:rPr>
              <w:t>Stable 12</w:t>
            </w:r>
          </w:p>
        </w:tc>
        <w:tc>
          <w:tcPr>
            <w:tcW w:type="dxa" w:w="5472"/>
            <w:vAlign w:val="center"/>
            <w:shd w:fill="E2F0D9"/>
          </w:tcPr>
          <w:p>
            <w:pPr>
              <w:spacing w:after="0" w:before="0"/>
            </w:pPr>
            <w:r/>
            <w:r>
              <w:rPr>
                <w:rFonts w:ascii="Aptos" w:hAnsi="Aptos"/>
                <w:b w:val="0"/>
                <w:sz w:val="17"/>
              </w:rPr>
              <w:t>Global key clarity</w:t>
            </w:r>
          </w:p>
        </w:tc>
      </w:tr>
      <w:tr>
        <w:trPr>
          <w:cantSplit/>
        </w:trPr>
        <w:tc>
          <w:tcPr>
            <w:tcW w:type="dxa" w:w="3888"/>
            <w:vAlign w:val="center"/>
            <w:shd w:fill="E2F0D9"/>
          </w:tcPr>
          <w:p>
            <w:pPr>
              <w:spacing w:after="0" w:before="0"/>
            </w:pPr>
            <w:r/>
            <w:r>
              <w:rPr>
                <w:rFonts w:ascii="Aptos" w:hAnsi="Aptos"/>
                <w:b w:val="0"/>
                <w:sz w:val="17"/>
              </w:rPr>
              <w:t>mode_confidence</w:t>
            </w:r>
          </w:p>
        </w:tc>
        <w:tc>
          <w:tcPr>
            <w:tcW w:type="dxa" w:w="2016"/>
            <w:vAlign w:val="center"/>
            <w:shd w:fill="E2F0D9"/>
          </w:tcPr>
          <w:p>
            <w:pPr>
              <w:spacing w:after="0" w:before="0"/>
            </w:pPr>
            <w:r/>
            <w:r>
              <w:rPr>
                <w:rFonts w:ascii="Aptos" w:hAnsi="Aptos"/>
                <w:b w:val="0"/>
                <w:sz w:val="17"/>
              </w:rPr>
              <w:t>Stable 12</w:t>
            </w:r>
          </w:p>
        </w:tc>
        <w:tc>
          <w:tcPr>
            <w:tcW w:type="dxa" w:w="5472"/>
            <w:vAlign w:val="center"/>
            <w:shd w:fill="E2F0D9"/>
          </w:tcPr>
          <w:p>
            <w:pPr>
              <w:spacing w:after="0" w:before="0"/>
            </w:pPr>
            <w:r/>
            <w:r>
              <w:rPr>
                <w:rFonts w:ascii="Aptos" w:hAnsi="Aptos"/>
                <w:b w:val="0"/>
                <w:sz w:val="17"/>
              </w:rPr>
              <w:t>Major/minor certainty</w:t>
            </w:r>
          </w:p>
        </w:tc>
      </w:tr>
      <w:tr>
        <w:trPr>
          <w:cantSplit/>
        </w:trPr>
        <w:tc>
          <w:tcPr>
            <w:tcW w:type="dxa" w:w="3888"/>
            <w:vAlign w:val="center"/>
            <w:shd w:fill="E2F0D9"/>
          </w:tcPr>
          <w:p>
            <w:pPr>
              <w:spacing w:after="0" w:before="0"/>
            </w:pPr>
            <w:r/>
            <w:r>
              <w:rPr>
                <w:rFonts w:ascii="Aptos" w:hAnsi="Aptos"/>
                <w:b w:val="0"/>
                <w:sz w:val="17"/>
              </w:rPr>
              <w:t>key_stability</w:t>
            </w:r>
          </w:p>
        </w:tc>
        <w:tc>
          <w:tcPr>
            <w:tcW w:type="dxa" w:w="2016"/>
            <w:vAlign w:val="center"/>
            <w:shd w:fill="E2F0D9"/>
          </w:tcPr>
          <w:p>
            <w:pPr>
              <w:spacing w:after="0" w:before="0"/>
            </w:pPr>
            <w:r/>
            <w:r>
              <w:rPr>
                <w:rFonts w:ascii="Aptos" w:hAnsi="Aptos"/>
                <w:b w:val="0"/>
                <w:sz w:val="17"/>
              </w:rPr>
              <w:t>Stable 12</w:t>
            </w:r>
          </w:p>
        </w:tc>
        <w:tc>
          <w:tcPr>
            <w:tcW w:type="dxa" w:w="5472"/>
            <w:vAlign w:val="center"/>
            <w:shd w:fill="E2F0D9"/>
          </w:tcPr>
          <w:p>
            <w:pPr>
              <w:spacing w:after="0" w:before="0"/>
            </w:pPr>
            <w:r/>
            <w:r>
              <w:rPr>
                <w:rFonts w:ascii="Aptos" w:hAnsi="Aptos"/>
                <w:b w:val="0"/>
                <w:sz w:val="17"/>
              </w:rPr>
              <w:t>Temporal key consistency</w:t>
            </w:r>
          </w:p>
        </w:tc>
      </w:tr>
      <w:tr>
        <w:trPr>
          <w:cantSplit/>
        </w:trPr>
        <w:tc>
          <w:tcPr>
            <w:tcW w:type="dxa" w:w="3888"/>
            <w:vAlign w:val="center"/>
            <w:shd w:fill="E2F0D9"/>
          </w:tcPr>
          <w:p>
            <w:pPr>
              <w:spacing w:after="0" w:before="0"/>
            </w:pPr>
            <w:r/>
            <w:r>
              <w:rPr>
                <w:rFonts w:ascii="Aptos" w:hAnsi="Aptos"/>
                <w:b w:val="0"/>
                <w:sz w:val="17"/>
              </w:rPr>
              <w:t>chroma_entropy_mean</w:t>
            </w:r>
          </w:p>
        </w:tc>
        <w:tc>
          <w:tcPr>
            <w:tcW w:type="dxa" w:w="2016"/>
            <w:vAlign w:val="center"/>
            <w:shd w:fill="E2F0D9"/>
          </w:tcPr>
          <w:p>
            <w:pPr>
              <w:spacing w:after="0" w:before="0"/>
            </w:pPr>
            <w:r/>
            <w:r>
              <w:rPr>
                <w:rFonts w:ascii="Aptos" w:hAnsi="Aptos"/>
                <w:b w:val="0"/>
                <w:sz w:val="17"/>
              </w:rPr>
              <w:t>Stable 12</w:t>
            </w:r>
          </w:p>
        </w:tc>
        <w:tc>
          <w:tcPr>
            <w:tcW w:type="dxa" w:w="5472"/>
            <w:vAlign w:val="center"/>
            <w:shd w:fill="E2F0D9"/>
          </w:tcPr>
          <w:p>
            <w:pPr>
              <w:spacing w:after="0" w:before="0"/>
            </w:pPr>
            <w:r/>
            <w:r>
              <w:rPr>
                <w:rFonts w:ascii="Aptos" w:hAnsi="Aptos"/>
                <w:b w:val="0"/>
                <w:sz w:val="17"/>
              </w:rPr>
              <w:t>Average tonal complexity</w:t>
            </w:r>
          </w:p>
        </w:tc>
      </w:tr>
      <w:tr>
        <w:trPr>
          <w:cantSplit/>
        </w:trPr>
        <w:tc>
          <w:tcPr>
            <w:tcW w:type="dxa" w:w="3888"/>
            <w:vAlign w:val="center"/>
            <w:shd w:fill="E2F0D9"/>
          </w:tcPr>
          <w:p>
            <w:pPr>
              <w:spacing w:after="0" w:before="0"/>
            </w:pPr>
            <w:r/>
            <w:r>
              <w:rPr>
                <w:rFonts w:ascii="Aptos" w:hAnsi="Aptos"/>
                <w:b w:val="0"/>
                <w:sz w:val="17"/>
              </w:rPr>
              <w:t>chroma_entropy_std</w:t>
            </w:r>
          </w:p>
        </w:tc>
        <w:tc>
          <w:tcPr>
            <w:tcW w:type="dxa" w:w="2016"/>
            <w:vAlign w:val="center"/>
            <w:shd w:fill="E2F0D9"/>
          </w:tcPr>
          <w:p>
            <w:pPr>
              <w:spacing w:after="0" w:before="0"/>
            </w:pPr>
            <w:r/>
            <w:r>
              <w:rPr>
                <w:rFonts w:ascii="Aptos" w:hAnsi="Aptos"/>
                <w:b w:val="0"/>
                <w:sz w:val="17"/>
              </w:rPr>
              <w:t>Stable 12</w:t>
            </w:r>
          </w:p>
        </w:tc>
        <w:tc>
          <w:tcPr>
            <w:tcW w:type="dxa" w:w="5472"/>
            <w:vAlign w:val="center"/>
            <w:shd w:fill="E2F0D9"/>
          </w:tcPr>
          <w:p>
            <w:pPr>
              <w:spacing w:after="0" w:before="0"/>
            </w:pPr>
            <w:r/>
            <w:r>
              <w:rPr>
                <w:rFonts w:ascii="Aptos" w:hAnsi="Aptos"/>
                <w:b w:val="0"/>
                <w:sz w:val="17"/>
              </w:rPr>
              <w:t>Variability of tonal complexity</w:t>
            </w:r>
          </w:p>
        </w:tc>
      </w:tr>
      <w:tr>
        <w:trPr>
          <w:cantSplit/>
        </w:trPr>
        <w:tc>
          <w:tcPr>
            <w:tcW w:type="dxa" w:w="3888"/>
            <w:vAlign w:val="center"/>
            <w:shd w:fill="E2F0D9"/>
          </w:tcPr>
          <w:p>
            <w:pPr>
              <w:spacing w:after="0" w:before="0"/>
            </w:pPr>
            <w:r/>
            <w:r>
              <w:rPr>
                <w:rFonts w:ascii="Aptos" w:hAnsi="Aptos"/>
                <w:b w:val="0"/>
                <w:sz w:val="17"/>
              </w:rPr>
              <w:t>chroma_flux_mean</w:t>
            </w:r>
          </w:p>
        </w:tc>
        <w:tc>
          <w:tcPr>
            <w:tcW w:type="dxa" w:w="2016"/>
            <w:vAlign w:val="center"/>
            <w:shd w:fill="E2F0D9"/>
          </w:tcPr>
          <w:p>
            <w:pPr>
              <w:spacing w:after="0" w:before="0"/>
            </w:pPr>
            <w:r/>
            <w:r>
              <w:rPr>
                <w:rFonts w:ascii="Aptos" w:hAnsi="Aptos"/>
                <w:b w:val="0"/>
                <w:sz w:val="17"/>
              </w:rPr>
              <w:t>Stable 12</w:t>
            </w:r>
          </w:p>
        </w:tc>
        <w:tc>
          <w:tcPr>
            <w:tcW w:type="dxa" w:w="5472"/>
            <w:vAlign w:val="center"/>
            <w:shd w:fill="E2F0D9"/>
          </w:tcPr>
          <w:p>
            <w:pPr>
              <w:spacing w:after="0" w:before="0"/>
            </w:pPr>
            <w:r/>
            <w:r>
              <w:rPr>
                <w:rFonts w:ascii="Aptos" w:hAnsi="Aptos"/>
                <w:b w:val="0"/>
                <w:sz w:val="17"/>
              </w:rPr>
              <w:t>Average pitch-class change</w:t>
            </w:r>
          </w:p>
        </w:tc>
      </w:tr>
      <w:tr>
        <w:trPr>
          <w:cantSplit/>
        </w:trPr>
        <w:tc>
          <w:tcPr>
            <w:tcW w:type="dxa" w:w="3888"/>
            <w:vAlign w:val="center"/>
            <w:shd w:fill="FFF2CC"/>
          </w:tcPr>
          <w:p>
            <w:pPr>
              <w:spacing w:after="0" w:before="0"/>
            </w:pPr>
            <w:r/>
            <w:r>
              <w:rPr>
                <w:rFonts w:ascii="Aptos" w:hAnsi="Aptos"/>
                <w:b w:val="0"/>
                <w:sz w:val="17"/>
              </w:rPr>
              <w:t>chroma_flux_std</w:t>
            </w:r>
          </w:p>
        </w:tc>
        <w:tc>
          <w:tcPr>
            <w:tcW w:type="dxa" w:w="2016"/>
            <w:vAlign w:val="center"/>
            <w:shd w:fill="FFF2CC"/>
          </w:tcPr>
          <w:p>
            <w:pPr>
              <w:spacing w:after="0" w:before="0"/>
            </w:pPr>
            <w:r/>
            <w:r>
              <w:rPr>
                <w:rFonts w:ascii="Aptos" w:hAnsi="Aptos"/>
                <w:b w:val="0"/>
                <w:sz w:val="17"/>
              </w:rPr>
              <w:t>Warehouse only</w:t>
            </w:r>
          </w:p>
        </w:tc>
        <w:tc>
          <w:tcPr>
            <w:tcW w:type="dxa" w:w="5472"/>
            <w:vAlign w:val="center"/>
            <w:shd w:fill="FFF2CC"/>
          </w:tcPr>
          <w:p>
            <w:pPr>
              <w:spacing w:after="0" w:before="0"/>
            </w:pPr>
            <w:r/>
            <w:r>
              <w:rPr>
                <w:rFonts w:ascii="Aptos" w:hAnsi="Aptos"/>
                <w:b w:val="0"/>
                <w:sz w:val="17"/>
              </w:rPr>
              <w:t>Variability of pitch-class change</w:t>
            </w:r>
          </w:p>
        </w:tc>
      </w:tr>
      <w:tr>
        <w:trPr>
          <w:cantSplit/>
        </w:trPr>
        <w:tc>
          <w:tcPr>
            <w:tcW w:type="dxa" w:w="3888"/>
            <w:vAlign w:val="center"/>
            <w:shd w:fill="E2F0D9"/>
          </w:tcPr>
          <w:p>
            <w:pPr>
              <w:spacing w:after="0" w:before="0"/>
            </w:pPr>
            <w:r/>
            <w:r>
              <w:rPr>
                <w:rFonts w:ascii="Aptos" w:hAnsi="Aptos"/>
                <w:b w:val="0"/>
                <w:sz w:val="17"/>
              </w:rPr>
              <w:t>tonnetz_movement_mean</w:t>
            </w:r>
          </w:p>
        </w:tc>
        <w:tc>
          <w:tcPr>
            <w:tcW w:type="dxa" w:w="2016"/>
            <w:vAlign w:val="center"/>
            <w:shd w:fill="E2F0D9"/>
          </w:tcPr>
          <w:p>
            <w:pPr>
              <w:spacing w:after="0" w:before="0"/>
            </w:pPr>
            <w:r/>
            <w:r>
              <w:rPr>
                <w:rFonts w:ascii="Aptos" w:hAnsi="Aptos"/>
                <w:b w:val="0"/>
                <w:sz w:val="17"/>
              </w:rPr>
              <w:t>Stable 12</w:t>
            </w:r>
          </w:p>
        </w:tc>
        <w:tc>
          <w:tcPr>
            <w:tcW w:type="dxa" w:w="5472"/>
            <w:vAlign w:val="center"/>
            <w:shd w:fill="E2F0D9"/>
          </w:tcPr>
          <w:p>
            <w:pPr>
              <w:spacing w:after="0" w:before="0"/>
            </w:pPr>
            <w:r/>
            <w:r>
              <w:rPr>
                <w:rFonts w:ascii="Aptos" w:hAnsi="Aptos"/>
                <w:b w:val="0"/>
                <w:sz w:val="17"/>
              </w:rPr>
              <w:t>Average harmonic movement</w:t>
            </w:r>
          </w:p>
        </w:tc>
      </w:tr>
      <w:tr>
        <w:trPr>
          <w:cantSplit/>
        </w:trPr>
        <w:tc>
          <w:tcPr>
            <w:tcW w:type="dxa" w:w="3888"/>
            <w:vAlign w:val="center"/>
            <w:shd w:fill="FFF2CC"/>
          </w:tcPr>
          <w:p>
            <w:pPr>
              <w:spacing w:after="0" w:before="0"/>
            </w:pPr>
            <w:r/>
            <w:r>
              <w:rPr>
                <w:rFonts w:ascii="Aptos" w:hAnsi="Aptos"/>
                <w:b w:val="0"/>
                <w:sz w:val="17"/>
              </w:rPr>
              <w:t>tonnetz_movement_std</w:t>
            </w:r>
          </w:p>
        </w:tc>
        <w:tc>
          <w:tcPr>
            <w:tcW w:type="dxa" w:w="2016"/>
            <w:vAlign w:val="center"/>
            <w:shd w:fill="FFF2CC"/>
          </w:tcPr>
          <w:p>
            <w:pPr>
              <w:spacing w:after="0" w:before="0"/>
            </w:pPr>
            <w:r/>
            <w:r>
              <w:rPr>
                <w:rFonts w:ascii="Aptos" w:hAnsi="Aptos"/>
                <w:b w:val="0"/>
                <w:sz w:val="17"/>
              </w:rPr>
              <w:t>Warehouse only</w:t>
            </w:r>
          </w:p>
        </w:tc>
        <w:tc>
          <w:tcPr>
            <w:tcW w:type="dxa" w:w="5472"/>
            <w:vAlign w:val="center"/>
            <w:shd w:fill="FFF2CC"/>
          </w:tcPr>
          <w:p>
            <w:pPr>
              <w:spacing w:after="0" w:before="0"/>
            </w:pPr>
            <w:r/>
            <w:r>
              <w:rPr>
                <w:rFonts w:ascii="Aptos" w:hAnsi="Aptos"/>
                <w:b w:val="0"/>
                <w:sz w:val="17"/>
              </w:rPr>
              <w:t>Variability of harmonic movement</w:t>
            </w:r>
          </w:p>
        </w:tc>
      </w:tr>
      <w:tr>
        <w:trPr>
          <w:cantSplit/>
        </w:trPr>
        <w:tc>
          <w:tcPr>
            <w:tcW w:type="dxa" w:w="3888"/>
            <w:vAlign w:val="center"/>
            <w:shd w:fill="E2F0D9"/>
          </w:tcPr>
          <w:p>
            <w:pPr>
              <w:spacing w:after="0" w:before="0"/>
            </w:pPr>
            <w:r/>
            <w:r>
              <w:rPr>
                <w:rFonts w:ascii="Aptos" w:hAnsi="Aptos"/>
                <w:b w:val="0"/>
                <w:sz w:val="17"/>
              </w:rPr>
              <w:t>tonal_centroid_radius_mean</w:t>
            </w:r>
          </w:p>
        </w:tc>
        <w:tc>
          <w:tcPr>
            <w:tcW w:type="dxa" w:w="2016"/>
            <w:vAlign w:val="center"/>
            <w:shd w:fill="E2F0D9"/>
          </w:tcPr>
          <w:p>
            <w:pPr>
              <w:spacing w:after="0" w:before="0"/>
            </w:pPr>
            <w:r/>
            <w:r>
              <w:rPr>
                <w:rFonts w:ascii="Aptos" w:hAnsi="Aptos"/>
                <w:b w:val="0"/>
                <w:sz w:val="17"/>
              </w:rPr>
              <w:t>Stable 12</w:t>
            </w:r>
          </w:p>
        </w:tc>
        <w:tc>
          <w:tcPr>
            <w:tcW w:type="dxa" w:w="5472"/>
            <w:vAlign w:val="center"/>
            <w:shd w:fill="E2F0D9"/>
          </w:tcPr>
          <w:p>
            <w:pPr>
              <w:spacing w:after="0" w:before="0"/>
            </w:pPr>
            <w:r/>
            <w:r>
              <w:rPr>
                <w:rFonts w:ascii="Aptos" w:hAnsi="Aptos"/>
                <w:b w:val="0"/>
                <w:sz w:val="17"/>
              </w:rPr>
              <w:t>Average tonal concentration</w:t>
            </w:r>
          </w:p>
        </w:tc>
      </w:tr>
      <w:tr>
        <w:trPr>
          <w:cantSplit/>
        </w:trPr>
        <w:tc>
          <w:tcPr>
            <w:tcW w:type="dxa" w:w="3888"/>
            <w:vAlign w:val="center"/>
            <w:shd w:fill="FFF2CC"/>
          </w:tcPr>
          <w:p>
            <w:pPr>
              <w:spacing w:after="0" w:before="0"/>
            </w:pPr>
            <w:r/>
            <w:r>
              <w:rPr>
                <w:rFonts w:ascii="Aptos" w:hAnsi="Aptos"/>
                <w:b w:val="0"/>
                <w:sz w:val="17"/>
              </w:rPr>
              <w:t>tonal_centroid_radius_std</w:t>
            </w:r>
          </w:p>
        </w:tc>
        <w:tc>
          <w:tcPr>
            <w:tcW w:type="dxa" w:w="2016"/>
            <w:vAlign w:val="center"/>
            <w:shd w:fill="FFF2CC"/>
          </w:tcPr>
          <w:p>
            <w:pPr>
              <w:spacing w:after="0" w:before="0"/>
            </w:pPr>
            <w:r/>
            <w:r>
              <w:rPr>
                <w:rFonts w:ascii="Aptos" w:hAnsi="Aptos"/>
                <w:b w:val="0"/>
                <w:sz w:val="17"/>
              </w:rPr>
              <w:t>Warehouse only</w:t>
            </w:r>
          </w:p>
        </w:tc>
        <w:tc>
          <w:tcPr>
            <w:tcW w:type="dxa" w:w="5472"/>
            <w:vAlign w:val="center"/>
            <w:shd w:fill="FFF2CC"/>
          </w:tcPr>
          <w:p>
            <w:pPr>
              <w:spacing w:after="0" w:before="0"/>
            </w:pPr>
            <w:r/>
            <w:r>
              <w:rPr>
                <w:rFonts w:ascii="Aptos" w:hAnsi="Aptos"/>
                <w:b w:val="0"/>
                <w:sz w:val="17"/>
              </w:rPr>
              <w:t>Variability of tonal concentration</w:t>
            </w:r>
          </w:p>
        </w:tc>
      </w:tr>
      <w:tr>
        <w:trPr>
          <w:cantSplit/>
        </w:trPr>
        <w:tc>
          <w:tcPr>
            <w:tcW w:type="dxa" w:w="3888"/>
            <w:vAlign w:val="center"/>
            <w:shd w:fill="E2F0D9"/>
          </w:tcPr>
          <w:p>
            <w:pPr>
              <w:spacing w:after="0" w:before="0"/>
            </w:pPr>
            <w:r/>
            <w:r>
              <w:rPr>
                <w:rFonts w:ascii="Aptos" w:hAnsi="Aptos"/>
                <w:b w:val="0"/>
                <w:sz w:val="17"/>
              </w:rPr>
              <w:t>chroma_recurrence_15s</w:t>
            </w:r>
          </w:p>
        </w:tc>
        <w:tc>
          <w:tcPr>
            <w:tcW w:type="dxa" w:w="2016"/>
            <w:vAlign w:val="center"/>
            <w:shd w:fill="E2F0D9"/>
          </w:tcPr>
          <w:p>
            <w:pPr>
              <w:spacing w:after="0" w:before="0"/>
            </w:pPr>
            <w:r/>
            <w:r>
              <w:rPr>
                <w:rFonts w:ascii="Aptos" w:hAnsi="Aptos"/>
                <w:b w:val="0"/>
                <w:sz w:val="17"/>
              </w:rPr>
              <w:t>Stable 12</w:t>
            </w:r>
          </w:p>
        </w:tc>
        <w:tc>
          <w:tcPr>
            <w:tcW w:type="dxa" w:w="5472"/>
            <w:vAlign w:val="center"/>
            <w:shd w:fill="E2F0D9"/>
          </w:tcPr>
          <w:p>
            <w:pPr>
              <w:spacing w:after="0" w:before="0"/>
            </w:pPr>
            <w:r/>
            <w:r>
              <w:rPr>
                <w:rFonts w:ascii="Aptos" w:hAnsi="Aptos"/>
                <w:b w:val="0"/>
                <w:sz w:val="17"/>
              </w:rPr>
              <w:t>Section-scale harmonic recurrence</w:t>
            </w:r>
          </w:p>
        </w:tc>
      </w:tr>
      <w:tr>
        <w:trPr>
          <w:cantSplit/>
        </w:trPr>
        <w:tc>
          <w:tcPr>
            <w:tcW w:type="dxa" w:w="3888"/>
            <w:vAlign w:val="center"/>
            <w:shd w:fill="E2F0D9"/>
          </w:tcPr>
          <w:p>
            <w:pPr>
              <w:spacing w:after="0" w:before="0"/>
            </w:pPr>
            <w:r/>
            <w:r>
              <w:rPr>
                <w:rFonts w:ascii="Aptos" w:hAnsi="Aptos"/>
                <w:b w:val="0"/>
                <w:sz w:val="17"/>
              </w:rPr>
              <w:t>chord_strength_mean</w:t>
            </w:r>
          </w:p>
        </w:tc>
        <w:tc>
          <w:tcPr>
            <w:tcW w:type="dxa" w:w="2016"/>
            <w:vAlign w:val="center"/>
            <w:shd w:fill="E2F0D9"/>
          </w:tcPr>
          <w:p>
            <w:pPr>
              <w:spacing w:after="0" w:before="0"/>
            </w:pPr>
            <w:r/>
            <w:r>
              <w:rPr>
                <w:rFonts w:ascii="Aptos" w:hAnsi="Aptos"/>
                <w:b w:val="0"/>
                <w:sz w:val="17"/>
              </w:rPr>
              <w:t>Stable 12</w:t>
            </w:r>
          </w:p>
        </w:tc>
        <w:tc>
          <w:tcPr>
            <w:tcW w:type="dxa" w:w="5472"/>
            <w:vAlign w:val="center"/>
            <w:shd w:fill="E2F0D9"/>
          </w:tcPr>
          <w:p>
            <w:pPr>
              <w:spacing w:after="0" w:before="0"/>
            </w:pPr>
            <w:r/>
            <w:r>
              <w:rPr>
                <w:rFonts w:ascii="Aptos" w:hAnsi="Aptos"/>
                <w:b w:val="0"/>
                <w:sz w:val="17"/>
              </w:rPr>
              <w:t>Chord clarity</w:t>
            </w:r>
          </w:p>
        </w:tc>
      </w:tr>
      <w:tr>
        <w:trPr>
          <w:cantSplit/>
        </w:trPr>
        <w:tc>
          <w:tcPr>
            <w:tcW w:type="dxa" w:w="3888"/>
            <w:vAlign w:val="center"/>
            <w:shd w:fill="E2F0D9"/>
          </w:tcPr>
          <w:p>
            <w:pPr>
              <w:spacing w:after="0" w:before="0"/>
            </w:pPr>
            <w:r/>
            <w:r>
              <w:rPr>
                <w:rFonts w:ascii="Aptos" w:hAnsi="Aptos"/>
                <w:b w:val="0"/>
                <w:sz w:val="17"/>
              </w:rPr>
              <w:t>chord_change_rate</w:t>
            </w:r>
          </w:p>
        </w:tc>
        <w:tc>
          <w:tcPr>
            <w:tcW w:type="dxa" w:w="2016"/>
            <w:vAlign w:val="center"/>
            <w:shd w:fill="E2F0D9"/>
          </w:tcPr>
          <w:p>
            <w:pPr>
              <w:spacing w:after="0" w:before="0"/>
            </w:pPr>
            <w:r/>
            <w:r>
              <w:rPr>
                <w:rFonts w:ascii="Aptos" w:hAnsi="Aptos"/>
                <w:b w:val="0"/>
                <w:sz w:val="17"/>
              </w:rPr>
              <w:t>Stable 12</w:t>
            </w:r>
          </w:p>
        </w:tc>
        <w:tc>
          <w:tcPr>
            <w:tcW w:type="dxa" w:w="5472"/>
            <w:vAlign w:val="center"/>
            <w:shd w:fill="E2F0D9"/>
          </w:tcPr>
          <w:p>
            <w:pPr>
              <w:spacing w:after="0" w:before="0"/>
            </w:pPr>
            <w:r/>
            <w:r>
              <w:rPr>
                <w:rFonts w:ascii="Aptos" w:hAnsi="Aptos"/>
                <w:b w:val="0"/>
                <w:sz w:val="17"/>
              </w:rPr>
              <w:t>Harmonic rhythm</w:t>
            </w:r>
          </w:p>
        </w:tc>
      </w:tr>
      <w:tr>
        <w:trPr>
          <w:cantSplit/>
        </w:trPr>
        <w:tc>
          <w:tcPr>
            <w:tcW w:type="dxa" w:w="3888"/>
            <w:vAlign w:val="center"/>
            <w:shd w:fill="E2F0D9"/>
          </w:tcPr>
          <w:p>
            <w:pPr>
              <w:spacing w:after="0" w:before="0"/>
            </w:pPr>
            <w:r/>
            <w:r>
              <w:rPr>
                <w:rFonts w:ascii="Aptos" w:hAnsi="Aptos"/>
                <w:b w:val="0"/>
                <w:sz w:val="17"/>
              </w:rPr>
              <w:t>chord_vocabulary_ratio</w:t>
            </w:r>
          </w:p>
        </w:tc>
        <w:tc>
          <w:tcPr>
            <w:tcW w:type="dxa" w:w="2016"/>
            <w:vAlign w:val="center"/>
            <w:shd w:fill="E2F0D9"/>
          </w:tcPr>
          <w:p>
            <w:pPr>
              <w:spacing w:after="0" w:before="0"/>
            </w:pPr>
            <w:r/>
            <w:r>
              <w:rPr>
                <w:rFonts w:ascii="Aptos" w:hAnsi="Aptos"/>
                <w:b w:val="0"/>
                <w:sz w:val="17"/>
              </w:rPr>
              <w:t>Stable 12</w:t>
            </w:r>
          </w:p>
        </w:tc>
        <w:tc>
          <w:tcPr>
            <w:tcW w:type="dxa" w:w="5472"/>
            <w:vAlign w:val="center"/>
            <w:shd w:fill="E2F0D9"/>
          </w:tcPr>
          <w:p>
            <w:pPr>
              <w:spacing w:after="0" w:before="0"/>
            </w:pPr>
            <w:r/>
            <w:r>
              <w:rPr>
                <w:rFonts w:ascii="Aptos" w:hAnsi="Aptos"/>
                <w:b w:val="0"/>
                <w:sz w:val="17"/>
              </w:rPr>
              <w:t>Chord diversity</w:t>
            </w:r>
          </w:p>
        </w:tc>
      </w:tr>
    </w:tbl>
    <w:p>
      <w:pPr>
        <w:spacing w:after="0"/>
      </w:pPr>
    </w:p>
    <w:p>
      <w:pPr>
        <w:spacing w:after="120"/>
      </w:pPr>
      <w:r>
        <w:rPr>
          <w:b/>
        </w:rPr>
        <w:t>Warehouse-only fields excluded from the stable vector:</w:t>
      </w:r>
      <w:r>
        <w:t xml:space="preserve"> chroma_flux_std, tonnetz_movement_std, and tonal_centroid_radius_std. Their exclusion prevents three additional variability statistics from silently changing the registered 12-dimensional model interface; they remain available for later ablation evidence.</w:t>
      </w:r>
    </w:p>
    <w:p>
      <w:pPr>
        <w:pStyle w:val="Heading1"/>
      </w:pPr>
      <w:r>
        <w:t>6. Rhythm branch — AcousticBrainz/Essentia provenance</w:t>
      </w:r>
    </w:p>
    <w:p>
      <w:pPr>
        <w:spacing w:after="120"/>
      </w:pPr>
      <w:r>
        <w:t>The Rhythm-10 vocabulary is based on the AcousticBrainz feature schema and its Essentia extractor. AcousticBrainz was introduced as a community platform for collecting reproducible audio descriptors [14], while Essentia’s Music Extractor explicitly provides onset, beat, BPM, BPM-histogram, beat-loudness, and danceability descriptors [11,12]. This provenance improves methodological credibility because the branch uses established MIR concepts rather than ad hoc labels.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shd w:fill="17324D"/>
          </w:tcPr>
          <w:p>
            <w:pPr>
              <w:spacing w:after="0" w:before="0"/>
            </w:pPr>
            <w:r/>
            <w:r>
              <w:rPr>
                <w:rFonts w:ascii="Aptos" w:hAnsi="Aptos"/>
                <w:b/>
                <w:color w:val="FFFFFF"/>
                <w:sz w:val="16"/>
              </w:rPr>
              <w:t>Stable feature</w:t>
            </w:r>
          </w:p>
        </w:tc>
        <w:tc>
          <w:tcPr>
            <w:tcW w:type="dxa" w:w="5184"/>
            <w:vAlign w:val="center"/>
            <w:shd w:fill="17324D"/>
          </w:tcPr>
          <w:p>
            <w:pPr>
              <w:spacing w:after="0" w:before="0"/>
            </w:pPr>
            <w:r/>
            <w:r>
              <w:rPr>
                <w:rFonts w:ascii="Aptos" w:hAnsi="Aptos"/>
                <w:b/>
                <w:color w:val="FFFFFF"/>
                <w:sz w:val="16"/>
              </w:rPr>
              <w:t>Interpretation</w:t>
            </w:r>
          </w:p>
        </w:tc>
      </w:tr>
      <w:tr>
        <w:trPr>
          <w:cantSplit/>
        </w:trPr>
        <w:tc>
          <w:tcPr>
            <w:tcW w:type="dxa" w:w="4320"/>
            <w:vAlign w:val="center"/>
          </w:tcPr>
          <w:p>
            <w:pPr>
              <w:spacing w:after="0" w:before="0"/>
            </w:pPr>
            <w:r/>
            <w:r>
              <w:rPr>
                <w:rFonts w:ascii="Aptos" w:hAnsi="Aptos"/>
                <w:b w:val="0"/>
                <w:sz w:val="17"/>
              </w:rPr>
              <w:t>bpm</w:t>
            </w:r>
          </w:p>
        </w:tc>
        <w:tc>
          <w:tcPr>
            <w:tcW w:type="dxa" w:w="7056"/>
            <w:vAlign w:val="center"/>
          </w:tcPr>
          <w:p>
            <w:pPr>
              <w:spacing w:after="0" w:before="0"/>
            </w:pPr>
            <w:r/>
            <w:r>
              <w:rPr>
                <w:rFonts w:ascii="Aptos" w:hAnsi="Aptos"/>
                <w:b w:val="0"/>
                <w:sz w:val="17"/>
              </w:rPr>
              <w:t>Estimated global tempo</w:t>
            </w:r>
          </w:p>
        </w:tc>
      </w:tr>
      <w:tr>
        <w:trPr>
          <w:cantSplit/>
        </w:trPr>
        <w:tc>
          <w:tcPr>
            <w:tcW w:type="dxa" w:w="4320"/>
            <w:vAlign w:val="center"/>
            <w:shd w:fill="F2F2F2"/>
          </w:tcPr>
          <w:p>
            <w:pPr>
              <w:spacing w:after="0" w:before="0"/>
            </w:pPr>
            <w:r/>
            <w:r>
              <w:rPr>
                <w:rFonts w:ascii="Aptos" w:hAnsi="Aptos"/>
                <w:b w:val="0"/>
                <w:sz w:val="17"/>
              </w:rPr>
              <w:t>beats_count</w:t>
            </w:r>
          </w:p>
        </w:tc>
        <w:tc>
          <w:tcPr>
            <w:tcW w:type="dxa" w:w="7056"/>
            <w:vAlign w:val="center"/>
            <w:shd w:fill="F2F2F2"/>
          </w:tcPr>
          <w:p>
            <w:pPr>
              <w:spacing w:after="0" w:before="0"/>
            </w:pPr>
            <w:r/>
            <w:r>
              <w:rPr>
                <w:rFonts w:ascii="Aptos" w:hAnsi="Aptos"/>
                <w:b w:val="0"/>
                <w:sz w:val="17"/>
              </w:rPr>
              <w:t>Number of detected beat events</w:t>
            </w:r>
          </w:p>
        </w:tc>
      </w:tr>
      <w:tr>
        <w:trPr>
          <w:cantSplit/>
        </w:trPr>
        <w:tc>
          <w:tcPr>
            <w:tcW w:type="dxa" w:w="4320"/>
            <w:vAlign w:val="center"/>
          </w:tcPr>
          <w:p>
            <w:pPr>
              <w:spacing w:after="0" w:before="0"/>
            </w:pPr>
            <w:r/>
            <w:r>
              <w:rPr>
                <w:rFonts w:ascii="Aptos" w:hAnsi="Aptos"/>
                <w:b w:val="0"/>
                <w:sz w:val="17"/>
              </w:rPr>
              <w:t>beats_loudness_mean</w:t>
            </w:r>
          </w:p>
        </w:tc>
        <w:tc>
          <w:tcPr>
            <w:tcW w:type="dxa" w:w="7056"/>
            <w:vAlign w:val="center"/>
          </w:tcPr>
          <w:p>
            <w:pPr>
              <w:spacing w:after="0" w:before="0"/>
            </w:pPr>
            <w:r/>
            <w:r>
              <w:rPr>
                <w:rFonts w:ascii="Aptos" w:hAnsi="Aptos"/>
                <w:b w:val="0"/>
                <w:sz w:val="17"/>
              </w:rPr>
              <w:t>Mean energy/loudness around detected beats</w:t>
            </w:r>
          </w:p>
        </w:tc>
      </w:tr>
      <w:tr>
        <w:trPr>
          <w:cantSplit/>
        </w:trPr>
        <w:tc>
          <w:tcPr>
            <w:tcW w:type="dxa" w:w="4320"/>
            <w:vAlign w:val="center"/>
            <w:shd w:fill="F2F2F2"/>
          </w:tcPr>
          <w:p>
            <w:pPr>
              <w:spacing w:after="0" w:before="0"/>
            </w:pPr>
            <w:r/>
            <w:r>
              <w:rPr>
                <w:rFonts w:ascii="Aptos" w:hAnsi="Aptos"/>
                <w:b w:val="0"/>
                <w:sz w:val="17"/>
              </w:rPr>
              <w:t>bpm_histogram_first_peak_bpm</w:t>
            </w:r>
          </w:p>
        </w:tc>
        <w:tc>
          <w:tcPr>
            <w:tcW w:type="dxa" w:w="7056"/>
            <w:vAlign w:val="center"/>
            <w:shd w:fill="F2F2F2"/>
          </w:tcPr>
          <w:p>
            <w:pPr>
              <w:spacing w:after="0" w:before="0"/>
            </w:pPr>
            <w:r/>
            <w:r>
              <w:rPr>
                <w:rFonts w:ascii="Aptos" w:hAnsi="Aptos"/>
                <w:b w:val="0"/>
                <w:sz w:val="17"/>
              </w:rPr>
              <w:t>Tempo represented by the dominant BPM-histogram peak</w:t>
            </w:r>
          </w:p>
        </w:tc>
      </w:tr>
      <w:tr>
        <w:trPr>
          <w:cantSplit/>
        </w:trPr>
        <w:tc>
          <w:tcPr>
            <w:tcW w:type="dxa" w:w="4320"/>
            <w:vAlign w:val="center"/>
          </w:tcPr>
          <w:p>
            <w:pPr>
              <w:spacing w:after="0" w:before="0"/>
            </w:pPr>
            <w:r/>
            <w:r>
              <w:rPr>
                <w:rFonts w:ascii="Aptos" w:hAnsi="Aptos"/>
                <w:b w:val="0"/>
                <w:sz w:val="17"/>
              </w:rPr>
              <w:t>bpm_histogram_first_peak_spread</w:t>
            </w:r>
          </w:p>
        </w:tc>
        <w:tc>
          <w:tcPr>
            <w:tcW w:type="dxa" w:w="7056"/>
            <w:vAlign w:val="center"/>
          </w:tcPr>
          <w:p>
            <w:pPr>
              <w:spacing w:after="0" w:before="0"/>
            </w:pPr>
            <w:r/>
            <w:r>
              <w:rPr>
                <w:rFonts w:ascii="Aptos" w:hAnsi="Aptos"/>
                <w:b w:val="0"/>
                <w:sz w:val="17"/>
              </w:rPr>
              <w:t>Uncertainty/spread around the dominant tempo peak</w:t>
            </w:r>
          </w:p>
        </w:tc>
      </w:tr>
      <w:tr>
        <w:trPr>
          <w:cantSplit/>
        </w:trPr>
        <w:tc>
          <w:tcPr>
            <w:tcW w:type="dxa" w:w="4320"/>
            <w:vAlign w:val="center"/>
            <w:shd w:fill="F2F2F2"/>
          </w:tcPr>
          <w:p>
            <w:pPr>
              <w:spacing w:after="0" w:before="0"/>
            </w:pPr>
            <w:r/>
            <w:r>
              <w:rPr>
                <w:rFonts w:ascii="Aptos" w:hAnsi="Aptos"/>
                <w:b w:val="0"/>
                <w:sz w:val="17"/>
              </w:rPr>
              <w:t>bpm_histogram_first_peak_weight</w:t>
            </w:r>
          </w:p>
        </w:tc>
        <w:tc>
          <w:tcPr>
            <w:tcW w:type="dxa" w:w="7056"/>
            <w:vAlign w:val="center"/>
            <w:shd w:fill="F2F2F2"/>
          </w:tcPr>
          <w:p>
            <w:pPr>
              <w:spacing w:after="0" w:before="0"/>
            </w:pPr>
            <w:r/>
            <w:r>
              <w:rPr>
                <w:rFonts w:ascii="Aptos" w:hAnsi="Aptos"/>
                <w:b w:val="0"/>
                <w:sz w:val="17"/>
              </w:rPr>
              <w:t>Relative prominence of the dominant tempo peak</w:t>
            </w:r>
          </w:p>
        </w:tc>
      </w:tr>
      <w:tr>
        <w:trPr>
          <w:cantSplit/>
        </w:trPr>
        <w:tc>
          <w:tcPr>
            <w:tcW w:type="dxa" w:w="4320"/>
            <w:vAlign w:val="center"/>
          </w:tcPr>
          <w:p>
            <w:pPr>
              <w:spacing w:after="0" w:before="0"/>
            </w:pPr>
            <w:r/>
            <w:r>
              <w:rPr>
                <w:rFonts w:ascii="Aptos" w:hAnsi="Aptos"/>
                <w:b w:val="0"/>
                <w:sz w:val="17"/>
              </w:rPr>
              <w:t>onset_rate</w:t>
            </w:r>
          </w:p>
        </w:tc>
        <w:tc>
          <w:tcPr>
            <w:tcW w:type="dxa" w:w="7056"/>
            <w:vAlign w:val="center"/>
          </w:tcPr>
          <w:p>
            <w:pPr>
              <w:spacing w:after="0" w:before="0"/>
            </w:pPr>
            <w:r/>
            <w:r>
              <w:rPr>
                <w:rFonts w:ascii="Aptos" w:hAnsi="Aptos"/>
                <w:b w:val="0"/>
                <w:sz w:val="17"/>
              </w:rPr>
              <w:t>Rate of detected note/event onsets</w:t>
            </w:r>
          </w:p>
        </w:tc>
      </w:tr>
      <w:tr>
        <w:trPr>
          <w:cantSplit/>
        </w:trPr>
        <w:tc>
          <w:tcPr>
            <w:tcW w:type="dxa" w:w="4320"/>
            <w:vAlign w:val="center"/>
            <w:shd w:fill="F2F2F2"/>
          </w:tcPr>
          <w:p>
            <w:pPr>
              <w:spacing w:after="0" w:before="0"/>
            </w:pPr>
            <w:r/>
            <w:r>
              <w:rPr>
                <w:rFonts w:ascii="Aptos" w:hAnsi="Aptos"/>
                <w:b w:val="0"/>
                <w:sz w:val="17"/>
              </w:rPr>
              <w:t>danceability</w:t>
            </w:r>
          </w:p>
        </w:tc>
        <w:tc>
          <w:tcPr>
            <w:tcW w:type="dxa" w:w="7056"/>
            <w:vAlign w:val="center"/>
            <w:shd w:fill="F2F2F2"/>
          </w:tcPr>
          <w:p>
            <w:pPr>
              <w:spacing w:after="0" w:before="0"/>
            </w:pPr>
            <w:r/>
            <w:r>
              <w:rPr>
                <w:rFonts w:ascii="Aptos" w:hAnsi="Aptos"/>
                <w:b w:val="0"/>
                <w:sz w:val="17"/>
              </w:rPr>
              <w:t>Essentia rhythm-based danceability estimate</w:t>
            </w:r>
          </w:p>
        </w:tc>
      </w:tr>
      <w:tr>
        <w:trPr>
          <w:cantSplit/>
        </w:trPr>
        <w:tc>
          <w:tcPr>
            <w:tcW w:type="dxa" w:w="4320"/>
            <w:vAlign w:val="center"/>
          </w:tcPr>
          <w:p>
            <w:pPr>
              <w:spacing w:after="0" w:before="0"/>
            </w:pPr>
            <w:r/>
            <w:r>
              <w:rPr>
                <w:rFonts w:ascii="Aptos" w:hAnsi="Aptos"/>
                <w:b w:val="0"/>
                <w:sz w:val="17"/>
              </w:rPr>
              <w:t>beat_interval_mean</w:t>
            </w:r>
          </w:p>
        </w:tc>
        <w:tc>
          <w:tcPr>
            <w:tcW w:type="dxa" w:w="7056"/>
            <w:vAlign w:val="center"/>
          </w:tcPr>
          <w:p>
            <w:pPr>
              <w:spacing w:after="0" w:before="0"/>
            </w:pPr>
            <w:r/>
            <w:r>
              <w:rPr>
                <w:rFonts w:ascii="Aptos" w:hAnsi="Aptos"/>
                <w:b w:val="0"/>
                <w:sz w:val="17"/>
              </w:rPr>
              <w:t>Mean inter-beat interval derived transparently from beat positions</w:t>
            </w:r>
          </w:p>
        </w:tc>
      </w:tr>
      <w:tr>
        <w:trPr>
          <w:cantSplit/>
        </w:trPr>
        <w:tc>
          <w:tcPr>
            <w:tcW w:type="dxa" w:w="4320"/>
            <w:vAlign w:val="center"/>
            <w:shd w:fill="F2F2F2"/>
          </w:tcPr>
          <w:p>
            <w:pPr>
              <w:spacing w:after="0" w:before="0"/>
            </w:pPr>
            <w:r/>
            <w:r>
              <w:rPr>
                <w:rFonts w:ascii="Aptos" w:hAnsi="Aptos"/>
                <w:b w:val="0"/>
                <w:sz w:val="17"/>
              </w:rPr>
              <w:t>beat_interval_std</w:t>
            </w:r>
          </w:p>
        </w:tc>
        <w:tc>
          <w:tcPr>
            <w:tcW w:type="dxa" w:w="7056"/>
            <w:vAlign w:val="center"/>
            <w:shd w:fill="F2F2F2"/>
          </w:tcPr>
          <w:p>
            <w:pPr>
              <w:spacing w:after="0" w:before="0"/>
            </w:pPr>
            <w:r/>
            <w:r>
              <w:rPr>
                <w:rFonts w:ascii="Aptos" w:hAnsi="Aptos"/>
                <w:b w:val="0"/>
                <w:sz w:val="17"/>
              </w:rPr>
              <w:t>Variability of inter-beat intervals derived from beat positions</w:t>
            </w:r>
          </w:p>
        </w:tc>
      </w:tr>
    </w:tbl>
    <w:p>
      <w:pPr>
        <w:spacing w:after="0"/>
      </w:pPr>
    </w:p>
    <w:p>
      <w:pPr>
        <w:spacing w:after="120"/>
      </w:pPr>
      <w:r>
        <w:rPr>
          <w:b/>
        </w:rPr>
        <w:t>Precision note.</w:t>
      </w:r>
      <w:r>
        <w:t xml:space="preserve"> The first eight names align directly with AcousticBrainz/Essentia rhythm outputs or their documented statistics. beat_interval_mean and beat_interval_std are transparent project-level summaries derived from the extractor’s beat positions; they should be described as AcousticBrainz/Essentia-informed derivatives, not as literal AcousticBrainz field names.</w:t>
      </w:r>
    </w:p>
    <w:p>
      <w:r>
        <w:br w:type="page"/>
      </w:r>
    </w:p>
    <w:p>
      <w:pPr>
        <w:pStyle w:val="Heading1"/>
      </w:pPr>
      <w:r>
        <w:t>7. Instrument and genre branches</w:t>
      </w:r>
    </w:p>
    <w:p>
      <w:pPr>
        <w:spacing w:after="120"/>
      </w:pPr>
      <w:r>
        <w:t>Instrument-41 represents interpretable source-presence concepts: accordion, acoustic bass guitar, acoustic guitar, bass, beat, bell, bongo, brass, cello, clarinet, classical guitar, computer, double bass, drum machine, drums, electric guitar, electric piano, flute, guitar, harmonica, harp, horn, keyboard, oboe, orchestra, organ, pad, percussion, piano, pipe organ, Rhodes, sampler, saxophone, strings, synthesizer, trombone, trumpet, ukulele, viola, violin, and voice.</w:t>
      </w:r>
    </w:p>
    <w:p>
      <w:pPr>
        <w:spacing w:after="120"/>
      </w:pPr>
      <w:r>
        <w:t>Genre-6 contains the six multilabel targets. Genre labels are outputs, not acoustic explanation inputs. Keeping the roles separate prevents target leakage and makes branch-level explanations interpretable: instrument, rhythm, timbre, and harmony describe the audio; genre is what the model predicts.</w:t>
      </w:r>
    </w:p>
    <w:p>
      <w:pPr>
        <w:pStyle w:val="Heading1"/>
      </w:pPr>
      <w:r>
        <w:t>8. Reproducibility and reporting rules</w:t>
      </w:r>
    </w:p>
    <w:p>
      <w:pPr>
        <w:pStyle w:val="ListBullet"/>
        <w:spacing w:after="60"/>
      </w:pPr>
      <w:r>
        <w:t>Report the stable dimensionality exactly as 41 instrument + 10 rhythm + 12 timbre + 12 harmony, with 6 genre outputs.</w:t>
      </w:r>
    </w:p>
    <w:p>
      <w:pPr>
        <w:pStyle w:val="ListBullet"/>
        <w:spacing w:after="60"/>
      </w:pPr>
      <w:r>
        <w:t>State that 15 harmony descriptors exist in the warehouse, but only the named 12 enter the stable harmony branch.</w:t>
      </w:r>
    </w:p>
    <w:p>
      <w:pPr>
        <w:pStyle w:val="ListBullet"/>
        <w:spacing w:after="60"/>
      </w:pPr>
      <w:r>
        <w:t>Treat means as track-level central tendency and standard deviations as within-track temporal variability.</w:t>
      </w:r>
    </w:p>
    <w:p>
      <w:pPr>
        <w:pStyle w:val="ListBullet"/>
        <w:spacing w:after="60"/>
      </w:pPr>
      <w:r>
        <w:t>Fit normalization parameters on the training split only; apply the learned transform unchanged to validation and test tracks.</w:t>
      </w:r>
    </w:p>
    <w:p>
      <w:pPr>
        <w:pStyle w:val="ListBullet"/>
        <w:spacing w:after="60"/>
      </w:pPr>
      <w:r>
        <w:t>Describe the cited literature as construct and methodological support, not proof that no alternative feature set could perform better.</w:t>
      </w:r>
    </w:p>
    <w:p>
      <w:pPr>
        <w:pStyle w:val="ListBullet"/>
        <w:spacing w:after="60"/>
      </w:pPr>
      <w:r>
        <w:t>Preserve feature names, extraction configuration, track IDs, split assignments, and code version with each produced dataset.</w:t>
      </w:r>
    </w:p>
    <w:p>
      <w:pPr>
        <w:pStyle w:val="Heading1"/>
      </w:pPr>
      <w:r>
        <w:t>9. Paper-ready methods wording</w:t>
      </w:r>
    </w:p>
    <w:tbl>
      <w:tblPr>
        <w:tblW w:type="auto" w:w="0"/>
        <w:tblLook w:firstColumn="1" w:firstRow="1" w:lastColumn="0" w:lastRow="0" w:noHBand="0" w:noVBand="1" w:val="04A0"/>
      </w:tblPr>
      <w:tblGrid>
        <w:gridCol w:w="10368"/>
      </w:tblGrid>
      <w:tr>
        <w:tc>
          <w:tcPr>
            <w:tcW w:type="dxa" w:w="10368"/>
            <w:shd w:fill="DDEBF7"/>
            <w:vAlign w:val="center"/>
          </w:tcPr>
          <w:p>
            <w:pPr>
              <w:spacing w:after="0" w:before="0"/>
            </w:pPr>
            <w:r/>
            <w:r>
              <w:rPr>
                <w:rFonts w:ascii="Aptos" w:hAnsi="Aptos"/>
                <w:b w:val="0"/>
                <w:sz w:val="18"/>
              </w:rPr>
              <w:t>We used a fixed explainable concept interface comprising 41 instrument, 10 rhythm, 12 timbre, and 12 harmony features, with six multilabel genre targets. The timbre descriptors span spectral centre and spread, spectral shape and contrast, noise/harmonic balance, temporal spectral change, and inharmonicity, drawing on established timbre and genre-classification literature [1–5]. The harmony descriptors combine key/mode evidence, chroma complexity and movement, Tonnetz geometry, recurrence, and chord-level summaries [6–13]. Rhythm descriptors follow the AcousticBrainz/Essentia feature vocabulary; the two inter-beat-interval statistics are transparent derivatives of detected beat positions [11,12,14]. Although 15 harmony descriptors are retained in the feature warehouse, only the prespecified Harmony-12 enter the stable model.</w:t>
            </w:r>
          </w:p>
        </w:tc>
      </w:tr>
    </w:tbl>
    <w:p>
      <w:r>
        <w:br w:type="page"/>
      </w:r>
    </w:p>
    <w:p>
      <w:pPr>
        <w:pStyle w:val="Heading1"/>
      </w:pPr>
      <w:r>
        <w:t>References</w:t>
      </w:r>
    </w:p>
    <w:p>
      <w:pPr>
        <w:spacing w:after="100"/>
        <w:ind w:left="288" w:hanging="288"/>
      </w:pPr>
      <w:r>
        <w:rPr>
          <w:sz w:val="17"/>
        </w:rPr>
        <w:t>[1] Peeters, G., Giordano, B. L., Susini, P., Misdariis, N., &amp; McAdams, S. (2011). The Timbre Toolbox: Extracting audio descriptors from musical signals. Journal of the Acoustical Society of America, 130(5), 2902–2916. https://doi.org/10.1121/1.3642604</w:t>
      </w:r>
    </w:p>
    <w:p>
      <w:pPr>
        <w:spacing w:after="100"/>
        <w:ind w:left="288" w:hanging="288"/>
      </w:pPr>
      <w:r>
        <w:rPr>
          <w:sz w:val="17"/>
        </w:rPr>
        <w:t>[2] Tzanetakis, G., &amp; Cook, P. (2002). Musical genre classification of audio signals. IEEE Transactions on Speech and Audio Processing, 10(5), 293–302. https://doi.org/10.1109/TSA.2002.800560</w:t>
      </w:r>
    </w:p>
    <w:p>
      <w:pPr>
        <w:spacing w:after="100"/>
        <w:ind w:left="288" w:hanging="288"/>
      </w:pPr>
      <w:r>
        <w:rPr>
          <w:sz w:val="17"/>
        </w:rPr>
        <w:t>[3] McAdams, S., Winsberg, S., Donnadieu, S., De Soete, G., &amp; Krimphoff, J. (1995). Perceptual scaling of synthesized musical timbres: Common dimensions, specificities, and latent subject classes. Psychological Research, 58, 177–192. https://doi.org/10.1007/BF00419633</w:t>
      </w:r>
    </w:p>
    <w:p>
      <w:pPr>
        <w:spacing w:after="100"/>
        <w:ind w:left="288" w:hanging="288"/>
      </w:pPr>
      <w:r>
        <w:rPr>
          <w:sz w:val="17"/>
        </w:rPr>
        <w:t>[4] Jiang, D.-N., Lu, L., Zhang, H.-J., Tao, J.-H., &amp; Cai, L.-H. (2002). Music type classification by spectral contrast feature. Proceedings of ICME 2002, 113–116. https://doi.org/10.1109/ICME.2002.1035731</w:t>
      </w:r>
    </w:p>
    <w:p>
      <w:pPr>
        <w:spacing w:after="100"/>
        <w:ind w:left="288" w:hanging="288"/>
      </w:pPr>
      <w:r>
        <w:rPr>
          <w:sz w:val="17"/>
        </w:rPr>
        <w:t>[5] Alluri, V., &amp; Toiviainen, P. (2010). Exploring perceptual and acoustical correlates of polyphonic timbre. Music Perception, 27(3), 223–242. https://doi.org/10.1525/mp.2010.27.3.223</w:t>
      </w:r>
    </w:p>
    <w:p>
      <w:pPr>
        <w:spacing w:after="100"/>
        <w:ind w:left="288" w:hanging="288"/>
      </w:pPr>
      <w:r>
        <w:rPr>
          <w:sz w:val="17"/>
        </w:rPr>
        <w:t>[6] Müller, M., &amp; Ewert, S. (2011). Chroma Toolbox: MATLAB implementations for extracting variants of chroma-based audio features. Proceedings of ISMIR 2011, 215–220. https://www.audiolabs-erlangen.de/content/resources/MIR/chromatoolbox/2011_MuellerEwert_ChromaToolbox_ISMIR.pdf</w:t>
      </w:r>
    </w:p>
    <w:p>
      <w:pPr>
        <w:spacing w:after="100"/>
        <w:ind w:left="288" w:hanging="288"/>
      </w:pPr>
      <w:r>
        <w:rPr>
          <w:sz w:val="17"/>
        </w:rPr>
        <w:t>[7] Harte, C., Sandler, M., &amp; Gasser, M. (2006). Detecting harmonic change in musical audio. Proceedings of the 1st ACM Workshop on Audio and Music Computing Multimedia, 21–26. https://doi.org/10.1145/1178723.1178727</w:t>
      </w:r>
    </w:p>
    <w:p>
      <w:pPr>
        <w:spacing w:after="100"/>
        <w:ind w:left="288" w:hanging="288"/>
      </w:pPr>
      <w:r>
        <w:rPr>
          <w:sz w:val="17"/>
        </w:rPr>
        <w:t>[8] Krumhansl, C. L. (1990). Cognitive Foundations of Musical Pitch. Oxford University Press.</w:t>
      </w:r>
    </w:p>
    <w:p>
      <w:pPr>
        <w:spacing w:after="100"/>
        <w:ind w:left="288" w:hanging="288"/>
      </w:pPr>
      <w:r>
        <w:rPr>
          <w:sz w:val="17"/>
        </w:rPr>
        <w:t>[9] Temperley, D. (1999). What’s key for key? The Krumhansl–Schmuckler key-finding algorithm reconsidered. Music Perception, 17(1), 65–100. https://doi.org/10.2307/40285812</w:t>
      </w:r>
    </w:p>
    <w:p>
      <w:pPr>
        <w:spacing w:after="100"/>
        <w:ind w:left="288" w:hanging="288"/>
      </w:pPr>
      <w:r>
        <w:rPr>
          <w:sz w:val="17"/>
        </w:rPr>
        <w:t>[10] Weiß, C., &amp; Müller, M. (2014). Quantifying and visualizing tonal complexity. Proceedings of the Conference on Interdisciplinary Musicology. https://www.audiolabs-erlangen.de/content/05_fau/professor/00_mueller/03_publications/2014_WeissMueller_TonalComplexity_CIM.pdf</w:t>
      </w:r>
    </w:p>
    <w:p>
      <w:pPr>
        <w:spacing w:after="100"/>
        <w:ind w:left="288" w:hanging="288"/>
      </w:pPr>
      <w:r>
        <w:rPr>
          <w:sz w:val="17"/>
        </w:rPr>
        <w:t>[11] Bogdanov, D., Wack, N., Gómez, E., Gulati, S., Herrera, P., Mayor, O., Roma, G., Salamon, J., Zapata, J. R., &amp; Serra, X. (2013). ESSENTIA: An audio analysis library for music information retrieval. Proceedings of ACM Multimedia, 855–858. https://doi.org/10.1145/2502081.2502229</w:t>
      </w:r>
    </w:p>
    <w:p>
      <w:pPr>
        <w:spacing w:after="100"/>
        <w:ind w:left="288" w:hanging="288"/>
      </w:pPr>
      <w:r>
        <w:rPr>
          <w:sz w:val="17"/>
        </w:rPr>
        <w:t>[12] Bogdanov, D., Porter, A., &amp; Serra, X. (2015). Taming wild horses with Essentia Music Extractor. Late-Breaking/Demo session, ISMIR 2015. https://mtg.upf.edu/system/files/publications/Bogdanov_ISMIR15_LBD.pdf</w:t>
      </w:r>
    </w:p>
    <w:p>
      <w:pPr>
        <w:spacing w:after="100"/>
        <w:ind w:left="288" w:hanging="288"/>
      </w:pPr>
      <w:r>
        <w:rPr>
          <w:sz w:val="17"/>
        </w:rPr>
        <w:t>[13] Pérez-Sancho, C., Rizo, D., &amp; Iñesta, J. M. (2009). Genre classification using chords and stochastic language models. Connection Science, 21(2–3), 145–159. https://doi.org/10.1080/09540090902733780</w:t>
      </w:r>
    </w:p>
    <w:p>
      <w:pPr>
        <w:spacing w:after="100"/>
        <w:ind w:left="288" w:hanging="288"/>
      </w:pPr>
      <w:r>
        <w:rPr>
          <w:sz w:val="17"/>
        </w:rPr>
        <w:t>[14] Porter, A., Bogdanov, D., Kaye, R., Tsukanov, R., &amp; Serra, X. (2015). AcousticBrainz: A community platform for gathering music information obtained from audio. Proceedings of ISMIR 2015, 786–792. https://archives.ismir.net/ismir2015/paper/000210.pdf</w:t>
      </w:r>
    </w:p>
    <w:p>
      <w:pPr>
        <w:pStyle w:val="Heading1"/>
      </w:pPr>
      <w:r>
        <w:t>Appendix A. Exact stable feature lists</w:t>
      </w:r>
    </w:p>
    <w:p>
      <w:pPr>
        <w:spacing w:after="120"/>
      </w:pPr>
      <w:r>
        <w:t>Timbre-12: spectral_centroid_mean, spectral_centroid_std, spectral_bandwidth_mean, spectral_bandwidth_std, spectral_skewness_mean, spectral_contrast_mean, spectral_flatness_mean, spectral_rolloff_mean, spectral_flux_mean, spectral_flux_std, hnr_mean_db, inharmonicity_mean.</w:t>
      </w:r>
    </w:p>
    <w:p>
      <w:pPr>
        <w:spacing w:after="120"/>
      </w:pPr>
      <w:r>
        <w:t>Harmony-12: global_key_strength, mode_confidence, key_stability, chroma_entropy_mean, chroma_entropy_std, chroma_flux_mean, tonnetz_movement_mean, tonal_centroid_radius_mean, chroma_recurrence_15s, chord_strength_mean, chord_change_rate, chord_vocabulary_ratio.</w:t>
      </w:r>
    </w:p>
    <w:p>
      <w:pPr>
        <w:spacing w:after="120"/>
      </w:pPr>
      <w:r>
        <w:t>Rhythm-10: bpm, beats_count, beats_loudness_mean, bpm_histogram_first_peak_bpm, bpm_histogram_first_peak_spread, bpm_histogram_first_peak_weight, onset_rate, danceability, beat_interval_mean, beat_interval_std.</w:t>
      </w:r>
    </w:p>
    <w:sectPr w:rsidR="00FC693F" w:rsidRPr="0006063C" w:rsidSect="00034616">
      <w:footerReference w:type="default" r:id="rId9"/>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Evidence base for explainable features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75B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Base for Explainable Music Features</dc:title>
  <dc:subject>Stable feature contract and research justification</dc:subject>
  <dc:creator>Music Genre Classification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