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409E6" w14:textId="3812E6F6" w:rsidR="000A4987" w:rsidRPr="002168FE" w:rsidRDefault="00FC130A" w:rsidP="002168FE">
      <w:pPr>
        <w:pStyle w:val="Heading1"/>
        <w:jc w:val="center"/>
        <w:rPr>
          <w:u w:val="single"/>
        </w:rPr>
      </w:pPr>
      <w:r w:rsidRPr="002168FE">
        <w:rPr>
          <w:u w:val="single"/>
        </w:rPr>
        <w:t>Risk Management Plan</w:t>
      </w:r>
    </w:p>
    <w:p w14:paraId="7D9E59A5" w14:textId="57A3B317" w:rsidR="002168FE" w:rsidRDefault="002168FE" w:rsidP="002168FE">
      <w:pPr>
        <w:pStyle w:val="Heading1"/>
        <w:numPr>
          <w:ilvl w:val="0"/>
          <w:numId w:val="14"/>
        </w:numPr>
      </w:pPr>
      <w:r w:rsidRPr="002168FE">
        <w:t>Methodology</w:t>
      </w:r>
    </w:p>
    <w:p w14:paraId="51A59075" w14:textId="77777777" w:rsidR="002168FE" w:rsidRPr="002168FE" w:rsidRDefault="002168FE" w:rsidP="002168FE"/>
    <w:p w14:paraId="3EE2094D" w14:textId="77777777" w:rsidR="002168FE" w:rsidRPr="002168FE" w:rsidRDefault="002168FE" w:rsidP="002168FE">
      <w:r w:rsidRPr="002168FE">
        <w:t xml:space="preserve">This </w:t>
      </w:r>
      <w:r w:rsidRPr="002168FE">
        <w:rPr>
          <w:b/>
          <w:bCs/>
        </w:rPr>
        <w:t>Risk Management Plan</w:t>
      </w:r>
      <w:r w:rsidRPr="002168FE">
        <w:t xml:space="preserve"> follows the ISO 27001 and GDPR-compliant framework to assess and mitigate potential risks to the information security and data privacy of </w:t>
      </w:r>
      <w:proofErr w:type="spellStart"/>
      <w:r w:rsidRPr="002168FE">
        <w:t>Waquis</w:t>
      </w:r>
      <w:proofErr w:type="spellEnd"/>
      <w:r w:rsidRPr="002168FE">
        <w:t xml:space="preserve"> (Pvt) Ltd. The risk assessment process begins with a structured </w:t>
      </w:r>
      <w:r w:rsidRPr="002168FE">
        <w:rPr>
          <w:b/>
          <w:bCs/>
        </w:rPr>
        <w:t>risk identification</w:t>
      </w:r>
      <w:r w:rsidRPr="002168FE">
        <w:t xml:space="preserve"> phase, where all potential risks to the company’s IT infrastructure, data management processes, and compliance requirements are identified.</w:t>
      </w:r>
    </w:p>
    <w:p w14:paraId="008B9A48" w14:textId="77777777" w:rsidR="002168FE" w:rsidRPr="002168FE" w:rsidRDefault="002168FE" w:rsidP="002168FE">
      <w:r w:rsidRPr="002168FE">
        <w:t xml:space="preserve">Key risks include data breaches, non-compliance with regulatory standards, and operational disruptions. After identifying these risks, they are evaluated through a </w:t>
      </w:r>
      <w:r w:rsidRPr="002168FE">
        <w:rPr>
          <w:b/>
          <w:bCs/>
        </w:rPr>
        <w:t>risk analysis</w:t>
      </w:r>
      <w:r w:rsidRPr="002168FE">
        <w:t xml:space="preserve"> process, where the likelihood of each risk occurring and its potential impact on the organization are determined. This analysis uses both </w:t>
      </w:r>
      <w:r w:rsidRPr="002168FE">
        <w:rPr>
          <w:b/>
          <w:bCs/>
        </w:rPr>
        <w:t>qualitative</w:t>
      </w:r>
      <w:r w:rsidRPr="002168FE">
        <w:t xml:space="preserve"> and </w:t>
      </w:r>
      <w:r w:rsidRPr="002168FE">
        <w:rPr>
          <w:b/>
          <w:bCs/>
        </w:rPr>
        <w:t>quantitative</w:t>
      </w:r>
      <w:r w:rsidRPr="002168FE">
        <w:t xml:space="preserve"> techniques, in line with ISO 27001 guidelines, to ensure a deep understanding of how these risks could affect business continuity, legal compliance, and the company's reputation.</w:t>
      </w:r>
    </w:p>
    <w:p w14:paraId="06AA5E54" w14:textId="77777777" w:rsidR="002168FE" w:rsidRPr="002168FE" w:rsidRDefault="002168FE" w:rsidP="002168FE">
      <w:r w:rsidRPr="002168FE">
        <w:t xml:space="preserve">The next step is </w:t>
      </w:r>
      <w:r w:rsidRPr="002168FE">
        <w:rPr>
          <w:b/>
          <w:bCs/>
        </w:rPr>
        <w:t>risk evaluation</w:t>
      </w:r>
      <w:r w:rsidRPr="002168FE">
        <w:t xml:space="preserve">, where identified risks are ranked by their severity. This is particularly critical for risks involving data breaches or regulatory non-compliance. The final stage, </w:t>
      </w:r>
      <w:r w:rsidRPr="002168FE">
        <w:rPr>
          <w:b/>
          <w:bCs/>
        </w:rPr>
        <w:t>risk treatment</w:t>
      </w:r>
      <w:r w:rsidRPr="002168FE">
        <w:t>, focuses on implementing risk mitigation strategies outlined in ISO 27001 while ensuring data protection measures that meet GDPR obligations. Continuous monitoring and evaluation are essential to ensure that the risk management plan remains adaptable to emerging threats, protecting the organization’s security and compliance.</w:t>
      </w:r>
    </w:p>
    <w:p w14:paraId="50F16966" w14:textId="7F60F779" w:rsidR="002168FE" w:rsidRPr="002168FE" w:rsidRDefault="002168FE" w:rsidP="002168FE"/>
    <w:p w14:paraId="58654BD2" w14:textId="3AED303E" w:rsidR="002168FE" w:rsidRDefault="002168FE" w:rsidP="002168FE">
      <w:pPr>
        <w:pStyle w:val="Heading1"/>
        <w:numPr>
          <w:ilvl w:val="0"/>
          <w:numId w:val="14"/>
        </w:numPr>
      </w:pPr>
      <w:r w:rsidRPr="002168FE">
        <w:t>Risk Identification</w:t>
      </w:r>
    </w:p>
    <w:p w14:paraId="20E98DAF" w14:textId="77777777" w:rsidR="002168FE" w:rsidRPr="002168FE" w:rsidRDefault="002168FE" w:rsidP="002168FE"/>
    <w:p w14:paraId="411AA91B" w14:textId="77777777" w:rsidR="002168FE" w:rsidRPr="002168FE" w:rsidRDefault="002168FE" w:rsidP="002168FE">
      <w:r w:rsidRPr="002168FE">
        <w:t xml:space="preserve">In this phase, we systematically identify all potential threats and vulnerabilities that could compromise the company’s information security and personal data. This involves creating a comprehensive </w:t>
      </w:r>
      <w:r w:rsidRPr="002168FE">
        <w:rPr>
          <w:b/>
          <w:bCs/>
        </w:rPr>
        <w:t>asset inventory</w:t>
      </w:r>
      <w:r w:rsidRPr="002168FE">
        <w:t xml:space="preserve">, mapping </w:t>
      </w:r>
      <w:r w:rsidRPr="002168FE">
        <w:rPr>
          <w:b/>
          <w:bCs/>
        </w:rPr>
        <w:t>data flows</w:t>
      </w:r>
      <w:r w:rsidRPr="002168FE">
        <w:t xml:space="preserve">, and reviewing </w:t>
      </w:r>
      <w:r w:rsidRPr="002168FE">
        <w:rPr>
          <w:b/>
          <w:bCs/>
        </w:rPr>
        <w:t>existing processes</w:t>
      </w:r>
      <w:r w:rsidRPr="002168FE">
        <w:t xml:space="preserve"> for weaknesses. The following risks were identified through this process:</w:t>
      </w:r>
    </w:p>
    <w:p w14:paraId="36D64747" w14:textId="77777777" w:rsidR="002168FE" w:rsidRPr="002168FE" w:rsidRDefault="002168FE" w:rsidP="002168FE">
      <w:pPr>
        <w:numPr>
          <w:ilvl w:val="0"/>
          <w:numId w:val="11"/>
        </w:numPr>
      </w:pPr>
      <w:r w:rsidRPr="002168FE">
        <w:rPr>
          <w:b/>
          <w:bCs/>
        </w:rPr>
        <w:t>Unauthorized access to sensitive customer data</w:t>
      </w:r>
      <w:r w:rsidRPr="002168FE">
        <w:t>.</w:t>
      </w:r>
    </w:p>
    <w:p w14:paraId="557939CC" w14:textId="77777777" w:rsidR="002168FE" w:rsidRPr="002168FE" w:rsidRDefault="002168FE" w:rsidP="002168FE">
      <w:pPr>
        <w:numPr>
          <w:ilvl w:val="0"/>
          <w:numId w:val="11"/>
        </w:numPr>
      </w:pPr>
      <w:r w:rsidRPr="002168FE">
        <w:rPr>
          <w:b/>
          <w:bCs/>
        </w:rPr>
        <w:t>Data breaches caused by external cyberattacks</w:t>
      </w:r>
      <w:r w:rsidRPr="002168FE">
        <w:t>.</w:t>
      </w:r>
    </w:p>
    <w:p w14:paraId="26AB1A22" w14:textId="77777777" w:rsidR="002168FE" w:rsidRPr="002168FE" w:rsidRDefault="002168FE" w:rsidP="002168FE">
      <w:pPr>
        <w:numPr>
          <w:ilvl w:val="0"/>
          <w:numId w:val="11"/>
        </w:numPr>
      </w:pPr>
      <w:r w:rsidRPr="002168FE">
        <w:rPr>
          <w:b/>
          <w:bCs/>
        </w:rPr>
        <w:t>Insider threats from malicious employees</w:t>
      </w:r>
      <w:r w:rsidRPr="002168FE">
        <w:t>.</w:t>
      </w:r>
    </w:p>
    <w:p w14:paraId="0D1647B9" w14:textId="77777777" w:rsidR="002168FE" w:rsidRPr="002168FE" w:rsidRDefault="002168FE" w:rsidP="002168FE">
      <w:pPr>
        <w:numPr>
          <w:ilvl w:val="0"/>
          <w:numId w:val="11"/>
        </w:numPr>
      </w:pPr>
      <w:r w:rsidRPr="002168FE">
        <w:rPr>
          <w:b/>
          <w:bCs/>
        </w:rPr>
        <w:lastRenderedPageBreak/>
        <w:t>Malware infections due to weak endpoint security</w:t>
      </w:r>
      <w:r w:rsidRPr="002168FE">
        <w:t>.</w:t>
      </w:r>
    </w:p>
    <w:p w14:paraId="2ACA2E9E" w14:textId="77777777" w:rsidR="002168FE" w:rsidRPr="002168FE" w:rsidRDefault="002168FE" w:rsidP="002168FE">
      <w:pPr>
        <w:numPr>
          <w:ilvl w:val="0"/>
          <w:numId w:val="11"/>
        </w:numPr>
      </w:pPr>
      <w:r w:rsidRPr="002168FE">
        <w:rPr>
          <w:b/>
          <w:bCs/>
        </w:rPr>
        <w:t>Physical theft of devices holding important data</w:t>
      </w:r>
      <w:r w:rsidRPr="002168FE">
        <w:t>.</w:t>
      </w:r>
    </w:p>
    <w:p w14:paraId="296B35E5" w14:textId="77777777" w:rsidR="002168FE" w:rsidRPr="002168FE" w:rsidRDefault="002168FE" w:rsidP="002168FE">
      <w:pPr>
        <w:numPr>
          <w:ilvl w:val="0"/>
          <w:numId w:val="11"/>
        </w:numPr>
      </w:pPr>
      <w:r w:rsidRPr="002168FE">
        <w:rPr>
          <w:b/>
          <w:bCs/>
        </w:rPr>
        <w:t>Non-compliance with data privacy laws</w:t>
      </w:r>
      <w:r w:rsidRPr="002168FE">
        <w:t>.</w:t>
      </w:r>
    </w:p>
    <w:p w14:paraId="10FF6B82" w14:textId="77777777" w:rsidR="002168FE" w:rsidRPr="002168FE" w:rsidRDefault="002168FE" w:rsidP="002168FE">
      <w:pPr>
        <w:numPr>
          <w:ilvl w:val="0"/>
          <w:numId w:val="11"/>
        </w:numPr>
      </w:pPr>
      <w:r w:rsidRPr="002168FE">
        <w:rPr>
          <w:b/>
          <w:bCs/>
        </w:rPr>
        <w:t>Denial-of-Service (DoS) attacks disrupting essential services</w:t>
      </w:r>
      <w:r w:rsidRPr="002168FE">
        <w:t>.</w:t>
      </w:r>
    </w:p>
    <w:p w14:paraId="31CC217C" w14:textId="77777777" w:rsidR="002168FE" w:rsidRPr="002168FE" w:rsidRDefault="002168FE" w:rsidP="002168FE">
      <w:r w:rsidRPr="002168FE">
        <w:t>By thoroughly analyzing these risks, we lay the foundation for an in-depth and effective risk assessment.</w:t>
      </w:r>
    </w:p>
    <w:p w14:paraId="7F2D61EB" w14:textId="2286AFEC" w:rsidR="002168FE" w:rsidRPr="002168FE" w:rsidRDefault="002168FE" w:rsidP="002168FE"/>
    <w:p w14:paraId="0B126657" w14:textId="47EB7D73" w:rsidR="002168FE" w:rsidRDefault="002168FE" w:rsidP="002168FE">
      <w:pPr>
        <w:pStyle w:val="Heading1"/>
        <w:numPr>
          <w:ilvl w:val="0"/>
          <w:numId w:val="14"/>
        </w:numPr>
      </w:pPr>
      <w:r w:rsidRPr="002168FE">
        <w:t>Risk Analysis</w:t>
      </w:r>
    </w:p>
    <w:p w14:paraId="68094D68" w14:textId="77777777" w:rsidR="002168FE" w:rsidRPr="002168FE" w:rsidRDefault="002168FE" w:rsidP="002168FE"/>
    <w:p w14:paraId="5BECD5B8" w14:textId="77777777" w:rsidR="002168FE" w:rsidRPr="002168FE" w:rsidRDefault="002168FE" w:rsidP="002168FE">
      <w:r w:rsidRPr="002168FE">
        <w:t xml:space="preserve">Each identified risk is analyzed based on its </w:t>
      </w:r>
      <w:r w:rsidRPr="002168FE">
        <w:rPr>
          <w:b/>
          <w:bCs/>
        </w:rPr>
        <w:t>potential impact</w:t>
      </w:r>
      <w:r w:rsidRPr="002168FE">
        <w:t xml:space="preserve"> and </w:t>
      </w:r>
      <w:r w:rsidRPr="002168FE">
        <w:rPr>
          <w:b/>
          <w:bCs/>
        </w:rPr>
        <w:t>likelihood</w:t>
      </w:r>
      <w:r w:rsidRPr="002168FE">
        <w:t xml:space="preserve"> of occurrence using a </w:t>
      </w:r>
      <w:r w:rsidRPr="002168FE">
        <w:rPr>
          <w:b/>
          <w:bCs/>
        </w:rPr>
        <w:t>risk matrix</w:t>
      </w:r>
      <w:r w:rsidRPr="002168FE">
        <w:t>. The matrix helps prioritize risks based on their severity to the 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1015"/>
        <w:gridCol w:w="965"/>
        <w:gridCol w:w="3066"/>
        <w:gridCol w:w="989"/>
      </w:tblGrid>
      <w:tr w:rsidR="002168FE" w:rsidRPr="002168FE" w14:paraId="6AEC5702" w14:textId="77777777" w:rsidTr="002168FE">
        <w:trPr>
          <w:tblHeader/>
          <w:tblCellSpacing w:w="15" w:type="dxa"/>
        </w:trPr>
        <w:tc>
          <w:tcPr>
            <w:tcW w:w="0" w:type="auto"/>
            <w:tcBorders>
              <w:top w:val="single" w:sz="4" w:space="0" w:color="auto"/>
              <w:left w:val="single" w:sz="4" w:space="0" w:color="auto"/>
              <w:right w:val="single" w:sz="4" w:space="0" w:color="auto"/>
            </w:tcBorders>
            <w:vAlign w:val="center"/>
            <w:hideMark/>
          </w:tcPr>
          <w:p w14:paraId="27CFE3F0" w14:textId="77777777" w:rsidR="002168FE" w:rsidRPr="002168FE" w:rsidRDefault="002168FE" w:rsidP="002168FE">
            <w:pPr>
              <w:rPr>
                <w:b/>
                <w:bCs/>
              </w:rPr>
            </w:pPr>
            <w:r w:rsidRPr="002168FE">
              <w:rPr>
                <w:b/>
                <w:bCs/>
              </w:rPr>
              <w:t>Risk</w:t>
            </w:r>
          </w:p>
        </w:tc>
        <w:tc>
          <w:tcPr>
            <w:tcW w:w="0" w:type="auto"/>
            <w:tcBorders>
              <w:top w:val="single" w:sz="4" w:space="0" w:color="auto"/>
              <w:right w:val="single" w:sz="4" w:space="0" w:color="auto"/>
            </w:tcBorders>
            <w:vAlign w:val="center"/>
            <w:hideMark/>
          </w:tcPr>
          <w:p w14:paraId="6D683DD5" w14:textId="77777777" w:rsidR="002168FE" w:rsidRPr="002168FE" w:rsidRDefault="002168FE" w:rsidP="002168FE">
            <w:pPr>
              <w:rPr>
                <w:b/>
                <w:bCs/>
              </w:rPr>
            </w:pPr>
            <w:r w:rsidRPr="002168FE">
              <w:rPr>
                <w:b/>
                <w:bCs/>
              </w:rPr>
              <w:t>Likelihood</w:t>
            </w:r>
          </w:p>
        </w:tc>
        <w:tc>
          <w:tcPr>
            <w:tcW w:w="0" w:type="auto"/>
            <w:tcBorders>
              <w:top w:val="single" w:sz="4" w:space="0" w:color="auto"/>
              <w:right w:val="single" w:sz="4" w:space="0" w:color="auto"/>
            </w:tcBorders>
            <w:vAlign w:val="center"/>
            <w:hideMark/>
          </w:tcPr>
          <w:p w14:paraId="531917CD" w14:textId="77777777" w:rsidR="002168FE" w:rsidRPr="002168FE" w:rsidRDefault="002168FE" w:rsidP="002168FE">
            <w:pPr>
              <w:rPr>
                <w:b/>
                <w:bCs/>
              </w:rPr>
            </w:pPr>
            <w:r w:rsidRPr="002168FE">
              <w:rPr>
                <w:b/>
                <w:bCs/>
              </w:rPr>
              <w:t>Impact</w:t>
            </w:r>
          </w:p>
        </w:tc>
        <w:tc>
          <w:tcPr>
            <w:tcW w:w="0" w:type="auto"/>
            <w:tcBorders>
              <w:top w:val="single" w:sz="4" w:space="0" w:color="auto"/>
            </w:tcBorders>
            <w:vAlign w:val="center"/>
            <w:hideMark/>
          </w:tcPr>
          <w:p w14:paraId="04B30465" w14:textId="77777777" w:rsidR="002168FE" w:rsidRPr="002168FE" w:rsidRDefault="002168FE" w:rsidP="002168FE">
            <w:pPr>
              <w:rPr>
                <w:b/>
                <w:bCs/>
              </w:rPr>
            </w:pPr>
            <w:r w:rsidRPr="002168FE">
              <w:rPr>
                <w:b/>
                <w:bCs/>
              </w:rPr>
              <w:t>Current Controls</w:t>
            </w:r>
          </w:p>
        </w:tc>
        <w:tc>
          <w:tcPr>
            <w:tcW w:w="0" w:type="auto"/>
            <w:tcBorders>
              <w:top w:val="single" w:sz="4" w:space="0" w:color="auto"/>
              <w:left w:val="single" w:sz="4" w:space="0" w:color="auto"/>
              <w:right w:val="single" w:sz="4" w:space="0" w:color="auto"/>
            </w:tcBorders>
            <w:vAlign w:val="center"/>
            <w:hideMark/>
          </w:tcPr>
          <w:p w14:paraId="62BC3FE6" w14:textId="77777777" w:rsidR="002168FE" w:rsidRPr="002168FE" w:rsidRDefault="002168FE" w:rsidP="002168FE">
            <w:pPr>
              <w:rPr>
                <w:b/>
                <w:bCs/>
              </w:rPr>
            </w:pPr>
            <w:r w:rsidRPr="002168FE">
              <w:rPr>
                <w:b/>
                <w:bCs/>
              </w:rPr>
              <w:t>Risk Rating</w:t>
            </w:r>
          </w:p>
        </w:tc>
      </w:tr>
      <w:tr w:rsidR="002168FE" w:rsidRPr="002168FE" w14:paraId="5B61FD77" w14:textId="77777777" w:rsidTr="002168F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7D2DC9E" w14:textId="77777777" w:rsidR="002168FE" w:rsidRPr="002168FE" w:rsidRDefault="002168FE" w:rsidP="002168FE">
            <w:r w:rsidRPr="002168FE">
              <w:t>Unauthorized access to sensitive data</w:t>
            </w:r>
          </w:p>
        </w:tc>
        <w:tc>
          <w:tcPr>
            <w:tcW w:w="0" w:type="auto"/>
            <w:tcBorders>
              <w:top w:val="single" w:sz="4" w:space="0" w:color="auto"/>
              <w:bottom w:val="single" w:sz="4" w:space="0" w:color="auto"/>
              <w:right w:val="single" w:sz="4" w:space="0" w:color="auto"/>
            </w:tcBorders>
            <w:vAlign w:val="center"/>
            <w:hideMark/>
          </w:tcPr>
          <w:p w14:paraId="3F665AA9" w14:textId="77777777" w:rsidR="002168FE" w:rsidRPr="002168FE" w:rsidRDefault="002168FE" w:rsidP="002168FE">
            <w:r w:rsidRPr="002168FE">
              <w:t>High</w:t>
            </w:r>
          </w:p>
        </w:tc>
        <w:tc>
          <w:tcPr>
            <w:tcW w:w="0" w:type="auto"/>
            <w:tcBorders>
              <w:top w:val="single" w:sz="4" w:space="0" w:color="auto"/>
              <w:bottom w:val="single" w:sz="4" w:space="0" w:color="auto"/>
              <w:right w:val="single" w:sz="4" w:space="0" w:color="auto"/>
            </w:tcBorders>
            <w:vAlign w:val="center"/>
            <w:hideMark/>
          </w:tcPr>
          <w:p w14:paraId="54B0E740" w14:textId="77777777" w:rsidR="002168FE" w:rsidRPr="002168FE" w:rsidRDefault="002168FE" w:rsidP="002168FE">
            <w:r w:rsidRPr="002168FE">
              <w:t>Severe</w:t>
            </w:r>
          </w:p>
        </w:tc>
        <w:tc>
          <w:tcPr>
            <w:tcW w:w="0" w:type="auto"/>
            <w:tcBorders>
              <w:top w:val="single" w:sz="4" w:space="0" w:color="auto"/>
              <w:bottom w:val="single" w:sz="4" w:space="0" w:color="auto"/>
            </w:tcBorders>
            <w:vAlign w:val="center"/>
            <w:hideMark/>
          </w:tcPr>
          <w:p w14:paraId="21A464A2" w14:textId="77777777" w:rsidR="002168FE" w:rsidRPr="002168FE" w:rsidRDefault="002168FE" w:rsidP="002168FE">
            <w:r w:rsidRPr="002168FE">
              <w:t>Password protection, multi-factor authentication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AB56149" w14:textId="77777777" w:rsidR="002168FE" w:rsidRPr="002168FE" w:rsidRDefault="002168FE" w:rsidP="002168FE">
            <w:r w:rsidRPr="002168FE">
              <w:t>Critical</w:t>
            </w:r>
          </w:p>
        </w:tc>
      </w:tr>
      <w:tr w:rsidR="002168FE" w:rsidRPr="002168FE" w14:paraId="6A796BFD" w14:textId="77777777" w:rsidTr="002168FE">
        <w:trPr>
          <w:tblCellSpacing w:w="15" w:type="dxa"/>
        </w:trPr>
        <w:tc>
          <w:tcPr>
            <w:tcW w:w="0" w:type="auto"/>
            <w:tcBorders>
              <w:left w:val="single" w:sz="4" w:space="0" w:color="auto"/>
              <w:right w:val="single" w:sz="4" w:space="0" w:color="auto"/>
            </w:tcBorders>
            <w:vAlign w:val="center"/>
            <w:hideMark/>
          </w:tcPr>
          <w:p w14:paraId="5945B72A" w14:textId="77777777" w:rsidR="002168FE" w:rsidRPr="002168FE" w:rsidRDefault="002168FE" w:rsidP="002168FE">
            <w:r w:rsidRPr="002168FE">
              <w:t>Data breach from external cyberattacks</w:t>
            </w:r>
          </w:p>
        </w:tc>
        <w:tc>
          <w:tcPr>
            <w:tcW w:w="0" w:type="auto"/>
            <w:tcBorders>
              <w:right w:val="single" w:sz="4" w:space="0" w:color="auto"/>
            </w:tcBorders>
            <w:vAlign w:val="center"/>
            <w:hideMark/>
          </w:tcPr>
          <w:p w14:paraId="6290A68A" w14:textId="77777777" w:rsidR="002168FE" w:rsidRPr="002168FE" w:rsidRDefault="002168FE" w:rsidP="002168FE">
            <w:r w:rsidRPr="002168FE">
              <w:t>Medium</w:t>
            </w:r>
          </w:p>
        </w:tc>
        <w:tc>
          <w:tcPr>
            <w:tcW w:w="0" w:type="auto"/>
            <w:tcBorders>
              <w:right w:val="single" w:sz="4" w:space="0" w:color="auto"/>
            </w:tcBorders>
            <w:vAlign w:val="center"/>
            <w:hideMark/>
          </w:tcPr>
          <w:p w14:paraId="6251E5A1" w14:textId="77777777" w:rsidR="002168FE" w:rsidRPr="002168FE" w:rsidRDefault="002168FE" w:rsidP="002168FE">
            <w:r w:rsidRPr="002168FE">
              <w:t>Severe</w:t>
            </w:r>
          </w:p>
        </w:tc>
        <w:tc>
          <w:tcPr>
            <w:tcW w:w="0" w:type="auto"/>
            <w:vAlign w:val="center"/>
            <w:hideMark/>
          </w:tcPr>
          <w:p w14:paraId="7AE34819" w14:textId="77777777" w:rsidR="002168FE" w:rsidRPr="002168FE" w:rsidRDefault="002168FE" w:rsidP="002168FE">
            <w:r w:rsidRPr="002168FE">
              <w:t>Firewalls, Intrusion Detection Systems</w:t>
            </w:r>
          </w:p>
        </w:tc>
        <w:tc>
          <w:tcPr>
            <w:tcW w:w="0" w:type="auto"/>
            <w:tcBorders>
              <w:left w:val="single" w:sz="4" w:space="0" w:color="auto"/>
              <w:right w:val="single" w:sz="4" w:space="0" w:color="auto"/>
            </w:tcBorders>
            <w:vAlign w:val="center"/>
            <w:hideMark/>
          </w:tcPr>
          <w:p w14:paraId="7C51D586" w14:textId="77777777" w:rsidR="002168FE" w:rsidRPr="002168FE" w:rsidRDefault="002168FE" w:rsidP="002168FE">
            <w:r w:rsidRPr="002168FE">
              <w:t>High</w:t>
            </w:r>
          </w:p>
        </w:tc>
      </w:tr>
      <w:tr w:rsidR="002168FE" w:rsidRPr="002168FE" w14:paraId="699459D5" w14:textId="77777777" w:rsidTr="002168F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F30C1EB" w14:textId="77777777" w:rsidR="002168FE" w:rsidRPr="002168FE" w:rsidRDefault="002168FE" w:rsidP="002168FE">
            <w:r w:rsidRPr="002168FE">
              <w:t>Insider threats</w:t>
            </w:r>
          </w:p>
        </w:tc>
        <w:tc>
          <w:tcPr>
            <w:tcW w:w="0" w:type="auto"/>
            <w:tcBorders>
              <w:top w:val="single" w:sz="4" w:space="0" w:color="auto"/>
              <w:bottom w:val="single" w:sz="4" w:space="0" w:color="auto"/>
              <w:right w:val="single" w:sz="4" w:space="0" w:color="auto"/>
            </w:tcBorders>
            <w:vAlign w:val="center"/>
            <w:hideMark/>
          </w:tcPr>
          <w:p w14:paraId="1C8C3BA0" w14:textId="77777777" w:rsidR="002168FE" w:rsidRPr="002168FE" w:rsidRDefault="002168FE" w:rsidP="002168FE">
            <w:r w:rsidRPr="002168FE">
              <w:t>Low</w:t>
            </w:r>
          </w:p>
        </w:tc>
        <w:tc>
          <w:tcPr>
            <w:tcW w:w="0" w:type="auto"/>
            <w:tcBorders>
              <w:top w:val="single" w:sz="4" w:space="0" w:color="auto"/>
              <w:bottom w:val="single" w:sz="4" w:space="0" w:color="auto"/>
              <w:right w:val="single" w:sz="4" w:space="0" w:color="auto"/>
            </w:tcBorders>
            <w:vAlign w:val="center"/>
            <w:hideMark/>
          </w:tcPr>
          <w:p w14:paraId="4AD82824" w14:textId="77777777" w:rsidR="002168FE" w:rsidRPr="002168FE" w:rsidRDefault="002168FE" w:rsidP="002168FE">
            <w:r w:rsidRPr="002168FE">
              <w:t>Moderate</w:t>
            </w:r>
          </w:p>
        </w:tc>
        <w:tc>
          <w:tcPr>
            <w:tcW w:w="0" w:type="auto"/>
            <w:tcBorders>
              <w:top w:val="single" w:sz="4" w:space="0" w:color="auto"/>
              <w:bottom w:val="single" w:sz="4" w:space="0" w:color="auto"/>
            </w:tcBorders>
            <w:vAlign w:val="center"/>
            <w:hideMark/>
          </w:tcPr>
          <w:p w14:paraId="6188BDB3" w14:textId="77777777" w:rsidR="002168FE" w:rsidRPr="002168FE" w:rsidRDefault="002168FE" w:rsidP="002168FE">
            <w:r w:rsidRPr="002168FE">
              <w:t>Employee monitoring, access control lists</w:t>
            </w:r>
          </w:p>
        </w:tc>
        <w:tc>
          <w:tcPr>
            <w:tcW w:w="0" w:type="auto"/>
            <w:tcBorders>
              <w:top w:val="single" w:sz="4" w:space="0" w:color="auto"/>
              <w:left w:val="single" w:sz="4" w:space="0" w:color="auto"/>
              <w:bottom w:val="single" w:sz="4" w:space="0" w:color="auto"/>
              <w:right w:val="single" w:sz="4" w:space="0" w:color="auto"/>
            </w:tcBorders>
            <w:vAlign w:val="center"/>
            <w:hideMark/>
          </w:tcPr>
          <w:p w14:paraId="55E266F3" w14:textId="77777777" w:rsidR="002168FE" w:rsidRPr="002168FE" w:rsidRDefault="002168FE" w:rsidP="002168FE">
            <w:r w:rsidRPr="002168FE">
              <w:t>Medium</w:t>
            </w:r>
          </w:p>
        </w:tc>
      </w:tr>
      <w:tr w:rsidR="002168FE" w:rsidRPr="002168FE" w14:paraId="033D26FB" w14:textId="77777777" w:rsidTr="002168FE">
        <w:trPr>
          <w:tblCellSpacing w:w="15" w:type="dxa"/>
        </w:trPr>
        <w:tc>
          <w:tcPr>
            <w:tcW w:w="0" w:type="auto"/>
            <w:tcBorders>
              <w:left w:val="single" w:sz="4" w:space="0" w:color="auto"/>
              <w:bottom w:val="single" w:sz="4" w:space="0" w:color="auto"/>
              <w:right w:val="single" w:sz="4" w:space="0" w:color="auto"/>
            </w:tcBorders>
            <w:vAlign w:val="center"/>
            <w:hideMark/>
          </w:tcPr>
          <w:p w14:paraId="7B472D3F" w14:textId="77777777" w:rsidR="002168FE" w:rsidRPr="002168FE" w:rsidRDefault="002168FE" w:rsidP="002168FE">
            <w:r w:rsidRPr="002168FE">
              <w:t>Malware infections</w:t>
            </w:r>
          </w:p>
        </w:tc>
        <w:tc>
          <w:tcPr>
            <w:tcW w:w="0" w:type="auto"/>
            <w:tcBorders>
              <w:bottom w:val="single" w:sz="4" w:space="0" w:color="auto"/>
              <w:right w:val="single" w:sz="4" w:space="0" w:color="auto"/>
            </w:tcBorders>
            <w:vAlign w:val="center"/>
            <w:hideMark/>
          </w:tcPr>
          <w:p w14:paraId="749FC72A" w14:textId="77777777" w:rsidR="002168FE" w:rsidRPr="002168FE" w:rsidRDefault="002168FE" w:rsidP="002168FE">
            <w:r w:rsidRPr="002168FE">
              <w:t>Medium</w:t>
            </w:r>
          </w:p>
        </w:tc>
        <w:tc>
          <w:tcPr>
            <w:tcW w:w="0" w:type="auto"/>
            <w:tcBorders>
              <w:bottom w:val="single" w:sz="4" w:space="0" w:color="auto"/>
              <w:right w:val="single" w:sz="4" w:space="0" w:color="auto"/>
            </w:tcBorders>
            <w:vAlign w:val="center"/>
            <w:hideMark/>
          </w:tcPr>
          <w:p w14:paraId="30A88B13" w14:textId="77777777" w:rsidR="002168FE" w:rsidRPr="002168FE" w:rsidRDefault="002168FE" w:rsidP="002168FE">
            <w:r w:rsidRPr="002168FE">
              <w:t>High</w:t>
            </w:r>
          </w:p>
        </w:tc>
        <w:tc>
          <w:tcPr>
            <w:tcW w:w="0" w:type="auto"/>
            <w:tcBorders>
              <w:bottom w:val="single" w:sz="4" w:space="0" w:color="auto"/>
            </w:tcBorders>
            <w:vAlign w:val="center"/>
            <w:hideMark/>
          </w:tcPr>
          <w:p w14:paraId="4CEC1245" w14:textId="77777777" w:rsidR="002168FE" w:rsidRPr="002168FE" w:rsidRDefault="002168FE" w:rsidP="002168FE">
            <w:r w:rsidRPr="002168FE">
              <w:t>Antivirus software, regular software updates</w:t>
            </w:r>
          </w:p>
        </w:tc>
        <w:tc>
          <w:tcPr>
            <w:tcW w:w="0" w:type="auto"/>
            <w:tcBorders>
              <w:left w:val="single" w:sz="4" w:space="0" w:color="auto"/>
              <w:bottom w:val="single" w:sz="4" w:space="0" w:color="auto"/>
              <w:right w:val="single" w:sz="4" w:space="0" w:color="auto"/>
            </w:tcBorders>
            <w:vAlign w:val="center"/>
            <w:hideMark/>
          </w:tcPr>
          <w:p w14:paraId="1785CE04" w14:textId="77777777" w:rsidR="002168FE" w:rsidRPr="002168FE" w:rsidRDefault="002168FE" w:rsidP="002168FE">
            <w:r w:rsidRPr="002168FE">
              <w:t>High</w:t>
            </w:r>
          </w:p>
        </w:tc>
      </w:tr>
      <w:tr w:rsidR="002168FE" w:rsidRPr="002168FE" w14:paraId="4FFDF1F8" w14:textId="77777777" w:rsidTr="002168FE">
        <w:trPr>
          <w:tblCellSpacing w:w="15" w:type="dxa"/>
        </w:trPr>
        <w:tc>
          <w:tcPr>
            <w:tcW w:w="0" w:type="auto"/>
            <w:tcBorders>
              <w:left w:val="single" w:sz="4" w:space="0" w:color="auto"/>
              <w:right w:val="single" w:sz="4" w:space="0" w:color="auto"/>
            </w:tcBorders>
            <w:vAlign w:val="center"/>
            <w:hideMark/>
          </w:tcPr>
          <w:p w14:paraId="5C0D0F26" w14:textId="77777777" w:rsidR="002168FE" w:rsidRPr="002168FE" w:rsidRDefault="002168FE" w:rsidP="002168FE">
            <w:r w:rsidRPr="002168FE">
              <w:t>Physical theft of devices</w:t>
            </w:r>
          </w:p>
        </w:tc>
        <w:tc>
          <w:tcPr>
            <w:tcW w:w="0" w:type="auto"/>
            <w:tcBorders>
              <w:right w:val="single" w:sz="4" w:space="0" w:color="auto"/>
            </w:tcBorders>
            <w:vAlign w:val="center"/>
            <w:hideMark/>
          </w:tcPr>
          <w:p w14:paraId="7C0B05D6" w14:textId="77777777" w:rsidR="002168FE" w:rsidRPr="002168FE" w:rsidRDefault="002168FE" w:rsidP="002168FE">
            <w:r w:rsidRPr="002168FE">
              <w:t>Low</w:t>
            </w:r>
          </w:p>
        </w:tc>
        <w:tc>
          <w:tcPr>
            <w:tcW w:w="0" w:type="auto"/>
            <w:tcBorders>
              <w:right w:val="single" w:sz="4" w:space="0" w:color="auto"/>
            </w:tcBorders>
            <w:vAlign w:val="center"/>
            <w:hideMark/>
          </w:tcPr>
          <w:p w14:paraId="4DEBDC33" w14:textId="77777777" w:rsidR="002168FE" w:rsidRPr="002168FE" w:rsidRDefault="002168FE" w:rsidP="002168FE">
            <w:r w:rsidRPr="002168FE">
              <w:t>High</w:t>
            </w:r>
          </w:p>
        </w:tc>
        <w:tc>
          <w:tcPr>
            <w:tcW w:w="0" w:type="auto"/>
            <w:vAlign w:val="center"/>
            <w:hideMark/>
          </w:tcPr>
          <w:p w14:paraId="6C6B7B4C" w14:textId="77777777" w:rsidR="002168FE" w:rsidRPr="002168FE" w:rsidRDefault="002168FE" w:rsidP="002168FE">
            <w:r w:rsidRPr="002168FE">
              <w:t>Regular compliance audits, policy enforcement</w:t>
            </w:r>
          </w:p>
        </w:tc>
        <w:tc>
          <w:tcPr>
            <w:tcW w:w="0" w:type="auto"/>
            <w:tcBorders>
              <w:left w:val="single" w:sz="4" w:space="0" w:color="auto"/>
              <w:right w:val="single" w:sz="4" w:space="0" w:color="auto"/>
            </w:tcBorders>
            <w:vAlign w:val="center"/>
            <w:hideMark/>
          </w:tcPr>
          <w:p w14:paraId="72660C97" w14:textId="77777777" w:rsidR="002168FE" w:rsidRPr="002168FE" w:rsidRDefault="002168FE" w:rsidP="002168FE">
            <w:r w:rsidRPr="002168FE">
              <w:t>Medium</w:t>
            </w:r>
          </w:p>
        </w:tc>
      </w:tr>
      <w:tr w:rsidR="002168FE" w:rsidRPr="002168FE" w14:paraId="682856F1" w14:textId="77777777" w:rsidTr="002168F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C388D56" w14:textId="77777777" w:rsidR="002168FE" w:rsidRPr="002168FE" w:rsidRDefault="002168FE" w:rsidP="002168FE">
            <w:r w:rsidRPr="002168FE">
              <w:t>Denial-of-Service attacks</w:t>
            </w:r>
          </w:p>
        </w:tc>
        <w:tc>
          <w:tcPr>
            <w:tcW w:w="0" w:type="auto"/>
            <w:tcBorders>
              <w:top w:val="single" w:sz="4" w:space="0" w:color="auto"/>
              <w:bottom w:val="single" w:sz="4" w:space="0" w:color="auto"/>
              <w:right w:val="single" w:sz="4" w:space="0" w:color="auto"/>
            </w:tcBorders>
            <w:vAlign w:val="center"/>
            <w:hideMark/>
          </w:tcPr>
          <w:p w14:paraId="0092F8B5" w14:textId="77777777" w:rsidR="002168FE" w:rsidRPr="002168FE" w:rsidRDefault="002168FE" w:rsidP="002168FE">
            <w:r w:rsidRPr="002168FE">
              <w:t>Medium</w:t>
            </w:r>
          </w:p>
        </w:tc>
        <w:tc>
          <w:tcPr>
            <w:tcW w:w="0" w:type="auto"/>
            <w:tcBorders>
              <w:top w:val="single" w:sz="4" w:space="0" w:color="auto"/>
              <w:bottom w:val="single" w:sz="4" w:space="0" w:color="auto"/>
              <w:right w:val="single" w:sz="4" w:space="0" w:color="auto"/>
            </w:tcBorders>
            <w:vAlign w:val="center"/>
            <w:hideMark/>
          </w:tcPr>
          <w:p w14:paraId="215BF0C7" w14:textId="77777777" w:rsidR="002168FE" w:rsidRPr="002168FE" w:rsidRDefault="002168FE" w:rsidP="002168FE">
            <w:r w:rsidRPr="002168FE">
              <w:t>Moderate</w:t>
            </w:r>
          </w:p>
        </w:tc>
        <w:tc>
          <w:tcPr>
            <w:tcW w:w="0" w:type="auto"/>
            <w:tcBorders>
              <w:top w:val="single" w:sz="4" w:space="0" w:color="auto"/>
              <w:bottom w:val="single" w:sz="4" w:space="0" w:color="auto"/>
            </w:tcBorders>
            <w:vAlign w:val="center"/>
            <w:hideMark/>
          </w:tcPr>
          <w:p w14:paraId="5F30BE89" w14:textId="77777777" w:rsidR="002168FE" w:rsidRPr="002168FE" w:rsidRDefault="002168FE" w:rsidP="002168FE">
            <w:r w:rsidRPr="002168FE">
              <w:t>Distributed Denial-of-Service (DDoS) protection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C0A749B" w14:textId="77777777" w:rsidR="002168FE" w:rsidRPr="002168FE" w:rsidRDefault="002168FE" w:rsidP="002168FE">
            <w:r w:rsidRPr="002168FE">
              <w:t>Medium</w:t>
            </w:r>
          </w:p>
        </w:tc>
      </w:tr>
    </w:tbl>
    <w:p w14:paraId="6E9C4679" w14:textId="77777777" w:rsidR="002168FE" w:rsidRPr="002168FE" w:rsidRDefault="002168FE" w:rsidP="002168FE">
      <w:r w:rsidRPr="002168FE">
        <w:t>This analysis provides a detailed understanding of each risk’s potential effect on business continuity, compliance, and security, and helps prioritize risks for further treatment.</w:t>
      </w:r>
    </w:p>
    <w:p w14:paraId="7C487183" w14:textId="2417A8A2" w:rsidR="002168FE" w:rsidRPr="002168FE" w:rsidRDefault="002168FE" w:rsidP="002168FE"/>
    <w:p w14:paraId="367B93F3" w14:textId="0C6E21D4" w:rsidR="002168FE" w:rsidRDefault="002168FE" w:rsidP="002168FE">
      <w:pPr>
        <w:pStyle w:val="Heading1"/>
        <w:numPr>
          <w:ilvl w:val="0"/>
          <w:numId w:val="14"/>
        </w:numPr>
      </w:pPr>
      <w:r w:rsidRPr="002168FE">
        <w:lastRenderedPageBreak/>
        <w:t>Risk Calculation</w:t>
      </w:r>
    </w:p>
    <w:p w14:paraId="46FFD103" w14:textId="77777777" w:rsidR="002168FE" w:rsidRPr="002168FE" w:rsidRDefault="002168FE" w:rsidP="002168FE"/>
    <w:p w14:paraId="2A59949A" w14:textId="77777777" w:rsidR="002168FE" w:rsidRPr="002168FE" w:rsidRDefault="002168FE" w:rsidP="002168FE">
      <w:r w:rsidRPr="002168FE">
        <w:t xml:space="preserve">After identifying and analyzing the risks, the next step is to calculate the </w:t>
      </w:r>
      <w:r w:rsidRPr="002168FE">
        <w:rPr>
          <w:b/>
          <w:bCs/>
        </w:rPr>
        <w:t>overall risk level</w:t>
      </w:r>
      <w:r w:rsidRPr="002168FE">
        <w:t xml:space="preserve">. The risk calculation formula combines the </w:t>
      </w:r>
      <w:r w:rsidRPr="002168FE">
        <w:rPr>
          <w:b/>
          <w:bCs/>
        </w:rPr>
        <w:t>likelihood</w:t>
      </w:r>
      <w:r w:rsidRPr="002168FE">
        <w:t xml:space="preserve"> of the risk with its </w:t>
      </w:r>
      <w:r w:rsidRPr="002168FE">
        <w:rPr>
          <w:b/>
          <w:bCs/>
        </w:rPr>
        <w:t>potential impact</w:t>
      </w:r>
      <w:r w:rsidRPr="002168FE">
        <w:t xml:space="preserve"> to produce an overall risk score. This score helps determine which risks require immediate action.</w:t>
      </w:r>
    </w:p>
    <w:p w14:paraId="49A6A520" w14:textId="3AAD15A9" w:rsidR="002168FE" w:rsidRPr="002168FE" w:rsidRDefault="002168FE" w:rsidP="002168FE"/>
    <w:p w14:paraId="19198A8E" w14:textId="26152078" w:rsidR="002168FE" w:rsidRDefault="002168FE" w:rsidP="002168FE">
      <w:pPr>
        <w:pStyle w:val="Heading1"/>
        <w:numPr>
          <w:ilvl w:val="0"/>
          <w:numId w:val="14"/>
        </w:numPr>
      </w:pPr>
      <w:r w:rsidRPr="002168FE">
        <w:t>Risk Evaluation</w:t>
      </w:r>
    </w:p>
    <w:p w14:paraId="6F302C01" w14:textId="77777777" w:rsidR="002168FE" w:rsidRPr="002168FE" w:rsidRDefault="002168FE" w:rsidP="002168FE"/>
    <w:p w14:paraId="03E51978" w14:textId="77777777" w:rsidR="002168FE" w:rsidRPr="002168FE" w:rsidRDefault="002168FE" w:rsidP="002168FE">
      <w:r w:rsidRPr="002168FE">
        <w:t>During the risk evaluation phase, we assess the likelihood and severity of each identified risk. We prioritize risks based on their potential impact on data security and the company's ability to remain compliant with GDPR and ISO 27001 regulations.</w:t>
      </w:r>
    </w:p>
    <w:p w14:paraId="070EC6B2" w14:textId="77777777" w:rsidR="002168FE" w:rsidRPr="002168FE" w:rsidRDefault="002168FE" w:rsidP="002168FE">
      <w:r w:rsidRPr="002168FE">
        <w:t>The following risks have been ranked according to their criticality:</w:t>
      </w:r>
    </w:p>
    <w:p w14:paraId="5CE953AF" w14:textId="77777777" w:rsidR="002168FE" w:rsidRPr="002168FE" w:rsidRDefault="002168FE" w:rsidP="002168FE">
      <w:pPr>
        <w:numPr>
          <w:ilvl w:val="0"/>
          <w:numId w:val="12"/>
        </w:numPr>
      </w:pPr>
      <w:r w:rsidRPr="002168FE">
        <w:rPr>
          <w:b/>
          <w:bCs/>
        </w:rPr>
        <w:t>Unauthorized access to sensitive data</w:t>
      </w:r>
      <w:r w:rsidRPr="002168FE">
        <w:t xml:space="preserve">: </w:t>
      </w:r>
      <w:r w:rsidRPr="002168FE">
        <w:rPr>
          <w:b/>
          <w:bCs/>
        </w:rPr>
        <w:t>Critical</w:t>
      </w:r>
    </w:p>
    <w:p w14:paraId="7E3C432D" w14:textId="77777777" w:rsidR="002168FE" w:rsidRPr="002168FE" w:rsidRDefault="002168FE" w:rsidP="002168FE">
      <w:pPr>
        <w:numPr>
          <w:ilvl w:val="0"/>
          <w:numId w:val="12"/>
        </w:numPr>
      </w:pPr>
      <w:r w:rsidRPr="002168FE">
        <w:rPr>
          <w:b/>
          <w:bCs/>
        </w:rPr>
        <w:t>Data breach from external cyberattacks</w:t>
      </w:r>
      <w:r w:rsidRPr="002168FE">
        <w:t xml:space="preserve">: </w:t>
      </w:r>
      <w:r w:rsidRPr="002168FE">
        <w:rPr>
          <w:b/>
          <w:bCs/>
        </w:rPr>
        <w:t>High</w:t>
      </w:r>
    </w:p>
    <w:p w14:paraId="68EA170C" w14:textId="77777777" w:rsidR="002168FE" w:rsidRPr="002168FE" w:rsidRDefault="002168FE" w:rsidP="002168FE">
      <w:pPr>
        <w:numPr>
          <w:ilvl w:val="0"/>
          <w:numId w:val="12"/>
        </w:numPr>
      </w:pPr>
      <w:r w:rsidRPr="002168FE">
        <w:rPr>
          <w:b/>
          <w:bCs/>
        </w:rPr>
        <w:t>Malware infections</w:t>
      </w:r>
      <w:r w:rsidRPr="002168FE">
        <w:t xml:space="preserve">: </w:t>
      </w:r>
      <w:r w:rsidRPr="002168FE">
        <w:rPr>
          <w:b/>
          <w:bCs/>
        </w:rPr>
        <w:t>High</w:t>
      </w:r>
    </w:p>
    <w:p w14:paraId="77831161" w14:textId="77777777" w:rsidR="002168FE" w:rsidRPr="002168FE" w:rsidRDefault="002168FE" w:rsidP="002168FE">
      <w:pPr>
        <w:numPr>
          <w:ilvl w:val="0"/>
          <w:numId w:val="12"/>
        </w:numPr>
      </w:pPr>
      <w:r w:rsidRPr="002168FE">
        <w:rPr>
          <w:b/>
          <w:bCs/>
        </w:rPr>
        <w:t>Physical theft of devices</w:t>
      </w:r>
      <w:r w:rsidRPr="002168FE">
        <w:t xml:space="preserve">: </w:t>
      </w:r>
      <w:r w:rsidRPr="002168FE">
        <w:rPr>
          <w:b/>
          <w:bCs/>
        </w:rPr>
        <w:t>Medium</w:t>
      </w:r>
    </w:p>
    <w:p w14:paraId="7A3EB743" w14:textId="77777777" w:rsidR="002168FE" w:rsidRPr="002168FE" w:rsidRDefault="002168FE" w:rsidP="002168FE">
      <w:pPr>
        <w:numPr>
          <w:ilvl w:val="0"/>
          <w:numId w:val="12"/>
        </w:numPr>
      </w:pPr>
      <w:r w:rsidRPr="002168FE">
        <w:rPr>
          <w:b/>
          <w:bCs/>
        </w:rPr>
        <w:t>Denial-of-Service attacks</w:t>
      </w:r>
      <w:r w:rsidRPr="002168FE">
        <w:t xml:space="preserve">: </w:t>
      </w:r>
      <w:r w:rsidRPr="002168FE">
        <w:rPr>
          <w:b/>
          <w:bCs/>
        </w:rPr>
        <w:t>Medium</w:t>
      </w:r>
    </w:p>
    <w:p w14:paraId="53097D73" w14:textId="77777777" w:rsidR="002168FE" w:rsidRPr="002168FE" w:rsidRDefault="002168FE" w:rsidP="002168FE">
      <w:r w:rsidRPr="002168FE">
        <w:t>By evaluating and ranking these risks, we can determine which risks require immediate attention and which can be managed through ongoing monitoring and mitigation measures.</w:t>
      </w:r>
    </w:p>
    <w:p w14:paraId="2E1E8536" w14:textId="261C0E7B" w:rsidR="002168FE" w:rsidRPr="002168FE" w:rsidRDefault="002168FE" w:rsidP="002168FE"/>
    <w:p w14:paraId="63E939B0" w14:textId="792C9BDE" w:rsidR="002168FE" w:rsidRDefault="002168FE" w:rsidP="002168FE">
      <w:pPr>
        <w:pStyle w:val="Heading1"/>
        <w:numPr>
          <w:ilvl w:val="0"/>
          <w:numId w:val="14"/>
        </w:numPr>
      </w:pPr>
      <w:r w:rsidRPr="002168FE">
        <w:t>Risk Treatment</w:t>
      </w:r>
    </w:p>
    <w:p w14:paraId="2DF05D00" w14:textId="77777777" w:rsidR="002168FE" w:rsidRPr="002168FE" w:rsidRDefault="002168FE" w:rsidP="002168FE">
      <w:pPr>
        <w:ind w:left="360"/>
      </w:pPr>
    </w:p>
    <w:p w14:paraId="05570350" w14:textId="77777777" w:rsidR="002168FE" w:rsidRPr="002168FE" w:rsidRDefault="002168FE" w:rsidP="002168FE">
      <w:r w:rsidRPr="002168FE">
        <w:t>Following the evaluation, the appropriate risk treatment strategies are developed based on ISO 27001 standards. Treatment options include:</w:t>
      </w:r>
    </w:p>
    <w:p w14:paraId="7626B687" w14:textId="77777777" w:rsidR="002168FE" w:rsidRPr="002168FE" w:rsidRDefault="002168FE" w:rsidP="002168FE">
      <w:pPr>
        <w:numPr>
          <w:ilvl w:val="0"/>
          <w:numId w:val="13"/>
        </w:numPr>
      </w:pPr>
      <w:r w:rsidRPr="002168FE">
        <w:rPr>
          <w:b/>
          <w:bCs/>
        </w:rPr>
        <w:t>Mitigation</w:t>
      </w:r>
      <w:r w:rsidRPr="002168FE">
        <w:t>: Implementing additional security controls, such as stronger encryption, stricter access controls, and improved incident response procedures.</w:t>
      </w:r>
    </w:p>
    <w:p w14:paraId="46354829" w14:textId="77777777" w:rsidR="002168FE" w:rsidRPr="002168FE" w:rsidRDefault="002168FE" w:rsidP="002168FE">
      <w:pPr>
        <w:numPr>
          <w:ilvl w:val="0"/>
          <w:numId w:val="13"/>
        </w:numPr>
      </w:pPr>
      <w:r w:rsidRPr="002168FE">
        <w:rPr>
          <w:b/>
          <w:bCs/>
        </w:rPr>
        <w:t>Avoidance</w:t>
      </w:r>
      <w:r w:rsidRPr="002168FE">
        <w:t>: Altering business processes to remove the risk entirely, such as discontinuing the use of systems with known vulnerabilities.</w:t>
      </w:r>
    </w:p>
    <w:p w14:paraId="051E3520" w14:textId="77777777" w:rsidR="002168FE" w:rsidRPr="002168FE" w:rsidRDefault="002168FE" w:rsidP="002168FE">
      <w:pPr>
        <w:numPr>
          <w:ilvl w:val="0"/>
          <w:numId w:val="13"/>
        </w:numPr>
      </w:pPr>
      <w:r w:rsidRPr="002168FE">
        <w:rPr>
          <w:b/>
          <w:bCs/>
        </w:rPr>
        <w:lastRenderedPageBreak/>
        <w:t>Transfer</w:t>
      </w:r>
      <w:r w:rsidRPr="002168FE">
        <w:t>: Outsourcing certain functions to third-party vendors or obtaining cybersecurity insurance to transfer the risk.</w:t>
      </w:r>
    </w:p>
    <w:p w14:paraId="72E8B323" w14:textId="77777777" w:rsidR="002168FE" w:rsidRPr="002168FE" w:rsidRDefault="002168FE" w:rsidP="002168FE">
      <w:pPr>
        <w:numPr>
          <w:ilvl w:val="0"/>
          <w:numId w:val="13"/>
        </w:numPr>
      </w:pPr>
      <w:r w:rsidRPr="002168FE">
        <w:rPr>
          <w:b/>
          <w:bCs/>
        </w:rPr>
        <w:t>Acceptance</w:t>
      </w:r>
      <w:r w:rsidRPr="002168FE">
        <w:t>: In cases where the cost of mitigation outweighs the potential impact, the organization may decide to accept the risk but continue monitoring.</w:t>
      </w:r>
    </w:p>
    <w:p w14:paraId="642D2D7D" w14:textId="77777777" w:rsidR="002168FE" w:rsidRPr="002168FE" w:rsidRDefault="002168FE" w:rsidP="002168FE">
      <w:r w:rsidRPr="002168FE">
        <w:t>For each risk, a specific action plan is developed, including timelines, responsible personnel, and the required resources.</w:t>
      </w:r>
    </w:p>
    <w:p w14:paraId="34370447" w14:textId="1D643AA2" w:rsidR="002168FE" w:rsidRPr="002168FE" w:rsidRDefault="002168FE" w:rsidP="002168FE"/>
    <w:p w14:paraId="3DABF8E7" w14:textId="77777777" w:rsidR="002168FE" w:rsidRPr="002168FE" w:rsidRDefault="002168FE" w:rsidP="002168FE">
      <w:pPr>
        <w:rPr>
          <w:b/>
          <w:bCs/>
        </w:rPr>
      </w:pPr>
      <w:r w:rsidRPr="002168FE">
        <w:rPr>
          <w:b/>
          <w:bCs/>
        </w:rPr>
        <w:t>7. Ongoing Monitoring and Review</w:t>
      </w:r>
    </w:p>
    <w:p w14:paraId="097878FC" w14:textId="77777777" w:rsidR="002168FE" w:rsidRPr="002168FE" w:rsidRDefault="002168FE" w:rsidP="002168FE">
      <w:r w:rsidRPr="002168FE">
        <w:t>Once the risk management strategies are in place, ongoing monitoring and review are essential to ensure the organization remains protected. Regular audits, vulnerability assessments, and compliance checks help maintain the integrity of the risk management plan. Additionally, the organization must stay vigilant to emerging threats and continually update its risk management practices.</w:t>
      </w:r>
    </w:p>
    <w:p w14:paraId="6DC5FE76" w14:textId="4FDADBA7" w:rsidR="002168FE" w:rsidRPr="002168FE" w:rsidRDefault="002168FE" w:rsidP="002168FE">
      <w:r w:rsidRPr="002168FE">
        <w:t xml:space="preserve">The risk management process should be revisited regularly to ensure that all controls remain </w:t>
      </w:r>
      <w:r w:rsidRPr="002168FE">
        <w:t>effective,</w:t>
      </w:r>
      <w:r w:rsidRPr="002168FE">
        <w:t xml:space="preserve"> and that the organization adapts to new and evolving risks.</w:t>
      </w:r>
    </w:p>
    <w:p w14:paraId="2B27151E" w14:textId="77777777" w:rsidR="002168FE" w:rsidRPr="002168FE" w:rsidRDefault="002168FE" w:rsidP="002168FE"/>
    <w:sectPr w:rsidR="002168FE" w:rsidRPr="002168FE" w:rsidSect="00FC130A">
      <w:pgSz w:w="12240" w:h="15840"/>
      <w:pgMar w:top="1440" w:right="1800" w:bottom="144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10503010101010104"/>
    <w:charset w:val="00"/>
    <w:family w:val="auto"/>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8D0542"/>
    <w:multiLevelType w:val="hybridMultilevel"/>
    <w:tmpl w:val="387EC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0230A"/>
    <w:multiLevelType w:val="multilevel"/>
    <w:tmpl w:val="C6C8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D15C6"/>
    <w:multiLevelType w:val="multilevel"/>
    <w:tmpl w:val="FB26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44C56"/>
    <w:multiLevelType w:val="hybridMultilevel"/>
    <w:tmpl w:val="90F48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0D3654"/>
    <w:multiLevelType w:val="multilevel"/>
    <w:tmpl w:val="F0F4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155849">
    <w:abstractNumId w:val="8"/>
  </w:num>
  <w:num w:numId="2" w16cid:durableId="495465310">
    <w:abstractNumId w:val="6"/>
  </w:num>
  <w:num w:numId="3" w16cid:durableId="54591973">
    <w:abstractNumId w:val="5"/>
  </w:num>
  <w:num w:numId="4" w16cid:durableId="698699910">
    <w:abstractNumId w:val="4"/>
  </w:num>
  <w:num w:numId="5" w16cid:durableId="1404718140">
    <w:abstractNumId w:val="7"/>
  </w:num>
  <w:num w:numId="6" w16cid:durableId="977228818">
    <w:abstractNumId w:val="3"/>
  </w:num>
  <w:num w:numId="7" w16cid:durableId="433719576">
    <w:abstractNumId w:val="2"/>
  </w:num>
  <w:num w:numId="8" w16cid:durableId="655956077">
    <w:abstractNumId w:val="1"/>
  </w:num>
  <w:num w:numId="9" w16cid:durableId="1677229857">
    <w:abstractNumId w:val="0"/>
  </w:num>
  <w:num w:numId="10" w16cid:durableId="1447309553">
    <w:abstractNumId w:val="12"/>
  </w:num>
  <w:num w:numId="11" w16cid:durableId="2144304978">
    <w:abstractNumId w:val="10"/>
  </w:num>
  <w:num w:numId="12" w16cid:durableId="449596419">
    <w:abstractNumId w:val="11"/>
  </w:num>
  <w:num w:numId="13" w16cid:durableId="1326279789">
    <w:abstractNumId w:val="13"/>
  </w:num>
  <w:num w:numId="14" w16cid:durableId="20184627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987"/>
    <w:rsid w:val="0015074B"/>
    <w:rsid w:val="001B5529"/>
    <w:rsid w:val="002168FE"/>
    <w:rsid w:val="0029639D"/>
    <w:rsid w:val="00326F90"/>
    <w:rsid w:val="004227F7"/>
    <w:rsid w:val="00AA1D8D"/>
    <w:rsid w:val="00B47730"/>
    <w:rsid w:val="00CB0664"/>
    <w:rsid w:val="00FC13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9E2D78"/>
  <w14:defaultImageDpi w14:val="300"/>
  <w15:docId w15:val="{B740EB51-8E13-4965-8B63-39A10D97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8FE"/>
    <w:rPr>
      <w:rFonts w:asciiTheme="majorHAnsi" w:hAnsiTheme="majorHAnsi"/>
    </w:rPr>
  </w:style>
  <w:style w:type="paragraph" w:styleId="Heading1">
    <w:name w:val="heading 1"/>
    <w:basedOn w:val="Normal"/>
    <w:next w:val="Normal"/>
    <w:link w:val="Heading1Char"/>
    <w:uiPriority w:val="9"/>
    <w:qFormat/>
    <w:rsid w:val="00FC693F"/>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062951">
      <w:bodyDiv w:val="1"/>
      <w:marLeft w:val="0"/>
      <w:marRight w:val="0"/>
      <w:marTop w:val="0"/>
      <w:marBottom w:val="0"/>
      <w:divBdr>
        <w:top w:val="none" w:sz="0" w:space="0" w:color="auto"/>
        <w:left w:val="none" w:sz="0" w:space="0" w:color="auto"/>
        <w:bottom w:val="none" w:sz="0" w:space="0" w:color="auto"/>
        <w:right w:val="none" w:sz="0" w:space="0" w:color="auto"/>
      </w:divBdr>
    </w:div>
    <w:div w:id="587808907">
      <w:bodyDiv w:val="1"/>
      <w:marLeft w:val="0"/>
      <w:marRight w:val="0"/>
      <w:marTop w:val="0"/>
      <w:marBottom w:val="0"/>
      <w:divBdr>
        <w:top w:val="none" w:sz="0" w:space="0" w:color="auto"/>
        <w:left w:val="none" w:sz="0" w:space="0" w:color="auto"/>
        <w:bottom w:val="none" w:sz="0" w:space="0" w:color="auto"/>
        <w:right w:val="none" w:sz="0" w:space="0" w:color="auto"/>
      </w:divBdr>
    </w:div>
    <w:div w:id="1474060208">
      <w:bodyDiv w:val="1"/>
      <w:marLeft w:val="0"/>
      <w:marRight w:val="0"/>
      <w:marTop w:val="0"/>
      <w:marBottom w:val="0"/>
      <w:divBdr>
        <w:top w:val="none" w:sz="0" w:space="0" w:color="auto"/>
        <w:left w:val="none" w:sz="0" w:space="0" w:color="auto"/>
        <w:bottom w:val="none" w:sz="0" w:space="0" w:color="auto"/>
        <w:right w:val="none" w:sz="0" w:space="0" w:color="auto"/>
      </w:divBdr>
    </w:div>
    <w:div w:id="15301482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DEWMINI P L T it22357762</cp:lastModifiedBy>
  <cp:revision>3</cp:revision>
  <dcterms:created xsi:type="dcterms:W3CDTF">2024-10-02T19:37:00Z</dcterms:created>
  <dcterms:modified xsi:type="dcterms:W3CDTF">2024-10-07T07:54:00Z</dcterms:modified>
  <cp:category/>
</cp:coreProperties>
</file>