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A5C"/>
          <w:sz w:val="40"/>
          <w:szCs w:val="40"/>
        </w:rPr>
        <w:t xml:space="preserve">Week 6: Policy Gradient Methods</w:t>
      </w:r>
    </w:p>
    <w:p>
      <w:pPr>
        <w:spacing w:after="400" w:before="0"/>
        <w:jc w:val="center"/>
      </w:pPr>
      <w:r>
        <w:rPr>
          <w:rFonts w:ascii="Arial" w:cs="Arial" w:eastAsia="Arial" w:hAnsi="Arial"/>
          <w:i/>
          <w:iCs/>
          <w:color w:val="666666"/>
          <w:sz w:val="22"/>
          <w:szCs w:val="22"/>
        </w:rPr>
        <w:t xml:space="preserve">Lecture 7  •  Theoretical Foundations of RL  •  SoC 2026</w:t>
      </w:r>
    </w:p>
    <w:p>
      <w:pPr>
        <w:spacing w:after="300" w:before="0"/>
      </w:pPr>
    </w:p>
    <w:p>
      <w:pPr>
        <w:pBdr>
          <w:bottom w:val="single" w:color="1A3A5C" w:sz="8" w:space="1"/>
        </w:pBdr>
        <w:spacing w:after="260" w:before="0"/>
        <w:jc w:val="center"/>
      </w:pPr>
      <w:r>
        <w:rPr>
          <w:rFonts w:ascii="Arial" w:cs="Arial" w:eastAsia="Arial" w:hAnsi="Arial"/>
          <w:b/>
          <w:bCs/>
          <w:color w:val="1A3A5C"/>
          <w:sz w:val="28"/>
          <w:szCs w:val="28"/>
        </w:rPr>
        <w:t xml:space="preserve">PART A: Policy Gradient Theorem</w:t>
      </w:r>
    </w:p>
    <w:p>
      <w:pPr>
        <w:pStyle w:val="Heading1"/>
      </w:pPr>
      <w:r>
        <w:t xml:space="preserve">1. Motivation: Directly Optimising the Policy</w:t>
      </w:r>
    </w:p>
    <w:p>
      <w:pPr>
        <w:spacing w:after="160" w:before="0"/>
      </w:pPr>
      <w:r>
        <w:rPr>
          <w:sz w:val="24"/>
          <w:szCs w:val="24"/>
        </w:rPr>
        <w:t xml:space="preserve">Value-based methods (Q-learning, DQN) learn a value function and derive a policy by acting greedily. Policy gradient methods parameterise the policy directly as π_θ(a|s) and optimise the parameters θ by gradient ascent on the expected return:</w:t>
      </w:r>
    </w:p>
    <w:p>
      <w:pPr>
        <w:spacing w:after="140" w:before="120"/>
        <w:jc w:val="center"/>
      </w:pPr>
      <w:r>
        <w:rPr>
          <w:rFonts w:ascii="Cambria Math" w:cs="Cambria Math" w:eastAsia="Cambria Math" w:hAnsi="Cambria Math"/>
          <w:b/>
          <w:bCs/>
          <w:sz w:val="25"/>
          <w:szCs w:val="25"/>
        </w:rPr>
        <w:t xml:space="preserve">J(θ)  =  𝔼_{τ ∼ π_θ} [ R(τ) ]  =  𝔼_{τ ∼ π_θ} [Σₜ  rₜ]</w:t>
      </w:r>
    </w:p>
    <w:p>
      <w:pPr>
        <w:spacing w:after="160" w:before="0"/>
      </w:pPr>
      <w:r>
        <w:rPr>
          <w:sz w:val="24"/>
          <w:szCs w:val="24"/>
        </w:rPr>
        <w:t xml:space="preserve">Update rule:</w:t>
      </w:r>
    </w:p>
    <w:p>
      <w:pPr>
        <w:spacing w:after="140" w:before="120"/>
        <w:jc w:val="center"/>
      </w:pPr>
      <w:r>
        <w:rPr>
          <w:rFonts w:ascii="Cambria Math" w:cs="Cambria Math" w:eastAsia="Cambria Math" w:hAnsi="Cambria Math"/>
          <w:b/>
          <w:bCs/>
          <w:sz w:val="25"/>
          <w:szCs w:val="25"/>
        </w:rPr>
        <w:t xml:space="preserve">θ_{k+1}  =  θ_k  +  α  ∇_θ J(θ)|_{θ_k}</w:t>
      </w:r>
    </w:p>
    <w:p>
      <w:pPr>
        <w:spacing w:after="160" w:before="0"/>
      </w:pPr>
      <w:r>
        <w:rPr>
          <w:sz w:val="24"/>
          <w:szCs w:val="24"/>
        </w:rPr>
        <w:t xml:space="preserve">The main challenge: J(θ) involves an expectation over trajectories whose distribution depends on θ (through the policy and through the states visited). We cannot differentiate through the environment. The </w:t>
      </w:r>
      <w:r>
        <w:rPr>
          <w:b/>
          <w:bCs/>
          <w:sz w:val="24"/>
          <w:szCs w:val="24"/>
        </w:rPr>
        <w:t xml:space="preserve">Policy Gradient Theorem</w:t>
      </w:r>
      <w:r>
        <w:rPr>
          <w:sz w:val="24"/>
          <w:szCs w:val="24"/>
        </w:rPr>
        <w:t xml:space="preserve"> gives a tractable form for ∇_θ J(θ).</w:t>
      </w:r>
    </w:p>
    <w:p>
      <w:pPr>
        <w:spacing w:after="200" w:before="0"/>
      </w:pPr>
    </w:p>
    <w:p>
      <w:pPr>
        <w:pStyle w:val="Heading1"/>
      </w:pPr>
      <w:r>
        <w:t xml:space="preserve">2. Derivation of the Policy Gradient Theorem</w:t>
      </w:r>
    </w:p>
    <w:p>
      <w:pPr>
        <w:pStyle w:val="Heading2"/>
      </w:pPr>
      <w:r>
        <w:t xml:space="preserve">Step 1: Trajectory Probability</w:t>
      </w:r>
    </w:p>
    <w:p>
      <w:pPr>
        <w:spacing w:after="160" w:before="0"/>
      </w:pPr>
      <w:r>
        <w:rPr>
          <w:sz w:val="24"/>
          <w:szCs w:val="24"/>
        </w:rPr>
        <w:t xml:space="preserve">A trajectory τ = (s₀, a₀, r₁, s₁, …, s_T) has probability:</w:t>
      </w:r>
    </w:p>
    <w:p>
      <w:pPr>
        <w:spacing w:after="140" w:before="120"/>
        <w:jc w:val="center"/>
      </w:pPr>
      <w:r>
        <w:rPr>
          <w:rFonts w:ascii="Cambria Math" w:cs="Cambria Math" w:eastAsia="Cambria Math" w:hAnsi="Cambria Math"/>
          <w:b/>
          <w:bCs/>
          <w:sz w:val="25"/>
          <w:szCs w:val="25"/>
        </w:rPr>
        <w:t xml:space="preserve">P(τ|θ)  =  ρ₀(s₀)  Πₜ  P(sₜ₊₁|sₜ, aₜ)  π_θ(aₜ|sₜ)</w:t>
      </w:r>
    </w:p>
    <w:p>
      <w:pPr>
        <w:pStyle w:val="Heading2"/>
      </w:pPr>
      <w:r>
        <w:t xml:space="preserve">Step 2: Log-Derivative Trick</w:t>
      </w:r>
    </w:p>
    <w:p>
      <w:pPr>
        <w:spacing w:after="160" w:before="0"/>
      </w:pPr>
      <w:r>
        <w:rPr>
          <w:sz w:val="24"/>
          <w:szCs w:val="24"/>
        </w:rPr>
        <w:t xml:space="preserve">We need ∇_θ P(τ|θ). Applying the identity ∇ log f = ∇f/f:</w:t>
      </w:r>
    </w:p>
    <w:p>
      <w:pPr>
        <w:spacing w:after="140" w:before="120"/>
        <w:jc w:val="center"/>
      </w:pPr>
      <w:r>
        <w:rPr>
          <w:rFonts w:ascii="Cambria Math" w:cs="Cambria Math" w:eastAsia="Cambria Math" w:hAnsi="Cambria Math"/>
          <w:b/>
          <w:bCs/>
          <w:sz w:val="25"/>
          <w:szCs w:val="25"/>
        </w:rPr>
        <w:t xml:space="preserve">∇_θ P(τ|θ)  =  P(τ|θ)  ∇_θ log P(τ|θ)</w:t>
      </w:r>
    </w:p>
    <w:p>
      <w:pPr>
        <w:pStyle w:val="Heading2"/>
      </w:pPr>
      <w:r>
        <w:t xml:space="preserve">Step 3: Log-Probability of a Trajectory</w:t>
      </w:r>
    </w:p>
    <w:p>
      <w:pPr>
        <w:spacing w:after="160" w:before="0"/>
      </w:pPr>
      <w:r>
        <w:rPr>
          <w:sz w:val="24"/>
          <w:szCs w:val="24"/>
        </w:rPr>
        <w:t xml:space="preserve">Taking the log of P(τ|θ) and noting that ρ₀ and P(s’|s,a) do not depend on θ:</w:t>
      </w:r>
    </w:p>
    <w:p>
      <w:pPr>
        <w:spacing w:after="140" w:before="120"/>
        <w:jc w:val="center"/>
      </w:pPr>
      <w:r>
        <w:rPr>
          <w:rFonts w:ascii="Cambria Math" w:cs="Cambria Math" w:eastAsia="Cambria Math" w:hAnsi="Cambria Math"/>
          <w:b/>
          <w:bCs/>
          <w:sz w:val="25"/>
          <w:szCs w:val="25"/>
        </w:rPr>
        <w:t xml:space="preserve">log P(τ|θ)  =  log ρ₀(s₀)  +  Σₜ log P(sₜ₊₁|sₜ,aₜ)  +  Σₜ log π_θ(aₜ|sₜ)</w:t>
      </w:r>
    </w:p>
    <w:p>
      <w:pPr>
        <w:spacing w:after="140" w:before="120"/>
        <w:jc w:val="center"/>
      </w:pPr>
      <w:r>
        <w:rPr>
          <w:rFonts w:ascii="Cambria Math" w:cs="Cambria Math" w:eastAsia="Cambria Math" w:hAnsi="Cambria Math"/>
          <w:b/>
          <w:bCs/>
          <w:sz w:val="25"/>
          <w:szCs w:val="25"/>
        </w:rPr>
        <w:t xml:space="preserve">∇_θ log P(τ|θ)  =  Σₜ  ∇_θ log π_θ(aₜ|sₜ)</w:t>
      </w:r>
    </w:p>
    <w:p>
      <w:pPr>
        <w:spacing w:after="160" w:before="0"/>
      </w:pPr>
      <w:r>
        <w:rPr>
          <w:sz w:val="24"/>
          <w:szCs w:val="24"/>
        </w:rPr>
        <w:t xml:space="preserve">The environment terms vanish — only the policy terms survive in the gradient.</w:t>
      </w:r>
    </w:p>
    <w:p>
      <w:pPr>
        <w:pStyle w:val="Heading2"/>
      </w:pPr>
      <w:r>
        <w:t xml:space="preserve">Step 4: Assembling the Gradient</w:t>
      </w:r>
    </w:p>
    <w:p>
      <w:pPr>
        <w:spacing w:after="140" w:before="120"/>
        <w:jc w:val="center"/>
      </w:pPr>
      <w:r>
        <w:rPr>
          <w:rFonts w:ascii="Cambria Math" w:cs="Cambria Math" w:eastAsia="Cambria Math" w:hAnsi="Cambria Math"/>
          <w:b/>
          <w:bCs/>
          <w:sz w:val="25"/>
          <w:szCs w:val="25"/>
        </w:rPr>
        <w:t xml:space="preserve">∇_θ J(θ)  =  ∇_θ 𝔼_τ [ R(τ) ]  =  𝔼_τ [ R(τ)  ∇_θ log P(τ|θ) ]</w:t>
      </w:r>
    </w:p>
    <w:p>
      <w:pPr>
        <w:pBdr>
          <w:left w:val="single" w:color="2E75B6" w:sz="12" w:space="20"/>
        </w:pBdr>
        <w:spacing w:after="160" w:before="120"/>
        <w:ind w:left="480" w:right="480"/>
      </w:pPr>
      <w:r>
        <w:rPr>
          <w:rFonts w:ascii="Cambria Math" w:cs="Cambria Math" w:eastAsia="Cambria Math" w:hAnsi="Cambria Math"/>
          <w:b/>
          <w:bCs/>
          <w:sz w:val="25"/>
          <w:szCs w:val="25"/>
        </w:rPr>
        <w:t xml:space="preserve">∇_θ J(θ)  =  𝔼_{τ ∼ π_θ} [\ Σₜ  ∇_θ log π_θ(aₜ|sₜ)  ·  R(τ)\ ]</w:t>
      </w:r>
    </w:p>
    <w:p>
      <w:pPr>
        <w:spacing w:after="160" w:before="0"/>
      </w:pPr>
      <w:r>
        <w:rPr>
          <w:sz w:val="24"/>
          <w:szCs w:val="24"/>
        </w:rPr>
        <w:t xml:space="preserve">This is the Policy Gradient Theorem. It is an expectation, so it can be estimated from sampled trajectories — no environment model needed.</w:t>
      </w:r>
    </w:p>
    <w:p>
      <w:pPr>
        <w:spacing w:after="200" w:before="0"/>
      </w:pPr>
    </w:p>
    <w:p>
      <w:pPr>
        <w:spacing w:after="300" w:before="0"/>
      </w:pPr>
    </w:p>
    <w:p>
      <w:pPr>
        <w:pBdr>
          <w:bottom w:val="single" w:color="1A3A5C" w:sz="8" w:space="1"/>
        </w:pBdr>
        <w:spacing w:after="260" w:before="0"/>
        <w:jc w:val="center"/>
      </w:pPr>
      <w:r>
        <w:rPr>
          <w:rFonts w:ascii="Arial" w:cs="Arial" w:eastAsia="Arial" w:hAnsi="Arial"/>
          <w:b/>
          <w:bCs/>
          <w:color w:val="1A3A5C"/>
          <w:sz w:val="28"/>
          <w:szCs w:val="28"/>
        </w:rPr>
        <w:t xml:space="preserve">PART B: REINFORCE Algorithm</w:t>
      </w:r>
    </w:p>
    <w:p>
      <w:pPr>
        <w:pStyle w:val="Heading1"/>
      </w:pPr>
      <w:r>
        <w:t xml:space="preserve">3. REINFORCE (Williams, 1992)</w:t>
      </w:r>
    </w:p>
    <w:p>
      <w:pPr>
        <w:spacing w:after="160" w:before="0"/>
      </w:pPr>
      <w:r>
        <w:rPr>
          <w:sz w:val="24"/>
          <w:szCs w:val="24"/>
        </w:rPr>
        <w:t xml:space="preserve">REINFORCE is the direct application of the policy gradient theorem using Monte Carlo estimates. For each episode, compute the return Gₜ from each timestep and use it in the gradient estimate:</w:t>
      </w:r>
    </w:p>
    <w:p>
      <w:pPr>
        <w:spacing w:after="140" w:before="120"/>
        <w:jc w:val="center"/>
      </w:pPr>
      <w:r>
        <w:rPr>
          <w:rFonts w:ascii="Cambria Math" w:cs="Cambria Math" w:eastAsia="Cambria Math" w:hAnsi="Cambria Math"/>
          <w:b/>
          <w:bCs/>
          <w:sz w:val="25"/>
          <w:szCs w:val="25"/>
        </w:rPr>
        <w:t xml:space="preserve">∇_θ J(θ)  ≈  Σₜ  Gₜ  ∇_θ log π_θ(aₜ|sₜ)</w:t>
      </w:r>
    </w:p>
    <w:p>
      <w:pPr>
        <w:spacing w:after="160" w:before="0"/>
      </w:pPr>
      <w:r>
        <w:rPr>
          <w:sz w:val="24"/>
          <w:szCs w:val="24"/>
        </w:rPr>
        <w:t xml:space="preserve">The term ∇_θ log π_θ(aₜ|sₜ) is called the </w:t>
      </w:r>
      <w:r>
        <w:rPr>
          <w:b/>
          <w:bCs/>
          <w:sz w:val="24"/>
          <w:szCs w:val="24"/>
        </w:rPr>
        <w:t xml:space="preserve">score function</w:t>
      </w:r>
      <w:r>
        <w:rPr>
          <w:sz w:val="24"/>
          <w:szCs w:val="24"/>
        </w:rPr>
        <w:t xml:space="preserve"> or </w:t>
      </w:r>
      <w:r>
        <w:rPr>
          <w:b/>
          <w:bCs/>
          <w:sz w:val="24"/>
          <w:szCs w:val="24"/>
        </w:rPr>
        <w:t xml:space="preserve">log-probability gradient</w:t>
      </w:r>
      <w:r>
        <w:rPr>
          <w:sz w:val="24"/>
          <w:szCs w:val="24"/>
        </w:rPr>
        <w:t xml:space="preserve">. It points in the direction of making action aₜ more probable in state sₜ. Multiplying by Gₜ weights this direction by how good the episode turned out from t onward.</w:t>
      </w:r>
    </w:p>
    <w:p>
      <w:pPr>
        <w:pStyle w:val="Heading2"/>
      </w:pPr>
      <w:r>
        <w:t xml:space="preserve">The “Don’t Let the Past Distract You” Improvement</w:t>
      </w:r>
    </w:p>
    <w:p>
      <w:pPr>
        <w:spacing w:after="160" w:before="0"/>
      </w:pPr>
      <w:r>
        <w:rPr>
          <w:sz w:val="24"/>
          <w:szCs w:val="24"/>
        </w:rPr>
        <w:t xml:space="preserve">The full return R(τ) includes rewards </w:t>
      </w:r>
      <w:r>
        <w:rPr>
          <w:b/>
          <w:bCs/>
          <w:sz w:val="24"/>
          <w:szCs w:val="24"/>
        </w:rPr>
        <w:t xml:space="preserve">before</w:t>
      </w:r>
      <w:r>
        <w:rPr>
          <w:sz w:val="24"/>
          <w:szCs w:val="24"/>
        </w:rPr>
        <w:t xml:space="preserve"> timestep t, which the action aₜ cannot have caused. Causality lets us replace R(τ) with the </w:t>
      </w:r>
      <w:r>
        <w:rPr>
          <w:b/>
          <w:bCs/>
          <w:sz w:val="24"/>
          <w:szCs w:val="24"/>
        </w:rPr>
        <w:t xml:space="preserve">reward-to-go</w:t>
      </w:r>
      <w:r>
        <w:rPr>
          <w:sz w:val="24"/>
          <w:szCs w:val="24"/>
        </w:rPr>
        <w:t xml:space="preserve"> Gₜ = Σ_{k=t}^{T} r_k:</w:t>
      </w:r>
    </w:p>
    <w:p>
      <w:pPr>
        <w:spacing w:after="140" w:before="120"/>
        <w:jc w:val="center"/>
      </w:pPr>
      <w:r>
        <w:rPr>
          <w:rFonts w:ascii="Cambria Math" w:cs="Cambria Math" w:eastAsia="Cambria Math" w:hAnsi="Cambria Math"/>
          <w:b/>
          <w:bCs/>
          <w:sz w:val="25"/>
          <w:szCs w:val="25"/>
        </w:rPr>
        <w:t xml:space="preserve">∇_θ J(θ)  =  𝔼_τ [\ Σₜ  Gₜ  ∇_θ log π_θ(aₜ|sₜ)\ ]</w:t>
      </w:r>
    </w:p>
    <w:p>
      <w:pPr>
        <w:spacing w:after="160" w:before="0"/>
      </w:pPr>
      <w:r>
        <w:rPr>
          <w:sz w:val="24"/>
          <w:szCs w:val="24"/>
        </w:rPr>
        <w:t xml:space="preserve">This reduces variance without introducing bias (the dropped terms have zero expectation).</w:t>
      </w:r>
    </w:p>
    <w:p>
      <w:pPr>
        <w:pStyle w:val="Heading2"/>
      </w:pPr>
      <w:r>
        <w:t xml:space="preserve">REINFORCE Pseudocode</w:t>
      </w:r>
    </w:p>
    <w:p>
      <w:pPr>
        <w:spacing w:after="40" w:before="0"/>
      </w:pPr>
    </w:p>
    <w:p>
      <w:pPr>
        <w:spacing w:after="55" w:before="0"/>
        <w:ind w:left="480"/>
      </w:pPr>
      <w:r>
        <w:rPr>
          <w:rFonts w:ascii="Courier New" w:cs="Courier New" w:eastAsia="Courier New" w:hAnsi="Courier New"/>
          <w:sz w:val="21"/>
          <w:szCs w:val="21"/>
        </w:rPr>
        <w:t xml:space="preserve">ALGORITHM: REINFORCE</w:t>
      </w:r>
    </w:p>
    <w:p>
      <w:pPr>
        <w:spacing w:after="55" w:before="0"/>
        <w:ind w:left="480"/>
      </w:pPr>
      <w:r>
        <w:rPr>
          <w:rFonts w:ascii="Courier New" w:cs="Courier New" w:eastAsia="Courier New" w:hAnsi="Courier New"/>
          <w:sz w:val="21"/>
          <w:szCs w:val="21"/>
        </w:rPr>
        <w:t xml:space="preserve">Initialise policy parameters θ</w:t>
      </w:r>
    </w:p>
    <w:p>
      <w:pPr>
        <w:spacing w:after="55" w:before="0"/>
        <w:ind w:left="480"/>
      </w:pPr>
      <w:r>
        <w:rPr>
          <w:rFonts w:ascii="Courier New" w:cs="Courier New" w:eastAsia="Courier New" w:hAnsi="Courier New"/>
          <w:sz w:val="21"/>
          <w:szCs w:val="21"/>
        </w:rPr>
        <w:t xml:space="preserve">For each episode:</w:t>
      </w:r>
    </w:p>
    <w:p>
      <w:pPr>
        <w:spacing w:after="55" w:before="0"/>
        <w:ind w:left="840"/>
      </w:pPr>
      <w:r>
        <w:rPr>
          <w:rFonts w:ascii="Courier New" w:cs="Courier New" w:eastAsia="Courier New" w:hAnsi="Courier New"/>
          <w:sz w:val="21"/>
          <w:szCs w:val="21"/>
        </w:rPr>
        <w:t xml:space="preserve">    Generate trajectory τ = (s₀,a₀,r₁, …, s_T) under π_θ</w:t>
      </w:r>
    </w:p>
    <w:p>
      <w:pPr>
        <w:spacing w:after="55" w:before="0"/>
        <w:ind w:left="840"/>
      </w:pPr>
      <w:r>
        <w:rPr>
          <w:rFonts w:ascii="Courier New" w:cs="Courier New" w:eastAsia="Courier New" w:hAnsi="Courier New"/>
          <w:sz w:val="21"/>
          <w:szCs w:val="21"/>
        </w:rPr>
        <w:t xml:space="preserve">    For t = 0 to T-1:</w:t>
      </w:r>
    </w:p>
    <w:p>
      <w:pPr>
        <w:spacing w:after="55" w:before="0"/>
        <w:ind w:left="1200"/>
      </w:pPr>
      <w:r>
        <w:rPr>
          <w:rFonts w:ascii="Courier New" w:cs="Courier New" w:eastAsia="Courier New" w:hAnsi="Courier New"/>
          <w:sz w:val="21"/>
          <w:szCs w:val="21"/>
        </w:rPr>
        <w:t xml:space="preserve">        Gₜ ← Σ_{k=t}^{T} γ^{k-t} r_{k+1}     (reward-to-go)</w:t>
      </w:r>
    </w:p>
    <w:p>
      <w:pPr>
        <w:spacing w:after="55" w:before="0"/>
        <w:ind w:left="1200"/>
      </w:pPr>
      <w:r>
        <w:rPr>
          <w:rFonts w:ascii="Courier New" w:cs="Courier New" w:eastAsia="Courier New" w:hAnsi="Courier New"/>
          <w:sz w:val="21"/>
          <w:szCs w:val="21"/>
        </w:rPr>
        <w:t xml:space="preserve">        θ ← θ + α Gₜ ∇_θ log π_θ(aₜ|sₜ)     (gradient ascent)</w:t>
      </w:r>
    </w:p>
    <w:p>
      <w:pPr>
        <w:spacing w:after="200" w:before="0"/>
      </w:pPr>
    </w:p>
    <w:p>
      <w:pPr>
        <w:spacing w:after="300" w:before="0"/>
      </w:pPr>
    </w:p>
    <w:p>
      <w:pPr>
        <w:pBdr>
          <w:bottom w:val="single" w:color="1A3A5C" w:sz="8" w:space="1"/>
        </w:pBdr>
        <w:spacing w:after="260" w:before="0"/>
        <w:jc w:val="center"/>
      </w:pPr>
      <w:r>
        <w:rPr>
          <w:rFonts w:ascii="Arial" w:cs="Arial" w:eastAsia="Arial" w:hAnsi="Arial"/>
          <w:b/>
          <w:bCs/>
          <w:color w:val="1A3A5C"/>
          <w:sz w:val="28"/>
          <w:szCs w:val="28"/>
        </w:rPr>
        <w:t xml:space="preserve">PART C: Variance Reduction with Baselines</w:t>
      </w:r>
    </w:p>
    <w:p>
      <w:pPr>
        <w:pStyle w:val="Heading1"/>
      </w:pPr>
      <w:r>
        <w:t xml:space="preserve">4. The Variance Problem</w:t>
      </w:r>
    </w:p>
    <w:p>
      <w:pPr>
        <w:spacing w:after="160" w:before="0"/>
      </w:pPr>
      <w:r>
        <w:rPr>
          <w:sz w:val="24"/>
          <w:szCs w:val="24"/>
        </w:rPr>
        <w:t xml:space="preserve">REINFORCE has high variance. Gₜ differs greatly across episodes due to environment stochasticity and the long chain of actions. High variance means:</w:t>
      </w:r>
    </w:p>
    <w:p>
      <w:pPr>
        <w:pStyle w:val="ListParagraph"/>
        <w:numPr>
          <w:ilvl w:val="0"/>
          <w:numId w:val="2"/>
        </w:numPr>
        <w:spacing w:after="100"/>
      </w:pPr>
      <w:r>
        <w:rPr>
          <w:sz w:val="24"/>
          <w:szCs w:val="24"/>
        </w:rPr>
        <w:t xml:space="preserve">Gradient estimates are noisy — large learning rate ⇒ instability; small ⇒ slow learning.</w:t>
      </w:r>
    </w:p>
    <w:p>
      <w:pPr>
        <w:pStyle w:val="ListParagraph"/>
        <w:numPr>
          <w:ilvl w:val="0"/>
          <w:numId w:val="2"/>
        </w:numPr>
        <w:spacing w:after="100"/>
      </w:pPr>
      <w:r>
        <w:rPr>
          <w:sz w:val="24"/>
          <w:szCs w:val="24"/>
        </w:rPr>
        <w:t xml:space="preserve">Many episodes are needed for the mean gradient to be accurate.</w:t>
      </w:r>
    </w:p>
    <w:p>
      <w:pPr>
        <w:spacing w:after="160" w:before="0"/>
      </w:pPr>
      <w:r>
        <w:rPr>
          <w:sz w:val="24"/>
          <w:szCs w:val="24"/>
        </w:rPr>
        <w:t xml:space="preserve">The key insight: we can subtract any function b(sₜ) that depends only on the state (not on the action) from Gₜ without changing the expected gradient. This is because:</w:t>
      </w:r>
    </w:p>
    <w:p>
      <w:pPr>
        <w:spacing w:after="140" w:before="120"/>
        <w:jc w:val="center"/>
      </w:pPr>
      <w:r>
        <w:rPr>
          <w:rFonts w:ascii="Cambria Math" w:cs="Cambria Math" w:eastAsia="Cambria Math" w:hAnsi="Cambria Math"/>
          <w:b/>
          <w:bCs/>
          <w:sz w:val="25"/>
          <w:szCs w:val="25"/>
        </w:rPr>
        <w:t xml:space="preserve">𝔼_{a ∼ π_θ} [ b(s)  ∇_θ log π_θ(a|s) ]  =  0</w:t>
      </w:r>
    </w:p>
    <w:p>
      <w:pPr>
        <w:pStyle w:val="Heading2"/>
      </w:pPr>
      <w:r>
        <w:t xml:space="preserve">Proof of Zero-Bias Property</w:t>
      </w:r>
    </w:p>
    <w:p>
      <w:pPr>
        <w:spacing w:after="160" w:before="0"/>
      </w:pPr>
      <w:r>
        <w:rPr>
          <w:sz w:val="24"/>
          <w:szCs w:val="24"/>
        </w:rPr>
        <w:t xml:space="preserve">By definition of ∇_θ log π and the fact that probabilities sum to 1:</w:t>
      </w:r>
    </w:p>
    <w:p>
      <w:pPr>
        <w:spacing w:after="140" w:before="120"/>
        <w:jc w:val="center"/>
      </w:pPr>
      <w:r>
        <w:rPr>
          <w:rFonts w:ascii="Cambria Math" w:cs="Cambria Math" w:eastAsia="Cambria Math" w:hAnsi="Cambria Math"/>
          <w:b/>
          <w:bCs/>
          <w:sz w:val="25"/>
          <w:szCs w:val="25"/>
        </w:rPr>
        <w:t xml:space="preserve">𝔼_a [ b(s) ∇ log π(a|s) ]  =  b(s)  Σ_a  π(a|s) ∇ log π(a|s)</w:t>
      </w:r>
    </w:p>
    <w:p>
      <w:pPr>
        <w:spacing w:after="140" w:before="120"/>
        <w:jc w:val="center"/>
      </w:pPr>
      <w:r>
        <w:rPr>
          <w:rFonts w:ascii="Cambria Math" w:cs="Cambria Math" w:eastAsia="Cambria Math" w:hAnsi="Cambria Math"/>
          <w:b/>
          <w:bCs/>
          <w:sz w:val="25"/>
          <w:szCs w:val="25"/>
        </w:rPr>
        <w:t xml:space="preserve">=  b(s)  Σ_a  π(a|s) · ∇π(a|s)/π(a|s)  =  b(s) ∇  Σ_a π(a|s)  =  b(s) ∇ 1  =  0</w:t>
      </w:r>
    </w:p>
    <w:p>
      <w:pPr>
        <w:spacing w:after="160" w:before="0"/>
      </w:pPr>
      <w:r>
        <w:rPr>
          <w:sz w:val="24"/>
          <w:szCs w:val="24"/>
        </w:rPr>
        <w:t xml:space="preserve">So we can subtract b(sₜ) from Gₜ freely — the expectation is unchanged but the variance decreases when b(s) is chosen well.</w:t>
      </w:r>
    </w:p>
    <w:p>
      <w:pPr>
        <w:pStyle w:val="Heading2"/>
      </w:pPr>
      <w:r>
        <w:t xml:space="preserve">REINFORCE with Baseline</w:t>
      </w:r>
    </w:p>
    <w:p>
      <w:pPr>
        <w:pBdr>
          <w:left w:val="single" w:color="2E75B6" w:sz="12" w:space="20"/>
        </w:pBdr>
        <w:spacing w:after="160" w:before="120"/>
        <w:ind w:left="480" w:right="480"/>
      </w:pPr>
      <w:r>
        <w:rPr>
          <w:rFonts w:ascii="Cambria Math" w:cs="Cambria Math" w:eastAsia="Cambria Math" w:hAnsi="Cambria Math"/>
          <w:b/>
          <w:bCs/>
          <w:sz w:val="25"/>
          <w:szCs w:val="25"/>
        </w:rPr>
        <w:t xml:space="preserve">∇_θ J(θ)  =  𝔼_τ [\ Σₜ  ( Gₜ  −  b(sₜ) )  ≧_θ log π_θ(aₜ|sₜ)\ ]</w:t>
      </w:r>
    </w:p>
    <w:p>
      <w:pPr>
        <w:spacing w:after="160" w:before="0"/>
      </w:pPr>
      <w:r>
        <w:rPr>
          <w:sz w:val="24"/>
          <w:szCs w:val="24"/>
        </w:rPr>
        <w:t xml:space="preserve">The term (Gₜ − b(sₜ)) is the </w:t>
      </w:r>
      <w:r>
        <w:rPr>
          <w:b/>
          <w:bCs/>
          <w:sz w:val="24"/>
          <w:szCs w:val="24"/>
        </w:rPr>
        <w:t xml:space="preserve">advantage estimate</w:t>
      </w:r>
      <w:r>
        <w:rPr>
          <w:sz w:val="24"/>
          <w:szCs w:val="24"/>
        </w:rPr>
        <w:t xml:space="preserve">: how much better was this episode’s return than what was expected from state sₜ? The gradient is reinforced proportionally to this advantage.</w:t>
      </w:r>
    </w:p>
    <w:p>
      <w:pPr>
        <w:pStyle w:val="Heading2"/>
      </w:pPr>
      <w:r>
        <w:t xml:space="preserve">Choosing the Baseline</w:t>
      </w:r>
    </w:p>
    <w:p>
      <w:pPr>
        <w:pStyle w:val="ListParagraph"/>
        <w:numPr>
          <w:ilvl w:val="0"/>
          <w:numId w:val="2"/>
        </w:numPr>
        <w:spacing w:after="100"/>
      </w:pPr>
      <w:r>
        <w:rPr>
          <w:b/>
          <w:bCs/>
          <w:sz w:val="24"/>
          <w:szCs w:val="24"/>
        </w:rPr>
        <w:t xml:space="preserve">V_φ(sₜ) — the state-value function: </w:t>
      </w:r>
      <w:r>
        <w:rPr>
          <w:sz w:val="24"/>
          <w:szCs w:val="24"/>
        </w:rPr>
        <w:t xml:space="preserve">the most common choice. b(sₜ) = V_φ(sₜ) makes (Gₜ − b) an estimate of the advantage Aπ(sₜ, aₜ) = Qπ(sₜ, aₜ) − Vπ(sₜ). This is the foundation of Actor-Critic methods.</w:t>
      </w:r>
    </w:p>
    <w:p>
      <w:pPr>
        <w:pStyle w:val="ListParagraph"/>
        <w:numPr>
          <w:ilvl w:val="0"/>
          <w:numId w:val="2"/>
        </w:numPr>
        <w:spacing w:after="100"/>
      </w:pPr>
      <w:r>
        <w:rPr>
          <w:b/>
          <w:bCs/>
          <w:sz w:val="24"/>
          <w:szCs w:val="24"/>
        </w:rPr>
        <w:t xml:space="preserve">Mean return: </w:t>
      </w:r>
      <w:r>
        <w:rPr>
          <w:sz w:val="24"/>
          <w:szCs w:val="24"/>
        </w:rPr>
        <w:t xml:space="preserve">b = mean(Gₜ) over the batch. Simple, works well in practice.</w:t>
      </w:r>
    </w:p>
    <w:p>
      <w:pPr>
        <w:pStyle w:val="ListParagraph"/>
        <w:numPr>
          <w:ilvl w:val="0"/>
          <w:numId w:val="2"/>
        </w:numPr>
        <w:spacing w:after="100"/>
      </w:pPr>
      <w:r>
        <w:rPr>
          <w:b/>
          <w:bCs/>
          <w:sz w:val="24"/>
          <w:szCs w:val="24"/>
        </w:rPr>
        <w:t xml:space="preserve">Optimal baseline: </w:t>
      </w:r>
      <w:r>
        <w:rPr>
          <w:sz w:val="24"/>
          <w:szCs w:val="24"/>
        </w:rPr>
        <w:t xml:space="preserve">b*(s) = 𝔼[Gₜ² ∇ log π] / 𝔼[∇ log π²] minimises variance analytically but is rarely used due to complexity.</w:t>
      </w:r>
    </w:p>
    <w:p>
      <w:pPr>
        <w:pStyle w:val="Heading2"/>
      </w:pPr>
      <w:r>
        <w:t xml:space="preserve">Why Does This Reduce Variance?</w:t>
      </w:r>
    </w:p>
    <w:p>
      <w:pPr>
        <w:spacing w:after="160" w:before="0"/>
      </w:pPr>
      <w:r>
        <w:rPr>
          <w:sz w:val="24"/>
          <w:szCs w:val="24"/>
        </w:rPr>
        <w:t xml:space="preserve">Without baseline: updates are large when Gₜ is large (e.g. lucky episode) and small when Gₜ is small, even if the action was not responsible for the difference. With baseline: only the </w:t>
      </w:r>
    </w:p>
    <w:p>
      <w:pPr>
        <w:spacing w:after="160" w:before="0"/>
      </w:pPr>
      <w:r>
        <w:rPr>
          <w:b/>
          <w:bCs/>
          <w:sz w:val="24"/>
          <w:szCs w:val="24"/>
        </w:rPr>
        <w:t xml:space="preserve">excess</w:t>
      </w:r>
      <w:r>
        <w:rPr>
          <w:sz w:val="24"/>
          <w:szCs w:val="24"/>
        </w:rPr>
        <w:t xml:space="preserve"> return above the expected value of the state drives the update. Common luck (good starting state) is factored out, leaving only the signal attributable to the action. This is analogous to using a </w:t>
      </w:r>
      <w:r>
        <w:rPr>
          <w:b/>
          <w:bCs/>
          <w:sz w:val="24"/>
          <w:szCs w:val="24"/>
        </w:rPr>
        <w:t xml:space="preserve">control variate</w:t>
      </w:r>
      <w:r>
        <w:rPr>
          <w:sz w:val="24"/>
          <w:szCs w:val="24"/>
        </w:rPr>
        <w:t xml:space="preserve"> in Monte Carlo integration.</w:t>
      </w:r>
    </w:p>
    <w:p>
      <w:pPr>
        <w:spacing w:after="200" w:before="0"/>
      </w:pPr>
    </w:p>
    <w:p>
      <w:pPr>
        <w:pStyle w:val="Heading1"/>
      </w:pPr>
      <w:r>
        <w:t xml:space="preserve">5. The Full Policy Gradient Zoo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Algorithm</w:t>
            </w:r>
          </w:p>
        </w:tc>
        <w:tc>
          <w:tcPr>
            <w:tcW w:type="dxa" w:w="328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Gradient Target</w:t>
            </w:r>
          </w:p>
        </w:tc>
        <w:tc>
          <w:tcPr>
            <w:tcW w:type="dxa" w:w="328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Notes</w:t>
            </w:r>
          </w:p>
        </w:tc>
      </w:tr>
      <w:tr>
        <w:tc>
          <w:tcPr>
            <w:tcW w:type="dxa" w:w="280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REINFORCE</w:t>
            </w:r>
          </w:p>
        </w:tc>
        <w:tc>
          <w:tcPr>
            <w:tcW w:type="dxa" w:w="328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Gₜ</w:t>
            </w:r>
          </w:p>
        </w:tc>
        <w:tc>
          <w:tcPr>
            <w:tcW w:type="dxa" w:w="328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MC; high variance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REINFORCE + baseline</w:t>
            </w:r>
          </w:p>
        </w:tc>
        <w:tc>
          <w:tcPr>
            <w:tcW w:type="dxa" w:w="32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Gₜ − b(sₜ)</w:t>
            </w:r>
          </w:p>
        </w:tc>
        <w:tc>
          <w:tcPr>
            <w:tcW w:type="dxa" w:w="32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Lower variance; zero bias</w:t>
            </w:r>
          </w:p>
        </w:tc>
      </w:tr>
      <w:tr>
        <w:tc>
          <w:tcPr>
            <w:tcW w:type="dxa" w:w="280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Actor-Critic</w:t>
            </w:r>
          </w:p>
        </w:tc>
        <w:tc>
          <w:tcPr>
            <w:tcW w:type="dxa" w:w="328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r + γV(s’) − V(s)</w:t>
            </w:r>
          </w:p>
        </w:tc>
        <w:tc>
          <w:tcPr>
            <w:tcW w:type="dxa" w:w="3280"/>
            <w:tcBorders>
              <w:top w:val="single" w:color="BBBBBB" w:sz="1"/>
              <w:left w:val="single" w:color="BBBBBB" w:sz="1"/>
              <w:bottom w:val="single" w:color="BBBBBB" w:sz="1"/>
              <w:right w:val="single" w:color="BBBBBB" w:sz="1"/>
            </w:tcBorders>
            <w:shd w:fill="F4F8FC" w:val="clear"/>
            <w:tcMar>
              <w:top w:type="dxa" w:w="80"/>
              <w:left w:type="dxa" w:w="140"/>
              <w:bottom w:type="dxa" w:w="80"/>
              <w:right w:type="dxa" w:w="140"/>
            </w:tcMar>
          </w:tcPr>
          <w:p>
            <w:r>
              <w:rPr>
                <w:b w:val="false"/>
                <w:bCs w:val="false"/>
                <w:color w:val="000000"/>
                <w:sz w:val="22"/>
                <w:szCs w:val="22"/>
              </w:rPr>
              <w:t xml:space="preserve">TD advantage; online; biased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PPO</w:t>
            </w:r>
          </w:p>
        </w:tc>
        <w:tc>
          <w:tcPr>
            <w:tcW w:type="dxa" w:w="32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clip(rₜ(θ), 1±ε) · Aₜ</w:t>
            </w:r>
          </w:p>
        </w:tc>
        <w:tc>
          <w:tcPr>
            <w:tcW w:type="dxa" w:w="32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Clipped ratio; stable</w:t>
            </w:r>
          </w:p>
        </w:tc>
      </w:tr>
    </w:tbl>
    <w:p>
      <w:pPr>
        <w:spacing w:after="200" w:before="0"/>
      </w:pPr>
    </w:p>
    <w:p>
      <w:pPr>
        <w:pBdr>
          <w:top w:val="single" w:color="2E75B6" w:sz="6" w:space="1"/>
        </w:pBdr>
        <w:spacing w:after="120" w:before="200"/>
      </w:pPr>
    </w:p>
    <w:p>
      <w:pPr>
        <w:jc w:val="center"/>
      </w:pPr>
      <w:r>
        <w:rPr>
          <w:i/>
          <w:iCs/>
          <w:color w:val="888888"/>
          <w:sz w:val="20"/>
          <w:szCs w:val="20"/>
        </w:rPr>
        <w:t xml:space="preserve">Sources: Sutton &amp; Barto (2020) Ch. 13  •  David Silver Lecture 7  •  OpenAI Spinning Up Part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2026-07-06T03:19:45.104Z</dcterms:created>
  <dcterms:modified xsi:type="dcterms:W3CDTF">2026-07-06T03:19:45.104Z</dcterms:modified>
</cp:coreProperties>
</file>

<file path=docProps/custom.xml><?xml version="1.0" encoding="utf-8"?>
<Properties xmlns="http://schemas.openxmlformats.org/officeDocument/2006/custom-properties" xmlns:vt="http://schemas.openxmlformats.org/officeDocument/2006/docPropsVTypes"/>
</file>