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04C" w:rsidRDefault="00F5440D">
      <w:r>
        <w:rPr>
          <w:rFonts w:hint="eastAsia"/>
        </w:rPr>
        <w:t>FIM</w:t>
      </w:r>
      <w:r>
        <w:t>500                Project Assignment 1 Report – Team 2005</w:t>
      </w:r>
    </w:p>
    <w:p w:rsidR="00F5440D" w:rsidRDefault="00F5440D"/>
    <w:p w:rsidR="00F5440D" w:rsidRDefault="00F5440D" w:rsidP="00C72659">
      <w:pPr>
        <w:ind w:firstLineChars="200" w:firstLine="420"/>
      </w:pPr>
      <w:r>
        <w:t>We use dataset from Fannie Mae and note that if a borrower has ever hit 3 delinquency, we regard him as defaulted. And a summary of loss rate shows below.</w:t>
      </w:r>
    </w:p>
    <w:p w:rsidR="00F5440D" w:rsidRDefault="00F5440D" w:rsidP="00F5440D">
      <w:pPr>
        <w:jc w:val="center"/>
      </w:pPr>
      <w:r>
        <w:t>Table</w:t>
      </w:r>
      <w:r w:rsidR="00BC619D">
        <w:t xml:space="preserve"> </w:t>
      </w:r>
      <w:r>
        <w:t>1 Loss rate of loans between 2005 to 2010</w:t>
      </w:r>
    </w:p>
    <w:tbl>
      <w:tblPr>
        <w:tblW w:w="7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954"/>
        <w:gridCol w:w="1020"/>
        <w:gridCol w:w="1020"/>
        <w:gridCol w:w="1020"/>
        <w:gridCol w:w="1020"/>
        <w:gridCol w:w="1020"/>
      </w:tblGrid>
      <w:tr w:rsidR="00F5440D" w:rsidRPr="00F5440D" w:rsidTr="00F5440D">
        <w:trPr>
          <w:trHeight w:val="280"/>
          <w:jc w:val="center"/>
        </w:trPr>
        <w:tc>
          <w:tcPr>
            <w:tcW w:w="1420" w:type="dxa"/>
            <w:shd w:val="clear" w:color="auto" w:fill="auto"/>
            <w:noWrap/>
            <w:vAlign w:val="center"/>
            <w:hideMark/>
          </w:tcPr>
          <w:p w:rsidR="00F5440D" w:rsidRPr="00F5440D" w:rsidRDefault="00F5440D" w:rsidP="00F5440D">
            <w:pPr>
              <w:widowControl/>
              <w:jc w:val="left"/>
              <w:rPr>
                <w:rFonts w:ascii="宋体" w:eastAsia="宋体" w:hAnsi="宋体" w:cs="宋体"/>
                <w:kern w:val="0"/>
                <w:sz w:val="24"/>
                <w:szCs w:val="24"/>
              </w:rPr>
            </w:pPr>
          </w:p>
        </w:tc>
        <w:tc>
          <w:tcPr>
            <w:tcW w:w="900" w:type="dxa"/>
            <w:shd w:val="clear" w:color="auto" w:fill="auto"/>
            <w:noWrap/>
            <w:vAlign w:val="center"/>
            <w:hideMark/>
          </w:tcPr>
          <w:p w:rsidR="00F5440D" w:rsidRPr="00F5440D" w:rsidRDefault="00F5440D" w:rsidP="00F5440D">
            <w:pPr>
              <w:widowControl/>
              <w:jc w:val="right"/>
              <w:rPr>
                <w:rFonts w:ascii="等线" w:eastAsia="等线" w:hAnsi="等线" w:cs="宋体"/>
                <w:color w:val="000000"/>
                <w:kern w:val="0"/>
                <w:sz w:val="22"/>
              </w:rPr>
            </w:pPr>
            <w:r w:rsidRPr="00F5440D">
              <w:rPr>
                <w:rFonts w:ascii="等线" w:eastAsia="等线" w:hAnsi="等线" w:cs="宋体" w:hint="eastAsia"/>
                <w:color w:val="000000"/>
                <w:kern w:val="0"/>
                <w:sz w:val="22"/>
              </w:rPr>
              <w:t>2005</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2006</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2007</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2008</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2009</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2010</w:t>
            </w:r>
          </w:p>
        </w:tc>
      </w:tr>
      <w:tr w:rsidR="00F5440D" w:rsidRPr="00F5440D" w:rsidTr="00F5440D">
        <w:trPr>
          <w:trHeight w:val="280"/>
          <w:jc w:val="center"/>
        </w:trPr>
        <w:tc>
          <w:tcPr>
            <w:tcW w:w="14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2005</w:t>
            </w:r>
          </w:p>
        </w:tc>
        <w:tc>
          <w:tcPr>
            <w:tcW w:w="90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0.1029%</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0.2731%</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0.5207%</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1.2297%</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2.0748%</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1.7258%</w:t>
            </w:r>
          </w:p>
        </w:tc>
      </w:tr>
      <w:tr w:rsidR="00F5440D" w:rsidRPr="00F5440D" w:rsidTr="00F5440D">
        <w:trPr>
          <w:trHeight w:val="280"/>
          <w:jc w:val="center"/>
        </w:trPr>
        <w:tc>
          <w:tcPr>
            <w:tcW w:w="14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2006</w:t>
            </w:r>
          </w:p>
        </w:tc>
        <w:tc>
          <w:tcPr>
            <w:tcW w:w="90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color w:val="000000"/>
                <w:kern w:val="0"/>
                <w:sz w:val="22"/>
              </w:rPr>
            </w:pPr>
            <w:r w:rsidRPr="00F5440D">
              <w:rPr>
                <w:rFonts w:ascii="等线" w:eastAsia="等线" w:hAnsi="等线" w:cs="宋体" w:hint="eastAsia"/>
                <w:color w:val="000000"/>
                <w:kern w:val="0"/>
                <w:sz w:val="22"/>
              </w:rPr>
              <w:t>0.0861%</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0.6558%</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1.9857%</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3.2418%</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2.4826%</w:t>
            </w:r>
          </w:p>
        </w:tc>
      </w:tr>
      <w:tr w:rsidR="00F5440D" w:rsidRPr="00F5440D" w:rsidTr="00F5440D">
        <w:trPr>
          <w:trHeight w:val="280"/>
          <w:jc w:val="center"/>
        </w:trPr>
        <w:tc>
          <w:tcPr>
            <w:tcW w:w="14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2007</w:t>
            </w:r>
          </w:p>
        </w:tc>
        <w:tc>
          <w:tcPr>
            <w:tcW w:w="90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p>
        </w:tc>
        <w:tc>
          <w:tcPr>
            <w:tcW w:w="1020" w:type="dxa"/>
            <w:shd w:val="clear" w:color="auto" w:fill="auto"/>
            <w:noWrap/>
            <w:vAlign w:val="center"/>
            <w:hideMark/>
          </w:tcPr>
          <w:p w:rsidR="00F5440D" w:rsidRPr="00F5440D" w:rsidRDefault="00F5440D" w:rsidP="00F5440D">
            <w:pPr>
              <w:widowControl/>
              <w:jc w:val="left"/>
              <w:rPr>
                <w:rFonts w:ascii="Times New Roman" w:eastAsia="Times New Roman" w:hAnsi="Times New Roman" w:cs="Times New Roman"/>
                <w:kern w:val="0"/>
                <w:sz w:val="20"/>
                <w:szCs w:val="20"/>
              </w:rPr>
            </w:pP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color w:val="000000"/>
                <w:kern w:val="0"/>
                <w:sz w:val="22"/>
              </w:rPr>
            </w:pPr>
            <w:r w:rsidRPr="00F5440D">
              <w:rPr>
                <w:rFonts w:ascii="等线" w:eastAsia="等线" w:hAnsi="等线" w:cs="宋体" w:hint="eastAsia"/>
                <w:color w:val="000000"/>
                <w:kern w:val="0"/>
                <w:sz w:val="22"/>
              </w:rPr>
              <w:t>0.1579%</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2.0647%</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4.0622%</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3.0673%</w:t>
            </w:r>
          </w:p>
        </w:tc>
      </w:tr>
      <w:tr w:rsidR="00F5440D" w:rsidRPr="00F5440D" w:rsidTr="00F5440D">
        <w:trPr>
          <w:trHeight w:val="280"/>
          <w:jc w:val="center"/>
        </w:trPr>
        <w:tc>
          <w:tcPr>
            <w:tcW w:w="14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2008</w:t>
            </w:r>
          </w:p>
        </w:tc>
        <w:tc>
          <w:tcPr>
            <w:tcW w:w="90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p>
        </w:tc>
        <w:tc>
          <w:tcPr>
            <w:tcW w:w="1020" w:type="dxa"/>
            <w:shd w:val="clear" w:color="auto" w:fill="auto"/>
            <w:noWrap/>
            <w:vAlign w:val="center"/>
            <w:hideMark/>
          </w:tcPr>
          <w:p w:rsidR="00F5440D" w:rsidRPr="00F5440D" w:rsidRDefault="00F5440D" w:rsidP="00F5440D">
            <w:pPr>
              <w:widowControl/>
              <w:jc w:val="left"/>
              <w:rPr>
                <w:rFonts w:ascii="Times New Roman" w:eastAsia="Times New Roman" w:hAnsi="Times New Roman" w:cs="Times New Roman"/>
                <w:kern w:val="0"/>
                <w:sz w:val="20"/>
                <w:szCs w:val="20"/>
              </w:rPr>
            </w:pPr>
          </w:p>
        </w:tc>
        <w:tc>
          <w:tcPr>
            <w:tcW w:w="1020" w:type="dxa"/>
            <w:shd w:val="clear" w:color="auto" w:fill="auto"/>
            <w:noWrap/>
            <w:vAlign w:val="center"/>
            <w:hideMark/>
          </w:tcPr>
          <w:p w:rsidR="00F5440D" w:rsidRPr="00F5440D" w:rsidRDefault="00F5440D" w:rsidP="00F5440D">
            <w:pPr>
              <w:widowControl/>
              <w:jc w:val="left"/>
              <w:rPr>
                <w:rFonts w:ascii="Times New Roman" w:eastAsia="Times New Roman" w:hAnsi="Times New Roman" w:cs="Times New Roman"/>
                <w:kern w:val="0"/>
                <w:sz w:val="20"/>
                <w:szCs w:val="20"/>
              </w:rPr>
            </w:pP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color w:val="000000"/>
                <w:kern w:val="0"/>
                <w:sz w:val="22"/>
              </w:rPr>
            </w:pPr>
            <w:r w:rsidRPr="00F5440D">
              <w:rPr>
                <w:rFonts w:ascii="等线" w:eastAsia="等线" w:hAnsi="等线" w:cs="宋体" w:hint="eastAsia"/>
                <w:color w:val="000000"/>
                <w:kern w:val="0"/>
                <w:sz w:val="22"/>
              </w:rPr>
              <w:t>0.5167%</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2.3029%</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2.0319%</w:t>
            </w:r>
          </w:p>
        </w:tc>
      </w:tr>
      <w:tr w:rsidR="00F5440D" w:rsidRPr="00F5440D" w:rsidTr="00F5440D">
        <w:trPr>
          <w:trHeight w:val="280"/>
          <w:jc w:val="center"/>
        </w:trPr>
        <w:tc>
          <w:tcPr>
            <w:tcW w:w="14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2009</w:t>
            </w:r>
          </w:p>
        </w:tc>
        <w:tc>
          <w:tcPr>
            <w:tcW w:w="90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p>
        </w:tc>
        <w:tc>
          <w:tcPr>
            <w:tcW w:w="1020" w:type="dxa"/>
            <w:shd w:val="clear" w:color="auto" w:fill="auto"/>
            <w:noWrap/>
            <w:vAlign w:val="center"/>
            <w:hideMark/>
          </w:tcPr>
          <w:p w:rsidR="00F5440D" w:rsidRPr="00F5440D" w:rsidRDefault="00F5440D" w:rsidP="00F5440D">
            <w:pPr>
              <w:widowControl/>
              <w:jc w:val="left"/>
              <w:rPr>
                <w:rFonts w:ascii="Times New Roman" w:eastAsia="Times New Roman" w:hAnsi="Times New Roman" w:cs="Times New Roman"/>
                <w:kern w:val="0"/>
                <w:sz w:val="20"/>
                <w:szCs w:val="20"/>
              </w:rPr>
            </w:pPr>
          </w:p>
        </w:tc>
        <w:tc>
          <w:tcPr>
            <w:tcW w:w="1020" w:type="dxa"/>
            <w:shd w:val="clear" w:color="auto" w:fill="auto"/>
            <w:noWrap/>
            <w:vAlign w:val="center"/>
            <w:hideMark/>
          </w:tcPr>
          <w:p w:rsidR="00F5440D" w:rsidRPr="00F5440D" w:rsidRDefault="00F5440D" w:rsidP="00F5440D">
            <w:pPr>
              <w:widowControl/>
              <w:jc w:val="left"/>
              <w:rPr>
                <w:rFonts w:ascii="Times New Roman" w:eastAsia="Times New Roman" w:hAnsi="Times New Roman" w:cs="Times New Roman"/>
                <w:kern w:val="0"/>
                <w:sz w:val="20"/>
                <w:szCs w:val="20"/>
              </w:rPr>
            </w:pPr>
          </w:p>
        </w:tc>
        <w:tc>
          <w:tcPr>
            <w:tcW w:w="1020" w:type="dxa"/>
            <w:shd w:val="clear" w:color="auto" w:fill="auto"/>
            <w:noWrap/>
            <w:vAlign w:val="center"/>
            <w:hideMark/>
          </w:tcPr>
          <w:p w:rsidR="00F5440D" w:rsidRPr="00F5440D" w:rsidRDefault="00F5440D" w:rsidP="00F5440D">
            <w:pPr>
              <w:widowControl/>
              <w:jc w:val="left"/>
              <w:rPr>
                <w:rFonts w:ascii="Times New Roman" w:eastAsia="Times New Roman" w:hAnsi="Times New Roman" w:cs="Times New Roman"/>
                <w:kern w:val="0"/>
                <w:sz w:val="20"/>
                <w:szCs w:val="20"/>
              </w:rPr>
            </w:pP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color w:val="000000"/>
                <w:kern w:val="0"/>
                <w:sz w:val="22"/>
              </w:rPr>
            </w:pPr>
            <w:r w:rsidRPr="00F5440D">
              <w:rPr>
                <w:rFonts w:ascii="等线" w:eastAsia="等线" w:hAnsi="等线" w:cs="宋体" w:hint="eastAsia"/>
                <w:color w:val="000000"/>
                <w:kern w:val="0"/>
                <w:sz w:val="22"/>
              </w:rPr>
              <w:t>0.0653%</w:t>
            </w: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0.2392%</w:t>
            </w:r>
          </w:p>
        </w:tc>
      </w:tr>
      <w:tr w:rsidR="00F5440D" w:rsidRPr="00F5440D" w:rsidTr="00F5440D">
        <w:trPr>
          <w:trHeight w:val="280"/>
          <w:jc w:val="center"/>
        </w:trPr>
        <w:tc>
          <w:tcPr>
            <w:tcW w:w="142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r w:rsidRPr="00F5440D">
              <w:rPr>
                <w:rFonts w:ascii="等线" w:eastAsia="等线" w:hAnsi="等线" w:cs="宋体" w:hint="eastAsia"/>
                <w:color w:val="000000"/>
                <w:kern w:val="0"/>
                <w:sz w:val="22"/>
              </w:rPr>
              <w:t>2010</w:t>
            </w:r>
          </w:p>
        </w:tc>
        <w:tc>
          <w:tcPr>
            <w:tcW w:w="900" w:type="dxa"/>
            <w:shd w:val="clear" w:color="auto" w:fill="auto"/>
            <w:noWrap/>
            <w:vAlign w:val="center"/>
            <w:hideMark/>
          </w:tcPr>
          <w:p w:rsidR="00F5440D" w:rsidRPr="00F5440D" w:rsidRDefault="00F5440D" w:rsidP="00F5440D">
            <w:pPr>
              <w:widowControl/>
              <w:jc w:val="right"/>
              <w:rPr>
                <w:rFonts w:ascii="等线" w:eastAsia="等线" w:hAnsi="等线" w:cs="宋体" w:hint="eastAsia"/>
                <w:color w:val="000000"/>
                <w:kern w:val="0"/>
                <w:sz w:val="22"/>
              </w:rPr>
            </w:pPr>
          </w:p>
        </w:tc>
        <w:tc>
          <w:tcPr>
            <w:tcW w:w="1020" w:type="dxa"/>
            <w:shd w:val="clear" w:color="auto" w:fill="auto"/>
            <w:noWrap/>
            <w:vAlign w:val="center"/>
            <w:hideMark/>
          </w:tcPr>
          <w:p w:rsidR="00F5440D" w:rsidRPr="00F5440D" w:rsidRDefault="00F5440D" w:rsidP="00F5440D">
            <w:pPr>
              <w:widowControl/>
              <w:jc w:val="left"/>
              <w:rPr>
                <w:rFonts w:ascii="Times New Roman" w:eastAsia="Times New Roman" w:hAnsi="Times New Roman" w:cs="Times New Roman"/>
                <w:kern w:val="0"/>
                <w:sz w:val="20"/>
                <w:szCs w:val="20"/>
              </w:rPr>
            </w:pPr>
          </w:p>
        </w:tc>
        <w:tc>
          <w:tcPr>
            <w:tcW w:w="1020" w:type="dxa"/>
            <w:shd w:val="clear" w:color="auto" w:fill="auto"/>
            <w:noWrap/>
            <w:vAlign w:val="center"/>
            <w:hideMark/>
          </w:tcPr>
          <w:p w:rsidR="00F5440D" w:rsidRPr="00F5440D" w:rsidRDefault="00F5440D" w:rsidP="00F5440D">
            <w:pPr>
              <w:widowControl/>
              <w:jc w:val="left"/>
              <w:rPr>
                <w:rFonts w:ascii="Times New Roman" w:eastAsia="Times New Roman" w:hAnsi="Times New Roman" w:cs="Times New Roman"/>
                <w:kern w:val="0"/>
                <w:sz w:val="20"/>
                <w:szCs w:val="20"/>
              </w:rPr>
            </w:pPr>
          </w:p>
        </w:tc>
        <w:tc>
          <w:tcPr>
            <w:tcW w:w="1020" w:type="dxa"/>
            <w:shd w:val="clear" w:color="auto" w:fill="auto"/>
            <w:noWrap/>
            <w:vAlign w:val="center"/>
            <w:hideMark/>
          </w:tcPr>
          <w:p w:rsidR="00F5440D" w:rsidRPr="00F5440D" w:rsidRDefault="00F5440D" w:rsidP="00F5440D">
            <w:pPr>
              <w:widowControl/>
              <w:jc w:val="left"/>
              <w:rPr>
                <w:rFonts w:ascii="Times New Roman" w:eastAsia="Times New Roman" w:hAnsi="Times New Roman" w:cs="Times New Roman"/>
                <w:kern w:val="0"/>
                <w:sz w:val="20"/>
                <w:szCs w:val="20"/>
              </w:rPr>
            </w:pPr>
          </w:p>
        </w:tc>
        <w:tc>
          <w:tcPr>
            <w:tcW w:w="1020" w:type="dxa"/>
            <w:shd w:val="clear" w:color="auto" w:fill="auto"/>
            <w:noWrap/>
            <w:vAlign w:val="center"/>
            <w:hideMark/>
          </w:tcPr>
          <w:p w:rsidR="00F5440D" w:rsidRPr="00F5440D" w:rsidRDefault="00F5440D" w:rsidP="00F5440D">
            <w:pPr>
              <w:widowControl/>
              <w:jc w:val="left"/>
              <w:rPr>
                <w:rFonts w:ascii="Times New Roman" w:eastAsia="Times New Roman" w:hAnsi="Times New Roman" w:cs="Times New Roman"/>
                <w:kern w:val="0"/>
                <w:sz w:val="20"/>
                <w:szCs w:val="20"/>
              </w:rPr>
            </w:pPr>
          </w:p>
        </w:tc>
        <w:tc>
          <w:tcPr>
            <w:tcW w:w="1020" w:type="dxa"/>
            <w:shd w:val="clear" w:color="auto" w:fill="auto"/>
            <w:noWrap/>
            <w:vAlign w:val="center"/>
            <w:hideMark/>
          </w:tcPr>
          <w:p w:rsidR="00F5440D" w:rsidRPr="00F5440D" w:rsidRDefault="00F5440D" w:rsidP="00F5440D">
            <w:pPr>
              <w:widowControl/>
              <w:jc w:val="right"/>
              <w:rPr>
                <w:rFonts w:ascii="等线" w:eastAsia="等线" w:hAnsi="等线" w:cs="宋体"/>
                <w:color w:val="000000"/>
                <w:kern w:val="0"/>
                <w:sz w:val="22"/>
              </w:rPr>
            </w:pPr>
            <w:r w:rsidRPr="00F5440D">
              <w:rPr>
                <w:rFonts w:ascii="等线" w:eastAsia="等线" w:hAnsi="等线" w:cs="宋体" w:hint="eastAsia"/>
                <w:color w:val="000000"/>
                <w:kern w:val="0"/>
                <w:sz w:val="22"/>
              </w:rPr>
              <w:t>0.0150%</w:t>
            </w:r>
          </w:p>
        </w:tc>
      </w:tr>
    </w:tbl>
    <w:p w:rsidR="00F5440D" w:rsidRDefault="00F5440D"/>
    <w:p w:rsidR="00F5440D" w:rsidRDefault="00F5440D" w:rsidP="00C72659">
      <w:pPr>
        <w:ind w:firstLineChars="200" w:firstLine="420"/>
      </w:pPr>
      <w:r>
        <w:rPr>
          <w:rFonts w:hint="eastAsia"/>
        </w:rPr>
        <w:t>F</w:t>
      </w:r>
      <w:r>
        <w:t>rom the table, we found that loans created before 2008 start to default in a higher percentage while loans created after 2008 don’t. This means that the financial crisis in 2008 seemed to influence the loans greatly. And after 2010, the loss rate keeps stable and goes to normal level.</w:t>
      </w:r>
    </w:p>
    <w:p w:rsidR="00F5440D" w:rsidRDefault="00F5440D" w:rsidP="00C72659">
      <w:pPr>
        <w:ind w:firstLineChars="200" w:firstLine="420"/>
      </w:pPr>
      <w:r>
        <w:t xml:space="preserve">As for prediction, our group uses unemployment rate and CPI because the forecast for housing price is unavailable right now. We get those data from </w:t>
      </w:r>
      <w:proofErr w:type="spellStart"/>
      <w:r>
        <w:t>Goldmann</w:t>
      </w:r>
      <w:proofErr w:type="spellEnd"/>
      <w:r>
        <w:t xml:space="preserve"> </w:t>
      </w:r>
      <w:proofErr w:type="spellStart"/>
      <w:r>
        <w:t>Salch</w:t>
      </w:r>
      <w:proofErr w:type="spellEnd"/>
      <w:r>
        <w:t xml:space="preserve"> (Unemployment rate) and OECD (CPI). </w:t>
      </w:r>
      <w:r w:rsidR="00BC619D">
        <w:t>The prediction results show below.</w:t>
      </w:r>
    </w:p>
    <w:p w:rsidR="00BC619D" w:rsidRDefault="00BC619D" w:rsidP="00BC619D">
      <w:pPr>
        <w:jc w:val="center"/>
      </w:pPr>
      <w:r>
        <w:rPr>
          <w:rFonts w:hint="eastAsia"/>
        </w:rPr>
        <w:t>T</w:t>
      </w:r>
      <w:r>
        <w:t>able 2 Prediction using unemployment rate</w:t>
      </w:r>
    </w:p>
    <w:tbl>
      <w:tblPr>
        <w:tblW w:w="7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954"/>
        <w:gridCol w:w="1020"/>
        <w:gridCol w:w="1020"/>
        <w:gridCol w:w="1020"/>
        <w:gridCol w:w="1020"/>
        <w:gridCol w:w="1020"/>
      </w:tblGrid>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left"/>
              <w:rPr>
                <w:rFonts w:ascii="等线" w:eastAsia="等线" w:hAnsi="等线" w:cs="宋体"/>
                <w:color w:val="000000"/>
                <w:kern w:val="0"/>
                <w:sz w:val="22"/>
              </w:rPr>
            </w:pPr>
            <w:proofErr w:type="spellStart"/>
            <w:proofErr w:type="gramStart"/>
            <w:r w:rsidRPr="00BC619D">
              <w:rPr>
                <w:rFonts w:ascii="等线" w:eastAsia="等线" w:hAnsi="等线" w:cs="宋体" w:hint="eastAsia"/>
                <w:color w:val="000000"/>
                <w:kern w:val="0"/>
                <w:sz w:val="22"/>
              </w:rPr>
              <w:t>LossRate</w:t>
            </w:r>
            <w:proofErr w:type="spellEnd"/>
            <w:r w:rsidRPr="00BC619D">
              <w:rPr>
                <w:rFonts w:ascii="等线" w:eastAsia="等线" w:hAnsi="等线" w:cs="宋体" w:hint="eastAsia"/>
                <w:color w:val="000000"/>
                <w:kern w:val="0"/>
                <w:sz w:val="22"/>
              </w:rPr>
              <w:t>(</w:t>
            </w:r>
            <w:proofErr w:type="spellStart"/>
            <w:proofErr w:type="gramEnd"/>
            <w:r w:rsidRPr="00BC619D">
              <w:rPr>
                <w:rFonts w:ascii="等线" w:eastAsia="等线" w:hAnsi="等线" w:cs="宋体" w:hint="eastAsia"/>
                <w:color w:val="000000"/>
                <w:kern w:val="0"/>
                <w:sz w:val="22"/>
              </w:rPr>
              <w:t>Esti</w:t>
            </w:r>
            <w:proofErr w:type="spellEnd"/>
            <w:r w:rsidRPr="00BC619D">
              <w:rPr>
                <w:rFonts w:ascii="等线" w:eastAsia="等线" w:hAnsi="等线" w:cs="宋体" w:hint="eastAsia"/>
                <w:color w:val="000000"/>
                <w:kern w:val="0"/>
                <w:sz w:val="22"/>
              </w:rPr>
              <w:t>)</w:t>
            </w:r>
          </w:p>
        </w:tc>
        <w:tc>
          <w:tcPr>
            <w:tcW w:w="90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Y1</w:t>
            </w:r>
          </w:p>
        </w:tc>
        <w:tc>
          <w:tcPr>
            <w:tcW w:w="102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Y2</w:t>
            </w:r>
          </w:p>
        </w:tc>
        <w:tc>
          <w:tcPr>
            <w:tcW w:w="102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Y3</w:t>
            </w:r>
          </w:p>
        </w:tc>
        <w:tc>
          <w:tcPr>
            <w:tcW w:w="102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Y4</w:t>
            </w:r>
          </w:p>
        </w:tc>
        <w:tc>
          <w:tcPr>
            <w:tcW w:w="102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Y5</w:t>
            </w:r>
          </w:p>
        </w:tc>
        <w:tc>
          <w:tcPr>
            <w:tcW w:w="102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Y6</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2005</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0.1029%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0.2731%</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0.5207%</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1.2297%</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2.0748%</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1.7258%</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2006</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0.0861%</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0.6558%</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1.9857%</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3.2418%</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2.4826%</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1.6243%</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2007</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0.1579%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2.0647%</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4.0622%</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3.0673%</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2.2203%</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1.4605%</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2008</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0.5167%</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2.3029%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2.0319%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2.8294%</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1.9963%</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1.3429%</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2009</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0.0653%</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0.2392%</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2.7169%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2.5439%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1.8356%</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1.1274%</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2010</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0.0150%</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0.3318%</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2.4428%</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2.3392%</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1.5410%</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0.9529%</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Average</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0.1573%</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1.1735%</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2.2934%</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2.5419%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2.0251%</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1.3723%</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Loss/Q factor</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2.44%</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16.51%</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29.79%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31.02%</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24.35%</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17.81%</w:t>
            </w:r>
          </w:p>
        </w:tc>
      </w:tr>
    </w:tbl>
    <w:p w:rsidR="00BC619D" w:rsidRDefault="00BC619D" w:rsidP="00BC619D">
      <w:pPr>
        <w:jc w:val="center"/>
      </w:pPr>
      <w:r>
        <w:rPr>
          <w:rFonts w:hint="eastAsia"/>
        </w:rPr>
        <w:t>T</w:t>
      </w:r>
      <w:r>
        <w:t>able 3 Prediction using CPI</w:t>
      </w:r>
    </w:p>
    <w:tbl>
      <w:tblPr>
        <w:tblW w:w="7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954"/>
        <w:gridCol w:w="1020"/>
        <w:gridCol w:w="1020"/>
        <w:gridCol w:w="1020"/>
        <w:gridCol w:w="1020"/>
        <w:gridCol w:w="1020"/>
      </w:tblGrid>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left"/>
              <w:rPr>
                <w:rFonts w:ascii="等线" w:eastAsia="等线" w:hAnsi="等线" w:cs="宋体"/>
                <w:color w:val="000000"/>
                <w:kern w:val="0"/>
                <w:sz w:val="22"/>
              </w:rPr>
            </w:pPr>
            <w:proofErr w:type="spellStart"/>
            <w:proofErr w:type="gramStart"/>
            <w:r w:rsidRPr="00BC619D">
              <w:rPr>
                <w:rFonts w:ascii="等线" w:eastAsia="等线" w:hAnsi="等线" w:cs="宋体" w:hint="eastAsia"/>
                <w:color w:val="000000"/>
                <w:kern w:val="0"/>
                <w:sz w:val="22"/>
              </w:rPr>
              <w:t>LossRate</w:t>
            </w:r>
            <w:proofErr w:type="spellEnd"/>
            <w:r w:rsidRPr="00BC619D">
              <w:rPr>
                <w:rFonts w:ascii="等线" w:eastAsia="等线" w:hAnsi="等线" w:cs="宋体" w:hint="eastAsia"/>
                <w:color w:val="000000"/>
                <w:kern w:val="0"/>
                <w:sz w:val="22"/>
              </w:rPr>
              <w:t>(</w:t>
            </w:r>
            <w:proofErr w:type="spellStart"/>
            <w:proofErr w:type="gramEnd"/>
            <w:r w:rsidRPr="00BC619D">
              <w:rPr>
                <w:rFonts w:ascii="等线" w:eastAsia="等线" w:hAnsi="等线" w:cs="宋体" w:hint="eastAsia"/>
                <w:color w:val="000000"/>
                <w:kern w:val="0"/>
                <w:sz w:val="22"/>
              </w:rPr>
              <w:t>Esti</w:t>
            </w:r>
            <w:proofErr w:type="spellEnd"/>
            <w:r w:rsidRPr="00BC619D">
              <w:rPr>
                <w:rFonts w:ascii="等线" w:eastAsia="等线" w:hAnsi="等线" w:cs="宋体" w:hint="eastAsia"/>
                <w:color w:val="000000"/>
                <w:kern w:val="0"/>
                <w:sz w:val="22"/>
              </w:rPr>
              <w:t>)</w:t>
            </w:r>
          </w:p>
        </w:tc>
        <w:tc>
          <w:tcPr>
            <w:tcW w:w="90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Y1</w:t>
            </w:r>
          </w:p>
        </w:tc>
        <w:tc>
          <w:tcPr>
            <w:tcW w:w="102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Y2</w:t>
            </w:r>
          </w:p>
        </w:tc>
        <w:tc>
          <w:tcPr>
            <w:tcW w:w="102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Y3</w:t>
            </w:r>
          </w:p>
        </w:tc>
        <w:tc>
          <w:tcPr>
            <w:tcW w:w="102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Y4</w:t>
            </w:r>
          </w:p>
        </w:tc>
        <w:tc>
          <w:tcPr>
            <w:tcW w:w="102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Y5</w:t>
            </w:r>
          </w:p>
        </w:tc>
        <w:tc>
          <w:tcPr>
            <w:tcW w:w="102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Y6</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2005</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0.1029%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0.2731%</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0.5207%</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1.2297%</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2.0748%</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1.7258%</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2006</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0.0861%</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0.6558%</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1.9857%</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3.2418%</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2.4826%</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0.5593%</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2007</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0.1579%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2.0647%</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4.0622%</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3.0673%</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0.7644%</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0.3687%</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2008</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0.5167%</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2.3029%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2.0319%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0.9741%</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0.5039%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0.2618%</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2009</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0.0653%</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0.2392%</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0.9354%</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0.6422%</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0.3579%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0.2885%</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2010</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0.0150%</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0.3707%</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0.6167%</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0.4560%</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0.3944%</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0.0214%</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Average</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0.1573%</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1.1813%</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2.3704%</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2.8958%</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5.6849%</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1.7644%</w:t>
            </w:r>
          </w:p>
        </w:tc>
      </w:tr>
      <w:tr w:rsidR="00BC619D" w:rsidRPr="00BC619D" w:rsidTr="00BC619D">
        <w:trPr>
          <w:trHeight w:val="280"/>
          <w:jc w:val="center"/>
        </w:trPr>
        <w:tc>
          <w:tcPr>
            <w:tcW w:w="142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Loss/Q factor</w:t>
            </w:r>
          </w:p>
        </w:tc>
        <w:tc>
          <w:tcPr>
            <w:tcW w:w="90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6.47%</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49.43%</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107.91%</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147.24%</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356.05%</w:t>
            </w:r>
          </w:p>
        </w:tc>
        <w:tc>
          <w:tcPr>
            <w:tcW w:w="102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105.23%</w:t>
            </w:r>
          </w:p>
        </w:tc>
      </w:tr>
    </w:tbl>
    <w:p w:rsidR="00BC619D" w:rsidRDefault="00BC619D"/>
    <w:p w:rsidR="00BC619D" w:rsidRDefault="00BC619D">
      <w:pPr>
        <w:widowControl/>
        <w:jc w:val="left"/>
      </w:pPr>
      <w:r>
        <w:br w:type="page"/>
      </w:r>
    </w:p>
    <w:p w:rsidR="00BC619D" w:rsidRDefault="00BC619D" w:rsidP="00BC619D">
      <w:pPr>
        <w:jc w:val="center"/>
      </w:pPr>
      <w:r>
        <w:rPr>
          <w:rFonts w:hint="eastAsia"/>
        </w:rPr>
        <w:lastRenderedPageBreak/>
        <w:t>T</w:t>
      </w:r>
      <w:r>
        <w:t>able 4 Difference between prediction</w:t>
      </w:r>
      <w:r w:rsidR="00C72659">
        <w:t xml:space="preserve"> using unemployment rate</w:t>
      </w:r>
      <w:r>
        <w:t xml:space="preserve"> and actual values</w: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50"/>
        <w:gridCol w:w="851"/>
        <w:gridCol w:w="850"/>
        <w:gridCol w:w="851"/>
        <w:gridCol w:w="992"/>
        <w:gridCol w:w="992"/>
      </w:tblGrid>
      <w:tr w:rsidR="00BC619D" w:rsidRPr="00BC619D" w:rsidTr="00BC619D">
        <w:trPr>
          <w:trHeight w:val="280"/>
          <w:jc w:val="center"/>
        </w:trPr>
        <w:tc>
          <w:tcPr>
            <w:tcW w:w="1413" w:type="dxa"/>
            <w:shd w:val="clear" w:color="auto" w:fill="auto"/>
            <w:noWrap/>
            <w:vAlign w:val="center"/>
            <w:hideMark/>
          </w:tcPr>
          <w:p w:rsidR="00BC619D" w:rsidRPr="00BC619D" w:rsidRDefault="00BC619D" w:rsidP="00BC619D">
            <w:pPr>
              <w:widowControl/>
              <w:jc w:val="left"/>
              <w:rPr>
                <w:rFonts w:ascii="等线" w:eastAsia="等线" w:hAnsi="等线" w:cs="宋体"/>
                <w:color w:val="000000"/>
                <w:kern w:val="0"/>
                <w:sz w:val="22"/>
              </w:rPr>
            </w:pPr>
            <w:r w:rsidRPr="00BC619D">
              <w:rPr>
                <w:rFonts w:ascii="等线" w:eastAsia="等线" w:hAnsi="等线" w:cs="宋体" w:hint="eastAsia"/>
                <w:color w:val="000000"/>
                <w:kern w:val="0"/>
                <w:sz w:val="22"/>
              </w:rPr>
              <w:t>Diff</w:t>
            </w:r>
          </w:p>
        </w:tc>
        <w:tc>
          <w:tcPr>
            <w:tcW w:w="85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Y1</w:t>
            </w:r>
          </w:p>
        </w:tc>
        <w:tc>
          <w:tcPr>
            <w:tcW w:w="851"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Y2</w:t>
            </w:r>
          </w:p>
        </w:tc>
        <w:tc>
          <w:tcPr>
            <w:tcW w:w="85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Y3</w:t>
            </w:r>
          </w:p>
        </w:tc>
        <w:tc>
          <w:tcPr>
            <w:tcW w:w="851"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Y4</w:t>
            </w:r>
          </w:p>
        </w:tc>
        <w:tc>
          <w:tcPr>
            <w:tcW w:w="992"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Y5</w:t>
            </w:r>
          </w:p>
        </w:tc>
        <w:tc>
          <w:tcPr>
            <w:tcW w:w="992"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Y6</w:t>
            </w:r>
          </w:p>
        </w:tc>
      </w:tr>
      <w:tr w:rsidR="00BC619D" w:rsidRPr="00BC619D" w:rsidTr="00BC619D">
        <w:trPr>
          <w:trHeight w:val="280"/>
          <w:jc w:val="center"/>
        </w:trPr>
        <w:tc>
          <w:tcPr>
            <w:tcW w:w="1413"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2005</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r>
      <w:tr w:rsidR="00BC619D" w:rsidRPr="00BC619D" w:rsidTr="00BC619D">
        <w:trPr>
          <w:trHeight w:val="280"/>
          <w:jc w:val="center"/>
        </w:trPr>
        <w:tc>
          <w:tcPr>
            <w:tcW w:w="1413"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2006</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FF0000"/>
                <w:kern w:val="0"/>
                <w:sz w:val="22"/>
              </w:rPr>
            </w:pPr>
            <w:r w:rsidRPr="00BC619D">
              <w:rPr>
                <w:rFonts w:ascii="等线" w:eastAsia="等线" w:hAnsi="等线" w:cs="宋体" w:hint="eastAsia"/>
                <w:color w:val="FF0000"/>
                <w:kern w:val="0"/>
                <w:sz w:val="22"/>
              </w:rPr>
              <w:t>-0.226%</w:t>
            </w:r>
          </w:p>
        </w:tc>
      </w:tr>
      <w:tr w:rsidR="00BC619D" w:rsidRPr="00BC619D" w:rsidTr="00BC619D">
        <w:trPr>
          <w:trHeight w:val="280"/>
          <w:jc w:val="center"/>
        </w:trPr>
        <w:tc>
          <w:tcPr>
            <w:tcW w:w="1413"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2007</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FF0000"/>
                <w:kern w:val="0"/>
                <w:sz w:val="22"/>
              </w:rPr>
              <w:t>-0.105%</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FF0000"/>
                <w:kern w:val="0"/>
                <w:sz w:val="22"/>
              </w:rPr>
            </w:pPr>
            <w:r w:rsidRPr="00BC619D">
              <w:rPr>
                <w:rFonts w:ascii="等线" w:eastAsia="等线" w:hAnsi="等线" w:cs="宋体" w:hint="eastAsia"/>
                <w:color w:val="FF0000"/>
                <w:kern w:val="0"/>
                <w:sz w:val="22"/>
              </w:rPr>
              <w:t>-0.084%</w:t>
            </w:r>
          </w:p>
        </w:tc>
      </w:tr>
      <w:tr w:rsidR="00BC619D" w:rsidRPr="00BC619D" w:rsidTr="00BC619D">
        <w:trPr>
          <w:trHeight w:val="280"/>
          <w:jc w:val="center"/>
        </w:trPr>
        <w:tc>
          <w:tcPr>
            <w:tcW w:w="1413"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2008</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1.291%</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1.005%</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0.795%</w:t>
            </w:r>
          </w:p>
        </w:tc>
      </w:tr>
      <w:tr w:rsidR="00BC619D" w:rsidRPr="00BC619D" w:rsidTr="00BC619D">
        <w:trPr>
          <w:trHeight w:val="280"/>
          <w:jc w:val="center"/>
        </w:trPr>
        <w:tc>
          <w:tcPr>
            <w:tcW w:w="1413"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2009</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2.412%</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2.271%</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1.642%</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0.973%</w:t>
            </w:r>
          </w:p>
        </w:tc>
      </w:tr>
      <w:tr w:rsidR="00BC619D" w:rsidRPr="00BC619D" w:rsidTr="00BC619D">
        <w:trPr>
          <w:trHeight w:val="280"/>
          <w:jc w:val="center"/>
        </w:trPr>
        <w:tc>
          <w:tcPr>
            <w:tcW w:w="1413"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2010</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0.232%</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2.301%</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2.217%</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1.427%</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0.853%</w:t>
            </w:r>
          </w:p>
        </w:tc>
      </w:tr>
      <w:tr w:rsidR="00BC619D" w:rsidRPr="00BC619D" w:rsidTr="00BC619D">
        <w:trPr>
          <w:trHeight w:val="280"/>
          <w:jc w:val="center"/>
        </w:trPr>
        <w:tc>
          <w:tcPr>
            <w:tcW w:w="1413"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Average</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0.039%</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0.786%</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0.963%</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0.662%</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0.385%</w:t>
            </w:r>
          </w:p>
        </w:tc>
      </w:tr>
    </w:tbl>
    <w:p w:rsidR="00BC619D" w:rsidRDefault="00BC619D" w:rsidP="00BC619D">
      <w:pPr>
        <w:jc w:val="center"/>
        <w:rPr>
          <w:rFonts w:hint="eastAsia"/>
        </w:rPr>
      </w:pPr>
      <w:r>
        <w:rPr>
          <w:rFonts w:hint="eastAsia"/>
        </w:rPr>
        <w:t>T</w:t>
      </w:r>
      <w:r>
        <w:t>able 5 Difference between prediction using CPI and actual values</w:t>
      </w:r>
    </w:p>
    <w:tbl>
      <w:tblPr>
        <w:tblW w:w="6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38"/>
        <w:gridCol w:w="851"/>
        <w:gridCol w:w="850"/>
        <w:gridCol w:w="992"/>
        <w:gridCol w:w="993"/>
        <w:gridCol w:w="992"/>
      </w:tblGrid>
      <w:tr w:rsidR="00BC619D" w:rsidRPr="00BC619D" w:rsidTr="00BC619D">
        <w:trPr>
          <w:trHeight w:val="280"/>
          <w:jc w:val="center"/>
        </w:trPr>
        <w:tc>
          <w:tcPr>
            <w:tcW w:w="1276" w:type="dxa"/>
            <w:shd w:val="clear" w:color="auto" w:fill="auto"/>
            <w:noWrap/>
            <w:vAlign w:val="center"/>
            <w:hideMark/>
          </w:tcPr>
          <w:p w:rsidR="00BC619D" w:rsidRPr="00BC619D" w:rsidRDefault="00BC619D" w:rsidP="00BC619D">
            <w:pPr>
              <w:widowControl/>
              <w:jc w:val="left"/>
              <w:rPr>
                <w:rFonts w:ascii="等线" w:eastAsia="等线" w:hAnsi="等线" w:cs="宋体"/>
                <w:color w:val="000000"/>
                <w:kern w:val="0"/>
                <w:sz w:val="22"/>
              </w:rPr>
            </w:pPr>
            <w:r w:rsidRPr="00BC619D">
              <w:rPr>
                <w:rFonts w:ascii="等线" w:eastAsia="等线" w:hAnsi="等线" w:cs="宋体" w:hint="eastAsia"/>
                <w:color w:val="000000"/>
                <w:kern w:val="0"/>
                <w:sz w:val="22"/>
              </w:rPr>
              <w:t>Diff</w:t>
            </w:r>
          </w:p>
        </w:tc>
        <w:tc>
          <w:tcPr>
            <w:tcW w:w="838"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Y1</w:t>
            </w:r>
          </w:p>
        </w:tc>
        <w:tc>
          <w:tcPr>
            <w:tcW w:w="851"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Y2</w:t>
            </w:r>
          </w:p>
        </w:tc>
        <w:tc>
          <w:tcPr>
            <w:tcW w:w="850"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Y3</w:t>
            </w:r>
          </w:p>
        </w:tc>
        <w:tc>
          <w:tcPr>
            <w:tcW w:w="992"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Y4</w:t>
            </w:r>
          </w:p>
        </w:tc>
        <w:tc>
          <w:tcPr>
            <w:tcW w:w="993"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Y5</w:t>
            </w:r>
          </w:p>
        </w:tc>
        <w:tc>
          <w:tcPr>
            <w:tcW w:w="992"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Y6</w:t>
            </w:r>
          </w:p>
        </w:tc>
      </w:tr>
      <w:tr w:rsidR="00BC619D" w:rsidRPr="00BC619D" w:rsidTr="00BC619D">
        <w:trPr>
          <w:trHeight w:val="280"/>
          <w:jc w:val="center"/>
        </w:trPr>
        <w:tc>
          <w:tcPr>
            <w:tcW w:w="1276"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2005</w:t>
            </w:r>
          </w:p>
        </w:tc>
        <w:tc>
          <w:tcPr>
            <w:tcW w:w="838"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993"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r>
      <w:tr w:rsidR="00BC619D" w:rsidRPr="00BC619D" w:rsidTr="00BC619D">
        <w:trPr>
          <w:trHeight w:val="280"/>
          <w:jc w:val="center"/>
        </w:trPr>
        <w:tc>
          <w:tcPr>
            <w:tcW w:w="1276"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2006</w:t>
            </w:r>
          </w:p>
        </w:tc>
        <w:tc>
          <w:tcPr>
            <w:tcW w:w="838"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993"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FF0000"/>
                <w:kern w:val="0"/>
                <w:sz w:val="22"/>
              </w:rPr>
              <w:t>-1.291%</w:t>
            </w:r>
          </w:p>
        </w:tc>
      </w:tr>
      <w:tr w:rsidR="00BC619D" w:rsidRPr="00BC619D" w:rsidTr="00BC619D">
        <w:trPr>
          <w:trHeight w:val="280"/>
          <w:jc w:val="center"/>
        </w:trPr>
        <w:tc>
          <w:tcPr>
            <w:tcW w:w="1276"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2007</w:t>
            </w:r>
          </w:p>
        </w:tc>
        <w:tc>
          <w:tcPr>
            <w:tcW w:w="838"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993"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FF0000"/>
                <w:kern w:val="0"/>
                <w:sz w:val="22"/>
              </w:rPr>
            </w:pPr>
            <w:r w:rsidRPr="00BC619D">
              <w:rPr>
                <w:rFonts w:ascii="等线" w:eastAsia="等线" w:hAnsi="等线" w:cs="宋体" w:hint="eastAsia"/>
                <w:color w:val="FF0000"/>
                <w:kern w:val="0"/>
                <w:sz w:val="22"/>
              </w:rPr>
              <w:t>-1.561%</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FF0000"/>
                <w:kern w:val="0"/>
                <w:sz w:val="22"/>
              </w:rPr>
            </w:pPr>
            <w:r w:rsidRPr="00BC619D">
              <w:rPr>
                <w:rFonts w:ascii="等线" w:eastAsia="等线" w:hAnsi="等线" w:cs="宋体" w:hint="eastAsia"/>
                <w:color w:val="FF0000"/>
                <w:kern w:val="0"/>
                <w:sz w:val="22"/>
              </w:rPr>
              <w:t>-1.176%</w:t>
            </w:r>
          </w:p>
        </w:tc>
      </w:tr>
      <w:tr w:rsidR="00BC619D" w:rsidRPr="00BC619D" w:rsidTr="00BC619D">
        <w:trPr>
          <w:trHeight w:val="280"/>
          <w:jc w:val="center"/>
        </w:trPr>
        <w:tc>
          <w:tcPr>
            <w:tcW w:w="1276"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2008</w:t>
            </w:r>
          </w:p>
        </w:tc>
        <w:tc>
          <w:tcPr>
            <w:tcW w:w="838"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FF0000"/>
                <w:kern w:val="0"/>
                <w:sz w:val="22"/>
              </w:rPr>
            </w:pPr>
            <w:r w:rsidRPr="00BC619D">
              <w:rPr>
                <w:rFonts w:ascii="等线" w:eastAsia="等线" w:hAnsi="等线" w:cs="宋体" w:hint="eastAsia"/>
                <w:color w:val="FF0000"/>
                <w:kern w:val="0"/>
                <w:sz w:val="22"/>
              </w:rPr>
              <w:t>-0.564%</w:t>
            </w:r>
          </w:p>
        </w:tc>
        <w:tc>
          <w:tcPr>
            <w:tcW w:w="993"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FF0000"/>
                <w:kern w:val="0"/>
                <w:sz w:val="22"/>
              </w:rPr>
            </w:pPr>
            <w:r w:rsidRPr="00BC619D">
              <w:rPr>
                <w:rFonts w:ascii="等线" w:eastAsia="等线" w:hAnsi="等线" w:cs="宋体" w:hint="eastAsia"/>
                <w:color w:val="FF0000"/>
                <w:kern w:val="0"/>
                <w:sz w:val="22"/>
              </w:rPr>
              <w:t>-0.487%</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FF0000"/>
                <w:kern w:val="0"/>
                <w:sz w:val="22"/>
              </w:rPr>
            </w:pPr>
            <w:r w:rsidRPr="00BC619D">
              <w:rPr>
                <w:rFonts w:ascii="等线" w:eastAsia="等线" w:hAnsi="等线" w:cs="宋体" w:hint="eastAsia"/>
                <w:color w:val="FF0000"/>
                <w:kern w:val="0"/>
                <w:sz w:val="22"/>
              </w:rPr>
              <w:t>-0.286%</w:t>
            </w:r>
          </w:p>
        </w:tc>
      </w:tr>
      <w:tr w:rsidR="00BC619D" w:rsidRPr="00BC619D" w:rsidTr="00BC619D">
        <w:trPr>
          <w:trHeight w:val="280"/>
          <w:jc w:val="center"/>
        </w:trPr>
        <w:tc>
          <w:tcPr>
            <w:tcW w:w="1276"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2009</w:t>
            </w:r>
          </w:p>
        </w:tc>
        <w:tc>
          <w:tcPr>
            <w:tcW w:w="838"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0.631%</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0.370%</w:t>
            </w:r>
          </w:p>
        </w:tc>
        <w:tc>
          <w:tcPr>
            <w:tcW w:w="993"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0.165%</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0.134%</w:t>
            </w:r>
          </w:p>
        </w:tc>
      </w:tr>
      <w:tr w:rsidR="00BC619D" w:rsidRPr="00BC619D" w:rsidTr="00BC619D">
        <w:trPr>
          <w:trHeight w:val="280"/>
          <w:jc w:val="center"/>
        </w:trPr>
        <w:tc>
          <w:tcPr>
            <w:tcW w:w="1276"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2010</w:t>
            </w:r>
          </w:p>
        </w:tc>
        <w:tc>
          <w:tcPr>
            <w:tcW w:w="838"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0.271%</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0.475%</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0.333%</w:t>
            </w:r>
          </w:p>
        </w:tc>
        <w:tc>
          <w:tcPr>
            <w:tcW w:w="993"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B050"/>
                <w:kern w:val="0"/>
                <w:sz w:val="22"/>
              </w:rPr>
            </w:pPr>
            <w:r w:rsidRPr="00BC619D">
              <w:rPr>
                <w:rFonts w:ascii="等线" w:eastAsia="等线" w:hAnsi="等线" w:cs="宋体" w:hint="eastAsia"/>
                <w:color w:val="00B050"/>
                <w:kern w:val="0"/>
                <w:sz w:val="22"/>
              </w:rPr>
              <w:t>0.280%</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FF0000"/>
                <w:kern w:val="0"/>
                <w:sz w:val="22"/>
              </w:rPr>
              <w:t>-0.078%</w:t>
            </w:r>
          </w:p>
        </w:tc>
      </w:tr>
      <w:tr w:rsidR="00BC619D" w:rsidRPr="00BC619D" w:rsidTr="00BC619D">
        <w:trPr>
          <w:trHeight w:val="280"/>
          <w:jc w:val="center"/>
        </w:trPr>
        <w:tc>
          <w:tcPr>
            <w:tcW w:w="1276" w:type="dxa"/>
            <w:shd w:val="clear" w:color="auto" w:fill="auto"/>
            <w:noWrap/>
            <w:vAlign w:val="center"/>
            <w:hideMark/>
          </w:tcPr>
          <w:p w:rsidR="00BC619D" w:rsidRPr="00BC619D" w:rsidRDefault="00BC619D" w:rsidP="00BC619D">
            <w:pPr>
              <w:widowControl/>
              <w:jc w:val="left"/>
              <w:rPr>
                <w:rFonts w:ascii="等线" w:eastAsia="等线" w:hAnsi="等线" w:cs="宋体" w:hint="eastAsia"/>
                <w:color w:val="000000"/>
                <w:kern w:val="0"/>
                <w:sz w:val="22"/>
              </w:rPr>
            </w:pPr>
            <w:r w:rsidRPr="00BC619D">
              <w:rPr>
                <w:rFonts w:ascii="等线" w:eastAsia="等线" w:hAnsi="等线" w:cs="宋体" w:hint="eastAsia"/>
                <w:color w:val="000000"/>
                <w:kern w:val="0"/>
                <w:sz w:val="22"/>
              </w:rPr>
              <w:t>Average</w:t>
            </w:r>
          </w:p>
        </w:tc>
        <w:tc>
          <w:tcPr>
            <w:tcW w:w="838"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0.000%</w:t>
            </w:r>
          </w:p>
        </w:tc>
        <w:tc>
          <w:tcPr>
            <w:tcW w:w="851"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0.045%</w:t>
            </w:r>
          </w:p>
        </w:tc>
        <w:tc>
          <w:tcPr>
            <w:tcW w:w="850"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0.184%</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0.023%</w:t>
            </w:r>
          </w:p>
        </w:tc>
        <w:tc>
          <w:tcPr>
            <w:tcW w:w="993"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-0.267%</w:t>
            </w:r>
          </w:p>
        </w:tc>
        <w:tc>
          <w:tcPr>
            <w:tcW w:w="992" w:type="dxa"/>
            <w:shd w:val="clear" w:color="auto" w:fill="auto"/>
            <w:noWrap/>
            <w:vAlign w:val="center"/>
            <w:hideMark/>
          </w:tcPr>
          <w:p w:rsidR="00BC619D" w:rsidRPr="00BC619D" w:rsidRDefault="00BC619D" w:rsidP="00BC619D">
            <w:pPr>
              <w:widowControl/>
              <w:jc w:val="right"/>
              <w:rPr>
                <w:rFonts w:ascii="等线" w:eastAsia="等线" w:hAnsi="等线" w:cs="宋体" w:hint="eastAsia"/>
                <w:color w:val="000000"/>
                <w:kern w:val="0"/>
                <w:sz w:val="22"/>
              </w:rPr>
            </w:pPr>
            <w:r w:rsidRPr="00BC619D">
              <w:rPr>
                <w:rFonts w:ascii="等线" w:eastAsia="等线" w:hAnsi="等线" w:cs="宋体" w:hint="eastAsia"/>
                <w:color w:val="000000"/>
                <w:kern w:val="0"/>
                <w:sz w:val="22"/>
              </w:rPr>
              <w:t>-0.450%</w:t>
            </w:r>
          </w:p>
        </w:tc>
      </w:tr>
    </w:tbl>
    <w:p w:rsidR="00BC619D" w:rsidRDefault="00BC619D">
      <w:pPr>
        <w:rPr>
          <w:rFonts w:hint="eastAsia"/>
        </w:rPr>
      </w:pPr>
    </w:p>
    <w:p w:rsidR="00BC619D" w:rsidRDefault="00BC619D" w:rsidP="00C72659">
      <w:pPr>
        <w:ind w:firstLineChars="200" w:firstLine="420"/>
      </w:pPr>
      <w:r>
        <w:rPr>
          <w:rFonts w:hint="eastAsia"/>
        </w:rPr>
        <w:t>O</w:t>
      </w:r>
      <w:r>
        <w:t xml:space="preserve">verall, the predictions using unemployment are mostly higher than the actual values except for 3 predictions. </w:t>
      </w:r>
      <w:r w:rsidR="00C72659">
        <w:t xml:space="preserve">That means using unemployment rate to predict tends to give a higher loss rate. </w:t>
      </w:r>
      <w:r>
        <w:t xml:space="preserve">But as for the predictions using CPI, it </w:t>
      </w:r>
      <w:r w:rsidR="00152A06">
        <w:t>looks like</w:t>
      </w:r>
      <w:r>
        <w:t xml:space="preserve"> half to half</w:t>
      </w:r>
      <w:r w:rsidR="00C72659">
        <w:t xml:space="preserve"> comparing to the unemployment group. And in 2011 and 2012, if we prepared the loan loss reserves according to the prediction using CPI, probably it would be smaller than the actual loss and cause a decline in revenue</w:t>
      </w:r>
      <w:bookmarkStart w:id="0" w:name="_GoBack"/>
      <w:bookmarkEnd w:id="0"/>
      <w:r w:rsidR="00C72659">
        <w:t>.</w:t>
      </w:r>
    </w:p>
    <w:p w:rsidR="00C72659" w:rsidRDefault="00C72659" w:rsidP="00C72659">
      <w:pPr>
        <w:ind w:firstLineChars="200" w:firstLine="420"/>
      </w:pPr>
      <w:r>
        <w:t>In summary, according to our results, we have two conclusions for the loan data from 2005 to 2010:</w:t>
      </w:r>
    </w:p>
    <w:p w:rsidR="00C72659" w:rsidRDefault="00C72659" w:rsidP="00C72659">
      <w:pPr>
        <w:pStyle w:val="a3"/>
        <w:numPr>
          <w:ilvl w:val="0"/>
          <w:numId w:val="2"/>
        </w:numPr>
        <w:ind w:firstLineChars="0"/>
      </w:pPr>
      <w:r>
        <w:rPr>
          <w:rFonts w:hint="eastAsia"/>
        </w:rPr>
        <w:t>F</w:t>
      </w:r>
      <w:r>
        <w:t>inancial crisis in 2008 did hit the loan market and raised the loss rate from 2008 to 2010.</w:t>
      </w:r>
    </w:p>
    <w:p w:rsidR="00C72659" w:rsidRPr="00C72659" w:rsidRDefault="00C72659" w:rsidP="00C72659">
      <w:pPr>
        <w:pStyle w:val="a3"/>
        <w:numPr>
          <w:ilvl w:val="0"/>
          <w:numId w:val="2"/>
        </w:numPr>
        <w:ind w:firstLineChars="0"/>
        <w:rPr>
          <w:rFonts w:hint="eastAsia"/>
        </w:rPr>
      </w:pPr>
      <w:r>
        <w:rPr>
          <w:rFonts w:hint="eastAsia"/>
        </w:rPr>
        <w:t>A</w:t>
      </w:r>
      <w:r>
        <w:t>ccording to the performance, it would be better to use unemployment rate to predict the loss rate.</w:t>
      </w:r>
    </w:p>
    <w:sectPr w:rsidR="00C72659" w:rsidRPr="00C726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8518A"/>
    <w:multiLevelType w:val="hybridMultilevel"/>
    <w:tmpl w:val="2758C342"/>
    <w:lvl w:ilvl="0" w:tplc="1BA61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ED6539"/>
    <w:multiLevelType w:val="hybridMultilevel"/>
    <w:tmpl w:val="35207F52"/>
    <w:lvl w:ilvl="0" w:tplc="7E7E3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0D"/>
    <w:rsid w:val="00152A06"/>
    <w:rsid w:val="001E004C"/>
    <w:rsid w:val="00BC619D"/>
    <w:rsid w:val="00C72659"/>
    <w:rsid w:val="00F54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CA39"/>
  <w15:chartTrackingRefBased/>
  <w15:docId w15:val="{EB545052-F342-4949-938B-C1A45755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26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390908">
      <w:bodyDiv w:val="1"/>
      <w:marLeft w:val="0"/>
      <w:marRight w:val="0"/>
      <w:marTop w:val="0"/>
      <w:marBottom w:val="0"/>
      <w:divBdr>
        <w:top w:val="none" w:sz="0" w:space="0" w:color="auto"/>
        <w:left w:val="none" w:sz="0" w:space="0" w:color="auto"/>
        <w:bottom w:val="none" w:sz="0" w:space="0" w:color="auto"/>
        <w:right w:val="none" w:sz="0" w:space="0" w:color="auto"/>
      </w:divBdr>
    </w:div>
    <w:div w:id="1453548956">
      <w:bodyDiv w:val="1"/>
      <w:marLeft w:val="0"/>
      <w:marRight w:val="0"/>
      <w:marTop w:val="0"/>
      <w:marBottom w:val="0"/>
      <w:divBdr>
        <w:top w:val="none" w:sz="0" w:space="0" w:color="auto"/>
        <w:left w:val="none" w:sz="0" w:space="0" w:color="auto"/>
        <w:bottom w:val="none" w:sz="0" w:space="0" w:color="auto"/>
        <w:right w:val="none" w:sz="0" w:space="0" w:color="auto"/>
      </w:divBdr>
    </w:div>
    <w:div w:id="1762989464">
      <w:bodyDiv w:val="1"/>
      <w:marLeft w:val="0"/>
      <w:marRight w:val="0"/>
      <w:marTop w:val="0"/>
      <w:marBottom w:val="0"/>
      <w:divBdr>
        <w:top w:val="none" w:sz="0" w:space="0" w:color="auto"/>
        <w:left w:val="none" w:sz="0" w:space="0" w:color="auto"/>
        <w:bottom w:val="none" w:sz="0" w:space="0" w:color="auto"/>
        <w:right w:val="none" w:sz="0" w:space="0" w:color="auto"/>
      </w:divBdr>
    </w:div>
    <w:div w:id="1764109537">
      <w:bodyDiv w:val="1"/>
      <w:marLeft w:val="0"/>
      <w:marRight w:val="0"/>
      <w:marTop w:val="0"/>
      <w:marBottom w:val="0"/>
      <w:divBdr>
        <w:top w:val="none" w:sz="0" w:space="0" w:color="auto"/>
        <w:left w:val="none" w:sz="0" w:space="0" w:color="auto"/>
        <w:bottom w:val="none" w:sz="0" w:space="0" w:color="auto"/>
        <w:right w:val="none" w:sz="0" w:space="0" w:color="auto"/>
      </w:divBdr>
    </w:div>
    <w:div w:id="194499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天宇</dc:creator>
  <cp:keywords/>
  <dc:description/>
  <cp:lastModifiedBy>程 天宇</cp:lastModifiedBy>
  <cp:revision>1</cp:revision>
  <dcterms:created xsi:type="dcterms:W3CDTF">2019-10-22T01:30:00Z</dcterms:created>
  <dcterms:modified xsi:type="dcterms:W3CDTF">2019-10-22T02:01:00Z</dcterms:modified>
</cp:coreProperties>
</file>