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1ECE0"/>
  <w:body>
    <w:p>
      <w:pPr>
        <w:spacing w:after="40"/>
      </w:pPr>
      <w:r>
        <w:rPr>
          <w:rFonts w:ascii="Inter" w:hAnsi="Inter" w:eastAsia="Inter" w:cs="Inter"/>
          <w:b/>
          <w:i w:val="0"/>
          <w:color w:val="A8A08F"/>
          <w:sz w:val="16"/>
        </w:rPr>
        <w:t>MOMENTRA · 2026</w:t>
      </w:r>
    </w:p>
    <w:p>
      <w:pPr>
        <w:spacing w:after="160" w:before="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68"/>
        </w:rPr>
        <w:t>Architecture</w:t>
      </w:r>
    </w:p>
    <w:p>
      <w:pPr>
        <w:pBdr>
          <w:bottom w:val="single" w:sz="6" w:space="1" w:color="D6CFBF"/>
        </w:pBdr>
      </w:pP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2"/>
        </w:rPr>
        <w:t>Momentra is a classic three-tier app: a single-page React client, a stateless Express REST API, and PostgreSQL. Media bytes live in object storage (local filesystem in the demo, S3 in production) so the API never proxies large files.</w:t>
      </w:r>
    </w:p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High-level system</w:t>
      </w:r>
    </w:p>
    <w:p>
      <w:pPr>
        <w:spacing w:before="120" w:after="120"/>
        <w:shd w:val="clear" w:fill="F1ECE0"/>
      </w:pPr>
      <w:r>
        <w:rPr>
          <w:rFonts w:ascii="Consolas" w:hAnsi="Consolas" w:eastAsia="Consolas" w:cs="Consolas"/>
          <w:b w:val="0"/>
          <w:i w:val="0"/>
          <w:color w:val="1D1A14"/>
          <w:sz w:val="20"/>
        </w:rPr>
        <w:t xml:space="preserve">   Browser  ──HTTPS──►   React SPA   ──REST──►   Express API   ──SQL──►   PostgreSQL</w:t>
        <w:br/>
        <w:t xml:space="preserve">                          (Vite + TS)             (Node 20)                  (16)</w:t>
        <w:br/>
        <w:t xml:space="preserve">                                                       │</w:t>
        <w:br/>
        <w:t xml:space="preserve">                                                       └──fs / sdk──►  uploads/  or  S3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2"/>
        </w:rPr>
        <w:t>Stateless API. Horizontal scale path is clear. The storage layer is a four-function abstraction (uploadFile, getFileBuffer, deleteFiles, getMediaUrl) — swapping the filesystem for S3 is a one-file change.</w:t>
      </w:r>
    </w:p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Upload request lifecycle</w:t>
      </w:r>
    </w:p>
    <w:p>
      <w:pPr>
        <w:spacing w:before="120" w:after="120"/>
        <w:shd w:val="clear" w:fill="F1ECE0"/>
      </w:pPr>
      <w:r>
        <w:rPr>
          <w:rFonts w:ascii="Consolas" w:hAnsi="Consolas" w:eastAsia="Consolas" w:cs="Consolas"/>
          <w:b w:val="0"/>
          <w:i w:val="0"/>
          <w:color w:val="1D1A14"/>
          <w:sz w:val="20"/>
        </w:rPr>
        <w:t xml:space="preserve">  1. drag-and-drop in DropZone           →  client-side compress + preview</w:t>
        <w:br/>
        <w:t xml:space="preserve">  2. POST /api/events/:id/media          →  multipart, up to 50 files</w:t>
        <w:br/>
        <w:t xml:space="preserve">  3. requireAuth + club role check       →  middleware</w:t>
        <w:br/>
        <w:t xml:space="preserve">  4. MIME sniff via buffer magic bytes   →  reject mismatched Content-Type</w:t>
        <w:br/>
        <w:t xml:space="preserve">  5. Sharp → original + compressed       →  + 200px thumb + 600px thumb</w:t>
        <w:br/>
        <w:t xml:space="preserve">  6. write to storage                    →  uploads/&lt;event&gt;/&lt;id&gt;.*</w:t>
        <w:br/>
        <w:t xml:space="preserve">  7. INSERT media rows in one tx         →  Prisma transaction</w:t>
        <w:br/>
        <w:t xml:space="preserve">  8. respond 201 { media: [...] }        →  client updates query cache</w:t>
      </w:r>
    </w:p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Auth flow</w:t>
      </w:r>
    </w:p>
    <w:p>
      <w:pPr>
        <w:spacing w:before="120" w:after="120"/>
        <w:shd w:val="clear" w:fill="F1ECE0"/>
      </w:pPr>
      <w:r>
        <w:rPr>
          <w:rFonts w:ascii="Consolas" w:hAnsi="Consolas" w:eastAsia="Consolas" w:cs="Consolas"/>
          <w:b w:val="0"/>
          <w:i w:val="0"/>
          <w:color w:val="1D1A14"/>
          <w:sz w:val="20"/>
        </w:rPr>
        <w:t xml:space="preserve">  Login                       Refresh</w:t>
        <w:br/>
        <w:t xml:space="preserve">  ─────                       ───────</w:t>
        <w:br/>
        <w:t xml:space="preserve">  POST /auth/login            POST /auth/refresh  (cookie auto-sent)</w:t>
        <w:br/>
        <w:t xml:space="preserve">    ↓                            ↓</w:t>
        <w:br/>
        <w:t xml:space="preserve">  bcrypt.compare              lookup refresh_token row, check not expired</w:t>
        <w:br/>
        <w:t xml:space="preserve">    ↓                            ↓</w:t>
        <w:br/>
        <w:t xml:space="preserve">  INSERT refresh_token        issue new access token</w:t>
        <w:br/>
        <w:t xml:space="preserve">    ↓                            ↓</w:t>
        <w:br/>
        <w:t xml:space="preserve">  Set-Cookie: refreshToken    { accessToken, user }</w:t>
        <w:br/>
        <w:t xml:space="preserve">  (httpOnly, 7 days)</w:t>
        <w:br/>
        <w:t xml:space="preserve">  { accessToken, user }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2"/>
        </w:rPr>
        <w:t>Access tokens are RS256 JWTs, 15-minute lifetime, kept in memory. Refresh tokens are server-side rows in refresh_tokens — that's how we revoke on logout.</w:t>
      </w:r>
    </w:p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Where each feature lives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71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FEATURE</w:t>
            </w:r>
          </w:p>
        </w:tc>
        <w:tc>
          <w:tcPr>
            <w:tcW w:type="dxa" w:w="2381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CLIENT</w:t>
            </w:r>
          </w:p>
        </w:tc>
        <w:tc>
          <w:tcPr>
            <w:tcW w:type="dxa" w:w="2551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SERVER</w:t>
            </w:r>
          </w:p>
        </w:tc>
        <w:tc>
          <w:tcPr>
            <w:tcW w:type="dxa" w:w="2551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TABLES</w:t>
            </w:r>
          </w:p>
        </w:tc>
      </w:tr>
      <w:tr>
        <w:tc>
          <w:tcPr>
            <w:tcW w:type="dxa" w:w="187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Auth</w:t>
            </w:r>
          </w:p>
        </w:tc>
        <w:tc>
          <w:tcPr>
            <w:tcW w:type="dxa" w:w="238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LoginPage, auth.store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routes/auth + services/auth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users, refresh_tokens</w:t>
            </w:r>
          </w:p>
        </w:tc>
      </w:tr>
      <w:tr>
        <w:tc>
          <w:tcPr>
            <w:tcW w:type="dxa" w:w="187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Events</w:t>
            </w:r>
          </w:p>
        </w:tc>
        <w:tc>
          <w:tcPr>
            <w:tcW w:type="dxa" w:w="238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EventsPage, EventDetailPage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routes/event + services/event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events, clubs, club_members</w:t>
            </w:r>
          </w:p>
        </w:tc>
      </w:tr>
      <w:tr>
        <w:tc>
          <w:tcPr>
            <w:tcW w:type="dxa" w:w="187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Upload</w:t>
            </w:r>
          </w:p>
        </w:tc>
        <w:tc>
          <w:tcPr>
            <w:tcW w:type="dxa" w:w="238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UploadPage, DropZone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routes/media + image-processor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media</w:t>
            </w:r>
          </w:p>
        </w:tc>
      </w:tr>
      <w:tr>
        <w:tc>
          <w:tcPr>
            <w:tcW w:type="dxa" w:w="187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Gallery</w:t>
            </w:r>
          </w:p>
        </w:tc>
        <w:tc>
          <w:tcPr>
            <w:tcW w:type="dxa" w:w="238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MasonryGrid, PhotoViewer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routes/media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media</w:t>
            </w:r>
          </w:p>
        </w:tc>
      </w:tr>
      <w:tr>
        <w:tc>
          <w:tcPr>
            <w:tcW w:type="dxa" w:w="187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Search</w:t>
            </w:r>
          </w:p>
        </w:tc>
        <w:tc>
          <w:tcPr>
            <w:tcW w:type="dxa" w:w="238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SearchPage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routes/search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tsvector on media + events</w:t>
            </w:r>
          </w:p>
        </w:tc>
      </w:tr>
      <w:tr>
        <w:tc>
          <w:tcPr>
            <w:tcW w:type="dxa" w:w="187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Social</w:t>
            </w:r>
          </w:p>
        </w:tc>
        <w:tc>
          <w:tcPr>
            <w:tcW w:type="dxa" w:w="238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LikeButton, CommentThread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routes/social + services/social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likes, comments, favourites</w:t>
            </w:r>
          </w:p>
        </w:tc>
      </w:tr>
      <w:tr>
        <w:tc>
          <w:tcPr>
            <w:tcW w:type="dxa" w:w="187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My photos</w:t>
            </w:r>
          </w:p>
        </w:tc>
        <w:tc>
          <w:tcPr>
            <w:tcW w:type="dxa" w:w="238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MyPhotosPage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routes/user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photo_tags</w:t>
            </w:r>
          </w:p>
        </w:tc>
      </w:tr>
      <w:tr>
        <w:tc>
          <w:tcPr>
            <w:tcW w:type="dxa" w:w="187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Download</w:t>
            </w:r>
          </w:p>
        </w:tc>
        <w:tc>
          <w:tcPr>
            <w:tcW w:type="dxa" w:w="238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viewer download button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media.router + watermarker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downloads</w:t>
            </w:r>
          </w:p>
        </w:tc>
      </w:tr>
    </w:tbl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Security model</w:t>
      </w:r>
    </w:p>
    <w:p>
      <w:pPr>
        <w:spacing w:after="60"/>
        <w:ind w:left="340"/>
      </w:pPr>
      <w:r>
        <w:rPr>
          <w:rFonts w:ascii="Inter" w:hAnsi="Inter" w:eastAsia="Inter" w:cs="Inter"/>
          <w:b w:val="0"/>
          <w:i w:val="0"/>
          <w:color w:val="A8A08F"/>
          <w:sz w:val="22"/>
        </w:rPr>
        <w:t xml:space="preserve">—  </w:t>
      </w:r>
      <w:r>
        <w:rPr>
          <w:rFonts w:ascii="Inter" w:hAnsi="Inter" w:eastAsia="Inter" w:cs="Inter"/>
          <w:b w:val="0"/>
          <w:i w:val="0"/>
          <w:color w:val="1D1A14"/>
          <w:sz w:val="22"/>
        </w:rPr>
        <w:t>Transport — HTTPS in production; helmet sets CSP, HSTS, XSS, no-sniff, frameguard.</w:t>
      </w:r>
    </w:p>
    <w:p>
      <w:pPr>
        <w:spacing w:after="60"/>
        <w:ind w:left="340"/>
      </w:pPr>
      <w:r>
        <w:rPr>
          <w:rFonts w:ascii="Inter" w:hAnsi="Inter" w:eastAsia="Inter" w:cs="Inter"/>
          <w:b w:val="0"/>
          <w:i w:val="0"/>
          <w:color w:val="A8A08F"/>
          <w:sz w:val="22"/>
        </w:rPr>
        <w:t xml:space="preserve">—  </w:t>
      </w:r>
      <w:r>
        <w:rPr>
          <w:rFonts w:ascii="Inter" w:hAnsi="Inter" w:eastAsia="Inter" w:cs="Inter"/>
          <w:b w:val="0"/>
          <w:i w:val="0"/>
          <w:color w:val="1D1A14"/>
          <w:sz w:val="22"/>
        </w:rPr>
        <w:t>Auth — RS256 JWT; private key only on the server; refresh tokens are revocable DB rows.</w:t>
      </w:r>
    </w:p>
    <w:p>
      <w:pPr>
        <w:spacing w:after="60"/>
        <w:ind w:left="340"/>
      </w:pPr>
      <w:r>
        <w:rPr>
          <w:rFonts w:ascii="Inter" w:hAnsi="Inter" w:eastAsia="Inter" w:cs="Inter"/>
          <w:b w:val="0"/>
          <w:i w:val="0"/>
          <w:color w:val="A8A08F"/>
          <w:sz w:val="22"/>
        </w:rPr>
        <w:t xml:space="preserve">—  </w:t>
      </w:r>
      <w:r>
        <w:rPr>
          <w:rFonts w:ascii="Inter" w:hAnsi="Inter" w:eastAsia="Inter" w:cs="Inter"/>
          <w:b w:val="0"/>
          <w:i w:val="0"/>
          <w:color w:val="1D1A14"/>
          <w:sz w:val="22"/>
        </w:rPr>
        <w:t>Authorization — requireAuth verifies the access token; resolveClubContext + requireClubRole enforce club-scoped permissions on writes.</w:t>
      </w:r>
    </w:p>
    <w:p>
      <w:pPr>
        <w:spacing w:after="60"/>
        <w:ind w:left="340"/>
      </w:pPr>
      <w:r>
        <w:rPr>
          <w:rFonts w:ascii="Inter" w:hAnsi="Inter" w:eastAsia="Inter" w:cs="Inter"/>
          <w:b w:val="0"/>
          <w:i w:val="0"/>
          <w:color w:val="A8A08F"/>
          <w:sz w:val="22"/>
        </w:rPr>
        <w:t xml:space="preserve">—  </w:t>
      </w:r>
      <w:r>
        <w:rPr>
          <w:rFonts w:ascii="Inter" w:hAnsi="Inter" w:eastAsia="Inter" w:cs="Inter"/>
          <w:b w:val="0"/>
          <w:i w:val="0"/>
          <w:color w:val="1D1A14"/>
          <w:sz w:val="22"/>
        </w:rPr>
        <w:t>Input — Zod schemas validate every mutating request body.</w:t>
      </w:r>
    </w:p>
    <w:p>
      <w:pPr>
        <w:spacing w:after="60"/>
        <w:ind w:left="340"/>
      </w:pPr>
      <w:r>
        <w:rPr>
          <w:rFonts w:ascii="Inter" w:hAnsi="Inter" w:eastAsia="Inter" w:cs="Inter"/>
          <w:b w:val="0"/>
          <w:i w:val="0"/>
          <w:color w:val="A8A08F"/>
          <w:sz w:val="22"/>
        </w:rPr>
        <w:t xml:space="preserve">—  </w:t>
      </w:r>
      <w:r>
        <w:rPr>
          <w:rFonts w:ascii="Inter" w:hAnsi="Inter" w:eastAsia="Inter" w:cs="Inter"/>
          <w:b w:val="0"/>
          <w:i w:val="0"/>
          <w:color w:val="1D1A14"/>
          <w:sz w:val="22"/>
        </w:rPr>
        <w:t>Uploads — MIME sniffed from buffer magic bytes (not the client-claimed Content-Type), 100 MB hard limit, 50 file max per request, per-user concurrency cap of 3.</w:t>
      </w:r>
    </w:p>
    <w:p>
      <w:pPr>
        <w:spacing w:after="60"/>
        <w:ind w:left="340"/>
      </w:pPr>
      <w:r>
        <w:rPr>
          <w:rFonts w:ascii="Inter" w:hAnsi="Inter" w:eastAsia="Inter" w:cs="Inter"/>
          <w:b w:val="0"/>
          <w:i w:val="0"/>
          <w:color w:val="A8A08F"/>
          <w:sz w:val="22"/>
        </w:rPr>
        <w:t xml:space="preserve">—  </w:t>
      </w:r>
      <w:r>
        <w:rPr>
          <w:rFonts w:ascii="Inter" w:hAnsi="Inter" w:eastAsia="Inter" w:cs="Inter"/>
          <w:b w:val="0"/>
          <w:i w:val="0"/>
          <w:color w:val="1D1A14"/>
          <w:sz w:val="22"/>
        </w:rPr>
        <w:t>Rate limits — 10/min on auth endpoints, 30/min on search.</w:t>
      </w:r>
    </w:p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Scale notes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2"/>
        </w:rPr>
        <w:t>Today's setup is sized for a few clubs and a few thousand photos. The cheapest unblock for each layer when usage grows: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LAYER</w:t>
            </w:r>
          </w:p>
        </w:tc>
        <w:tc>
          <w:tcPr>
            <w:tcW w:type="dxa" w:w="2551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TODAY</w:t>
            </w:r>
          </w:p>
        </w:tc>
        <w:tc>
          <w:tcPr>
            <w:tcW w:type="dxa" w:w="4819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NEXT</w:t>
            </w:r>
          </w:p>
        </w:tc>
      </w:tr>
      <w:tr>
        <w:tc>
          <w:tcPr>
            <w:tcW w:type="dxa" w:w="170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Storage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Local filesystem</w:t>
            </w:r>
          </w:p>
        </w:tc>
        <w:tc>
          <w:tcPr>
            <w:tcW w:type="dxa" w:w="4819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S3 + CloudFront signed URLs for private events</w:t>
            </w:r>
          </w:p>
        </w:tc>
      </w:tr>
      <w:tr>
        <w:tc>
          <w:tcPr>
            <w:tcW w:type="dxa" w:w="170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Variants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Sync in upload request</w:t>
            </w:r>
          </w:p>
        </w:tc>
        <w:tc>
          <w:tcPr>
            <w:tcW w:type="dxa" w:w="4819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Bull queue, return job id for batches &gt; 50</w:t>
            </w:r>
          </w:p>
        </w:tc>
      </w:tr>
      <w:tr>
        <w:tc>
          <w:tcPr>
            <w:tcW w:type="dxa" w:w="170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Search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Postgres tsvector + GIN</w:t>
            </w:r>
          </w:p>
        </w:tc>
        <w:tc>
          <w:tcPr>
            <w:tcW w:type="dxa" w:w="4819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Replicate to Meilisearch beyond ~1M rows</w:t>
            </w:r>
          </w:p>
        </w:tc>
      </w:tr>
      <w:tr>
        <w:tc>
          <w:tcPr>
            <w:tcW w:type="dxa" w:w="170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Sessions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Single API node</w:t>
            </w:r>
          </w:p>
        </w:tc>
        <w:tc>
          <w:tcPr>
            <w:tcW w:type="dxa" w:w="4819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JWT keys in KMS, deploy behind an ALB</w:t>
            </w:r>
          </w:p>
        </w:tc>
      </w:tr>
      <w:tr>
        <w:tc>
          <w:tcPr>
            <w:tcW w:type="dxa" w:w="170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Database</w:t>
            </w:r>
          </w:p>
        </w:tc>
        <w:tc>
          <w:tcPr>
            <w:tcW w:type="dxa" w:w="2551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Single Postgres</w:t>
            </w:r>
          </w:p>
        </w:tc>
        <w:tc>
          <w:tcPr>
            <w:tcW w:type="dxa" w:w="4819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Read replicas; partition media by event_id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D1A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