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5370"/>
          <w:sz w:val="26"/>
        </w:rPr>
        <w:t>TRIPLY</w:t>
      </w:r>
    </w:p>
    <w:p>
      <w:pPr>
        <w:pStyle w:val="Title"/>
        <w:jc w:val="center"/>
      </w:pPr>
      <w:r>
        <w:t>Product &amp; Market Strategy</w:t>
      </w:r>
    </w:p>
    <w:p>
      <w:pPr>
        <w:jc w:val="center"/>
      </w:pPr>
      <w:r>
        <w:rPr>
          <w:color w:val="4B5A69"/>
          <w:sz w:val="24"/>
        </w:rPr>
        <w:t>From a B2C modular trip planner to a focused travel-workflow MVP</w:t>
      </w:r>
    </w:p>
    <w:p>
      <w:pPr>
        <w:jc w:val="center"/>
      </w:pPr>
      <w:r>
        <w:rPr>
          <w:i/>
          <w:sz w:val="18"/>
        </w:rPr>
        <w:t>Research snapshot: 5 October 2026  |  Version 1.0</w:t>
      </w:r>
    </w:p>
    <w:p/>
    <w:tbl>
      <w:tblPr>
        <w:tblW w:type="auto" w:w="0"/>
        <w:jc w:val="center"/>
        <w:tblLook w:firstColumn="1" w:firstRow="1" w:lastColumn="0" w:lastRow="0" w:noHBand="0" w:noVBand="1" w:val="04A0"/>
      </w:tblPr>
      <w:tblGrid>
        <w:gridCol w:w="10080"/>
      </w:tblGrid>
      <w:tr>
        <w:tc>
          <w:tcPr>
            <w:tcW w:type="dxa" w:w="10080"/>
            <w:shd w:fill="EEF3F6"/>
            <w:vAlign w:val="center"/>
          </w:tcPr>
          <w:p>
            <w:pPr>
              <w:spacing w:after="20"/>
            </w:pPr>
            <w:r/>
            <w:r>
              <w:rPr>
                <w:rFonts w:ascii="Aptos" w:hAnsi="Aptos"/>
                <w:b w:val="0"/>
                <w:sz w:val="20"/>
              </w:rPr>
              <w:t>CORE THESIS</w:t>
              <w:br/>
              <w:t>Triply began as a B2C product built around traveller choice and transparent trip costs. The current MVP deliberately tests one narrower interaction that could fit a travel-agent workflow: letting a traveller select from pre-approved trip options and submit a structured change request. This is a product-fit experiment, not a claim that Flyo lacks the feature.</w:t>
            </w:r>
          </w:p>
        </w:tc>
      </w:tr>
    </w:tbl>
    <w:p/>
    <w:p>
      <w:r>
        <w:t>This document combines product strategy, market context, competitive research, go-to-market hypotheses and a validation plan. It separates published facts from hypotheses that still require customer discovery.</w:t>
      </w:r>
    </w:p>
    <w:p>
      <w:pPr>
        <w:pStyle w:val="Heading1"/>
      </w:pPr>
      <w:r>
        <w:t>1. Executive summary</w:t>
      </w:r>
    </w:p>
    <w:p>
      <w:r>
        <w:t>Triply’s original concept is a B2C modular travel planner. Instead of accepting a fixed package or relying entirely on an AI-generated itinerary, a traveller chooses the destinations/areas, accommodation and experiences they want, while seeing the estimated cost of the trip.</w:t>
      </w:r>
    </w:p>
    <w:p>
      <w:r>
        <w:t>The immediate opportunity is not to build the entire B2C product. The immediate opportunity is to isolate the interaction at the heart of the concept—choice among trip components with transparent price impact—and test whether it helps a travel agent and customer move from proposal to a confirmed plan with less friction.</w:t>
      </w:r>
    </w:p>
    <w:p>
      <w:pPr>
        <w:pStyle w:val="ListBullet"/>
        <w:spacing w:after="40"/>
      </w:pPr>
      <w:r>
        <w:t>Long-term vision: a traveller-first planning experience built around modular choices and cost transparency.</w:t>
      </w:r>
    </w:p>
    <w:p>
      <w:pPr>
        <w:pStyle w:val="ListBullet"/>
        <w:spacing w:after="40"/>
      </w:pPr>
      <w:r>
        <w:t>Current MVP: a shareable proposal view with agent-approved alternatives, estimate changes and a structured customer change request.</w:t>
      </w:r>
    </w:p>
    <w:p>
      <w:pPr>
        <w:pStyle w:val="ListBullet"/>
        <w:spacing w:after="40"/>
      </w:pPr>
      <w:r>
        <w:t>Potential initial buyer/user: travel agencies and destination management companies (DMCs) that assemble tailored leisure trips.</w:t>
      </w:r>
    </w:p>
    <w:p>
      <w:pPr>
        <w:pStyle w:val="ListBullet"/>
        <w:spacing w:after="40"/>
      </w:pPr>
      <w:r>
        <w:t>Critical risk: established products already offer interactive proposals and selectable options. The proposed interaction is not, by itself, proven differentiation.</w:t>
      </w:r>
    </w:p>
    <w:p>
      <w:pPr>
        <w:pStyle w:val="ListBullet"/>
        <w:spacing w:after="40"/>
      </w:pPr>
      <w:r>
        <w:t>Decision rule: validate a specific unmet workflow and measurable business outcome before expanding scope or claiming product-market fit.</w:t>
      </w:r>
    </w:p>
    <w:p>
      <w:pPr>
        <w:pStyle w:val="Heading1"/>
      </w:pPr>
      <w:r>
        <w:t>2. Product origin and strategic adaptation</w:t>
      </w:r>
    </w:p>
    <w:p>
      <w:pPr>
        <w:pStyle w:val="Heading2"/>
      </w:pPr>
      <w:r>
        <w:t>2.1 The original B2C idea</w:t>
      </w:r>
    </w:p>
    <w:p>
      <w:r>
        <w:t>Triply’s original premise is that trip planning should feel modular rather than package-bound. A traveller selects the pieces of a trip, understands how each choice changes the total estimate, and assembles a plan that reflects their preferences and budget.</w:t>
      </w:r>
    </w:p>
    <w:p>
      <w:pPr>
        <w:pStyle w:val="ListBullet"/>
        <w:spacing w:after="40"/>
      </w:pPr>
      <w:r>
        <w:t>User: an individual traveller, couple, family or group planning a leisure trip.</w:t>
      </w:r>
    </w:p>
    <w:p>
      <w:pPr>
        <w:pStyle w:val="ListBullet"/>
        <w:spacing w:after="40"/>
      </w:pPr>
      <w:r>
        <w:t>Core value: agency over the components, clearer trade-offs and more transparent estimated cost.</w:t>
      </w:r>
    </w:p>
    <w:p>
      <w:pPr>
        <w:pStyle w:val="ListBullet"/>
        <w:spacing w:after="40"/>
      </w:pPr>
      <w:r>
        <w:t>Potential future model: referral/affiliate revenue, supplier partnerships or paid planning features. These are options, not validated business-model decisions.</w:t>
      </w:r>
    </w:p>
    <w:p>
      <w:pPr>
        <w:pStyle w:val="Heading2"/>
      </w:pPr>
      <w:r>
        <w:t>2.2 Why the MVP is narrower</w:t>
      </w:r>
    </w:p>
    <w:p>
      <w:r>
        <w:t>Flyo publicly positions itself around AI agents for travel businesses, including travel agents, DMCs, TMCs, OTAs and enterprises. Its website describes workflows spanning lead capture, proposal creation and post-booking operations, and emphasizes working with existing systems rather than forcing teams into another dashboard [1]. A standalone B2C planner is therefore not the closest fit for a useful first conversation with Flyo.</w:t>
      </w:r>
    </w:p>
    <w:p>
      <w:r>
        <w:t>The MVP keeps the modular-choice principle but moves it into a business-to-customer proposal context. A travel agent has already prepared a trip; the traveller can select among options the agent has approved, see the illustrative estimate change, and send back a structured request.</w:t>
      </w:r>
    </w:p>
    <w:p>
      <w:r>
        <w:t>This is an intentional adaptation to explore Flyo’s product context. It does not mean the original idea was B2B, and it does not abandon the B2C vision. It tests whether one transferable piece of the original concept is valuable in a different distribution environment.</w:t>
      </w:r>
    </w:p>
    <w:p>
      <w:pPr>
        <w:pStyle w:val="Heading1"/>
      </w:pPr>
      <w:r>
        <w:t>3. Problem framing and hypotheses</w:t>
      </w:r>
    </w:p>
    <w:p>
      <w:r>
        <w:t>A plausible workflow problem is that customers ask to change hotel categories, activities or inclusions after receiving a proposal. The request may arrive through chat, email or a phone call, leaving the agent to clarify details, update the quote and resend the plan. This could create avoidable back-and-forth—but it must be validated with agents, not assumed from product intuition.</w:t>
      </w:r>
    </w:p>
    <w:p>
      <w:pPr>
        <w:pStyle w:val="Heading2"/>
      </w:pPr>
      <w:r>
        <w:t>Hypotheses to test</w:t>
      </w:r>
    </w:p>
    <w:p>
      <w:pPr>
        <w:pStyle w:val="ListBullet"/>
        <w:spacing w:after="40"/>
      </w:pPr>
      <w:r>
        <w:t>H1: Customers want to compare a small set of pre-approved alternatives before committing to a proposed trip.</w:t>
      </w:r>
    </w:p>
    <w:p>
      <w:pPr>
        <w:pStyle w:val="ListBullet"/>
        <w:spacing w:after="40"/>
      </w:pPr>
      <w:r>
        <w:t>H2: Customers can make a clearer decision when each alternative shows its impact on the estimated trip total.</w:t>
      </w:r>
    </w:p>
    <w:p>
      <w:pPr>
        <w:pStyle w:val="ListBullet"/>
        <w:spacing w:after="40"/>
      </w:pPr>
      <w:r>
        <w:t>H3: Structured selections reduce clarification messages and manual proposal revisions for the agent.</w:t>
      </w:r>
    </w:p>
    <w:p>
      <w:pPr>
        <w:pStyle w:val="ListBullet"/>
        <w:spacing w:after="40"/>
      </w:pPr>
      <w:r>
        <w:t>H4: Faster, clearer decision-making improves proposal approval or conversion.</w:t>
      </w:r>
    </w:p>
    <w:p>
      <w:pPr>
        <w:pStyle w:val="ListBullet"/>
        <w:spacing w:after="40"/>
      </w:pPr>
      <w:r>
        <w:t>H5: The workflow is not already handled adequately by Flyo or the agency’s existing proposal tool.</w:t>
      </w:r>
    </w:p>
    <w:p>
      <w:r>
        <w:t>H5 is the first gate. If an existing product already handles the flow well, Triply needs a sharper wedge than rebuilding the same feature with a new UI.</w:t>
      </w:r>
    </w:p>
    <w:p>
      <w:pPr>
        <w:pStyle w:val="Heading1"/>
      </w:pPr>
      <w:r>
        <w:t>4. Market context: what the numbers do and do not say</w:t>
      </w:r>
    </w:p>
    <w:p>
      <w:r>
        <w:t>India has a large and active travel economy, but the total travel market is not Triply’s addressable market. The figures below provide context only; they should not be presented as Triply’s TAM, SAM or SOM.</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0F2940"/>
          </w:tcPr>
          <w:p>
            <w:pPr>
              <w:spacing w:after="20"/>
            </w:pPr>
            <w:r/>
            <w:r>
              <w:rPr>
                <w:rFonts w:ascii="Aptos" w:hAnsi="Aptos"/>
                <w:b/>
                <w:color w:val="FFFFFF"/>
                <w:sz w:val="17"/>
              </w:rPr>
              <w:t>Signal</w:t>
            </w:r>
          </w:p>
        </w:tc>
        <w:tc>
          <w:tcPr>
            <w:tcW w:type="dxa" w:w="3360"/>
            <w:vAlign w:val="center"/>
            <w:shd w:fill="0F2940"/>
          </w:tcPr>
          <w:p>
            <w:pPr>
              <w:spacing w:after="20"/>
            </w:pPr>
            <w:r/>
            <w:r>
              <w:rPr>
                <w:rFonts w:ascii="Aptos" w:hAnsi="Aptos"/>
                <w:b/>
                <w:color w:val="FFFFFF"/>
                <w:sz w:val="17"/>
              </w:rPr>
              <w:t>Published context</w:t>
            </w:r>
          </w:p>
        </w:tc>
        <w:tc>
          <w:tcPr>
            <w:tcW w:type="dxa" w:w="3360"/>
            <w:vAlign w:val="center"/>
            <w:shd w:fill="0F2940"/>
          </w:tcPr>
          <w:p>
            <w:pPr>
              <w:spacing w:after="20"/>
            </w:pPr>
            <w:r/>
            <w:r>
              <w:rPr>
                <w:rFonts w:ascii="Aptos" w:hAnsi="Aptos"/>
                <w:b/>
                <w:color w:val="FFFFFF"/>
                <w:sz w:val="17"/>
              </w:rPr>
              <w:t>Interpretation for Triply</w:t>
            </w:r>
          </w:p>
        </w:tc>
      </w:tr>
      <w:tr>
        <w:tc>
          <w:tcPr>
            <w:tcW w:type="dxa" w:w="3360"/>
            <w:vAlign w:val="center"/>
          </w:tcPr>
          <w:p>
            <w:pPr>
              <w:spacing w:after="20"/>
            </w:pPr>
            <w:r/>
            <w:r>
              <w:rPr>
                <w:rFonts w:ascii="Aptos" w:hAnsi="Aptos"/>
                <w:b/>
                <w:sz w:val="16"/>
              </w:rPr>
              <w:t>Domestic tourism</w:t>
            </w:r>
          </w:p>
        </w:tc>
        <w:tc>
          <w:tcPr>
            <w:tcW w:type="dxa" w:w="3360"/>
            <w:vAlign w:val="center"/>
          </w:tcPr>
          <w:p>
            <w:pPr>
              <w:spacing w:after="20"/>
            </w:pPr>
            <w:r/>
            <w:r>
              <w:rPr>
                <w:rFonts w:ascii="Aptos" w:hAnsi="Aptos"/>
                <w:b w:val="0"/>
                <w:sz w:val="16"/>
              </w:rPr>
              <w:t>India recorded 2,948.19 million domestic tourist visits in 2024, up 17.51% from 2023, according to the Ministry of Tourism compendium [2].</w:t>
            </w:r>
          </w:p>
        </w:tc>
        <w:tc>
          <w:tcPr>
            <w:tcW w:type="dxa" w:w="3360"/>
            <w:vAlign w:val="center"/>
          </w:tcPr>
          <w:p>
            <w:pPr>
              <w:spacing w:after="20"/>
            </w:pPr>
            <w:r/>
            <w:r>
              <w:rPr>
                <w:rFonts w:ascii="Aptos" w:hAnsi="Aptos"/>
                <w:b w:val="0"/>
                <w:sz w:val="16"/>
              </w:rPr>
              <w:t>Large travel activity base; visits are not unique people, paid bookings or Triply customers.</w:t>
            </w:r>
          </w:p>
        </w:tc>
      </w:tr>
      <w:tr>
        <w:tc>
          <w:tcPr>
            <w:tcW w:type="dxa" w:w="3360"/>
            <w:vAlign w:val="center"/>
          </w:tcPr>
          <w:p>
            <w:pPr>
              <w:spacing w:after="20"/>
            </w:pPr>
            <w:r/>
            <w:r>
              <w:rPr>
                <w:rFonts w:ascii="Aptos" w:hAnsi="Aptos"/>
                <w:b/>
                <w:sz w:val="16"/>
              </w:rPr>
              <w:t>Online travel market</w:t>
            </w:r>
          </w:p>
        </w:tc>
        <w:tc>
          <w:tcPr>
            <w:tcW w:type="dxa" w:w="3360"/>
            <w:vAlign w:val="center"/>
          </w:tcPr>
          <w:p>
            <w:pPr>
              <w:spacing w:after="20"/>
            </w:pPr>
            <w:r/>
            <w:r>
              <w:rPr>
                <w:rFonts w:ascii="Aptos" w:hAnsi="Aptos"/>
                <w:b w:val="0"/>
                <w:sz w:val="16"/>
              </w:rPr>
              <w:t>Industry estimates differ materially. Mordor Intelligence estimates USD 19.05B for 2025 and USD 31.38B by 2030; other firms publish higher estimates with different definitions [3][4].</w:t>
            </w:r>
          </w:p>
        </w:tc>
        <w:tc>
          <w:tcPr>
            <w:tcW w:type="dxa" w:w="3360"/>
            <w:vAlign w:val="center"/>
          </w:tcPr>
          <w:p>
            <w:pPr>
              <w:spacing w:after="20"/>
            </w:pPr>
            <w:r/>
            <w:r>
              <w:rPr>
                <w:rFonts w:ascii="Aptos" w:hAnsi="Aptos"/>
                <w:b w:val="0"/>
                <w:sz w:val="16"/>
              </w:rPr>
              <w:t>Use as directional category context only. Do not combine estimates or present one as definitive.</w:t>
            </w:r>
          </w:p>
        </w:tc>
      </w:tr>
      <w:tr>
        <w:tc>
          <w:tcPr>
            <w:tcW w:type="dxa" w:w="3360"/>
            <w:vAlign w:val="center"/>
          </w:tcPr>
          <w:p>
            <w:pPr>
              <w:spacing w:after="20"/>
            </w:pPr>
            <w:r/>
            <w:r>
              <w:rPr>
                <w:rFonts w:ascii="Aptos" w:hAnsi="Aptos"/>
                <w:b/>
                <w:sz w:val="16"/>
              </w:rPr>
              <w:t>Package growth</w:t>
            </w:r>
          </w:p>
        </w:tc>
        <w:tc>
          <w:tcPr>
            <w:tcW w:type="dxa" w:w="3360"/>
            <w:vAlign w:val="center"/>
          </w:tcPr>
          <w:p>
            <w:pPr>
              <w:spacing w:after="20"/>
            </w:pPr>
            <w:r/>
            <w:r>
              <w:rPr>
                <w:rFonts w:ascii="Aptos" w:hAnsi="Aptos"/>
                <w:b w:val="0"/>
                <w:sz w:val="16"/>
              </w:rPr>
              <w:t>One industry estimate projects vacation packages growing at about 11.24% CAGR through 2031 [3].</w:t>
            </w:r>
          </w:p>
        </w:tc>
        <w:tc>
          <w:tcPr>
            <w:tcW w:type="dxa" w:w="3360"/>
            <w:vAlign w:val="center"/>
          </w:tcPr>
          <w:p>
            <w:pPr>
              <w:spacing w:after="20"/>
            </w:pPr>
            <w:r/>
            <w:r>
              <w:rPr>
                <w:rFonts w:ascii="Aptos" w:hAnsi="Aptos"/>
                <w:b w:val="0"/>
                <w:sz w:val="16"/>
              </w:rPr>
              <w:t>Potentially relevant to tailored-trip workflows, but this does not prove demand for interactive customization.</w:t>
            </w:r>
          </w:p>
        </w:tc>
      </w:tr>
      <w:tr>
        <w:tc>
          <w:tcPr>
            <w:tcW w:type="dxa" w:w="3360"/>
            <w:vAlign w:val="center"/>
          </w:tcPr>
          <w:p>
            <w:pPr>
              <w:spacing w:after="20"/>
            </w:pPr>
            <w:r/>
            <w:r>
              <w:rPr>
                <w:rFonts w:ascii="Aptos" w:hAnsi="Aptos"/>
                <w:b/>
                <w:sz w:val="16"/>
              </w:rPr>
              <w:t>Digital proposal competition</w:t>
            </w:r>
          </w:p>
        </w:tc>
        <w:tc>
          <w:tcPr>
            <w:tcW w:type="dxa" w:w="3360"/>
            <w:vAlign w:val="center"/>
          </w:tcPr>
          <w:p>
            <w:pPr>
              <w:spacing w:after="20"/>
            </w:pPr>
            <w:r/>
            <w:r>
              <w:rPr>
                <w:rFonts w:ascii="Aptos" w:hAnsi="Aptos"/>
                <w:b w:val="0"/>
                <w:sz w:val="16"/>
              </w:rPr>
              <w:t>Travefy publicly offers client-facing proposals, selectable options within trips and approval workflows [5][6].</w:t>
            </w:r>
          </w:p>
        </w:tc>
        <w:tc>
          <w:tcPr>
            <w:tcW w:type="dxa" w:w="3360"/>
            <w:vAlign w:val="center"/>
          </w:tcPr>
          <w:p>
            <w:pPr>
              <w:spacing w:after="20"/>
            </w:pPr>
            <w:r/>
            <w:r>
              <w:rPr>
                <w:rFonts w:ascii="Aptos" w:hAnsi="Aptos"/>
                <w:b w:val="0"/>
                <w:sz w:val="16"/>
              </w:rPr>
              <w:t>The feature category exists. Differentiation must come from a specific underserved workflow or distribution advantage.</w:t>
            </w:r>
          </w:p>
        </w:tc>
      </w:tr>
    </w:tbl>
    <w:p>
      <w:r>
        <w:t>Market-sizing recommendation: do not publish a numeric Triply TAM yet. First estimate the reachable initial segment from a bottom-up model: number of target agencies × share with the target workflow problem × plausible annual contract value. Each input needs evidence from a defined geography and segment.</w:t>
      </w:r>
    </w:p>
    <w:p>
      <w:pPr>
        <w:pStyle w:val="Heading1"/>
      </w:pPr>
      <w:r>
        <w:t>5. Initial customer segment and jobs to be done</w:t>
      </w:r>
    </w:p>
    <w:p>
      <w:pPr>
        <w:pStyle w:val="Heading2"/>
      </w:pPr>
      <w:r>
        <w:t>Primary segment hypothesis</w:t>
      </w:r>
    </w:p>
    <w:p>
      <w:r>
        <w:t>Independent travel agencies and small-to-mid-sized DMCs that sell customized leisure trips, particularly trips where customers compare hotel tiers, activities, transfers or optional add-ons before confirming. The initial research geography can be India because it is accessible for interviews, but the product should not assume India is the only or best long-term market.</w:t>
      </w:r>
    </w:p>
    <w:p>
      <w:pPr>
        <w:pStyle w:val="Heading2"/>
      </w:pPr>
      <w:r>
        <w:t>Jobs to be done</w:t>
      </w:r>
    </w:p>
    <w:p>
      <w:pPr>
        <w:pStyle w:val="ListBullet"/>
        <w:spacing w:after="40"/>
      </w:pPr>
      <w:r>
        <w:t>Traveller: “Help me understand the options and trade-offs so I can choose a trip that fits my preferences and budget.”</w:t>
      </w:r>
    </w:p>
    <w:p>
      <w:pPr>
        <w:pStyle w:val="ListBullet"/>
        <w:spacing w:after="40"/>
      </w:pPr>
      <w:r>
        <w:t>Agent: “Help my customer make a clear decision without making me manually reconstruct every change request.”</w:t>
      </w:r>
    </w:p>
    <w:p>
      <w:pPr>
        <w:pStyle w:val="ListBullet"/>
        <w:spacing w:after="40"/>
      </w:pPr>
      <w:r>
        <w:t>Agency owner: “Help us convert proposals efficiently while preserving control over pricing, supplier availability and what we promise.”</w:t>
      </w:r>
    </w:p>
    <w:p>
      <w:pPr>
        <w:pStyle w:val="Heading2"/>
      </w:pPr>
      <w:r>
        <w:t>Who not to target first</w:t>
      </w:r>
    </w:p>
    <w:p>
      <w:pPr>
        <w:pStyle w:val="ListBullet"/>
        <w:spacing w:after="40"/>
      </w:pPr>
      <w:r>
        <w:t>Travellers who only need a basic flight or hotel booking. Large OTAs already serve this need at scale.</w:t>
      </w:r>
    </w:p>
    <w:p>
      <w:pPr>
        <w:pStyle w:val="ListBullet"/>
        <w:spacing w:after="40"/>
      </w:pPr>
      <w:r>
        <w:t>Agencies with highly standardized fixed packages and little customer customization.</w:t>
      </w:r>
    </w:p>
    <w:p>
      <w:pPr>
        <w:pStyle w:val="ListBullet"/>
        <w:spacing w:after="40"/>
      </w:pPr>
      <w:r>
        <w:t>Enterprise buyers requiring deep integrations, security reviews and procurement before a prototype can be tested.</w:t>
      </w:r>
    </w:p>
    <w:p>
      <w:pPr>
        <w:pStyle w:val="Heading1"/>
      </w:pPr>
      <w:r>
        <w:t>6. Competitive landscape</w:t>
      </w:r>
    </w:p>
    <w:p>
      <w:r>
        <w:t>The landscape suggests the broad idea is not new. Triply must be specific about the workflow it improves rather than claim that interactive proposals or customer-selected options are unique.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shd w:fill="0F2940"/>
          </w:tcPr>
          <w:p>
            <w:pPr>
              <w:spacing w:after="20"/>
            </w:pPr>
            <w:r/>
            <w:r>
              <w:rPr>
                <w:rFonts w:ascii="Aptos" w:hAnsi="Aptos"/>
                <w:b/>
                <w:color w:val="FFFFFF"/>
                <w:sz w:val="16"/>
              </w:rPr>
              <w:t>Product</w:t>
            </w:r>
          </w:p>
        </w:tc>
        <w:tc>
          <w:tcPr>
            <w:tcW w:type="dxa" w:w="2520"/>
            <w:vAlign w:val="center"/>
            <w:shd w:fill="0F2940"/>
          </w:tcPr>
          <w:p>
            <w:pPr>
              <w:spacing w:after="20"/>
            </w:pPr>
            <w:r/>
            <w:r>
              <w:rPr>
                <w:rFonts w:ascii="Aptos" w:hAnsi="Aptos"/>
                <w:b/>
                <w:color w:val="FFFFFF"/>
                <w:sz w:val="16"/>
              </w:rPr>
              <w:t>Publicly stated strength</w:t>
            </w:r>
          </w:p>
        </w:tc>
        <w:tc>
          <w:tcPr>
            <w:tcW w:type="dxa" w:w="2520"/>
            <w:vAlign w:val="center"/>
            <w:shd w:fill="0F2940"/>
          </w:tcPr>
          <w:p>
            <w:pPr>
              <w:spacing w:after="20"/>
            </w:pPr>
            <w:r/>
            <w:r>
              <w:rPr>
                <w:rFonts w:ascii="Aptos" w:hAnsi="Aptos"/>
                <w:b/>
                <w:color w:val="FFFFFF"/>
                <w:sz w:val="16"/>
              </w:rPr>
              <w:t>Implication</w:t>
            </w:r>
          </w:p>
        </w:tc>
        <w:tc>
          <w:tcPr>
            <w:tcW w:type="dxa" w:w="2520"/>
            <w:vAlign w:val="center"/>
            <w:shd w:fill="0F2940"/>
          </w:tcPr>
          <w:p>
            <w:pPr>
              <w:spacing w:after="20"/>
            </w:pPr>
            <w:r/>
            <w:r>
              <w:rPr>
                <w:rFonts w:ascii="Aptos" w:hAnsi="Aptos"/>
                <w:b/>
                <w:color w:val="FFFFFF"/>
                <w:sz w:val="16"/>
              </w:rPr>
              <w:t>Potential opening to investigate</w:t>
            </w:r>
          </w:p>
        </w:tc>
      </w:tr>
      <w:tr>
        <w:tc>
          <w:tcPr>
            <w:tcW w:type="dxa" w:w="2520"/>
            <w:vAlign w:val="center"/>
          </w:tcPr>
          <w:p>
            <w:pPr>
              <w:spacing w:after="20"/>
            </w:pPr>
            <w:r/>
            <w:r>
              <w:rPr>
                <w:rFonts w:ascii="Aptos" w:hAnsi="Aptos"/>
                <w:b/>
                <w:sz w:val="15"/>
              </w:rPr>
              <w:t>Flyo [1]</w:t>
            </w:r>
          </w:p>
        </w:tc>
        <w:tc>
          <w:tcPr>
            <w:tcW w:type="dxa" w:w="2520"/>
            <w:vAlign w:val="center"/>
          </w:tcPr>
          <w:p>
            <w:pPr>
              <w:spacing w:after="20"/>
            </w:pPr>
            <w:r/>
            <w:r>
              <w:rPr>
                <w:rFonts w:ascii="Aptos" w:hAnsi="Aptos"/>
                <w:b w:val="0"/>
                <w:sz w:val="15"/>
              </w:rPr>
              <w:t>AI agents for travel businesses; lead-to-proposal and post-booking workflows; works with existing systems.</w:t>
            </w:r>
          </w:p>
        </w:tc>
        <w:tc>
          <w:tcPr>
            <w:tcW w:type="dxa" w:w="2520"/>
            <w:vAlign w:val="center"/>
          </w:tcPr>
          <w:p>
            <w:pPr>
              <w:spacing w:after="20"/>
            </w:pPr>
            <w:r/>
            <w:r>
              <w:rPr>
                <w:rFonts w:ascii="Aptos" w:hAnsi="Aptos"/>
                <w:b w:val="0"/>
                <w:sz w:val="15"/>
              </w:rPr>
              <w:t>Closest ecosystem fit for this conversation, but the exact proposed customization flow is not confirmed from public information.</w:t>
            </w:r>
          </w:p>
        </w:tc>
        <w:tc>
          <w:tcPr>
            <w:tcW w:type="dxa" w:w="2520"/>
            <w:vAlign w:val="center"/>
          </w:tcPr>
          <w:p>
            <w:pPr>
              <w:spacing w:after="20"/>
            </w:pPr>
            <w:r/>
            <w:r>
              <w:rPr>
                <w:rFonts w:ascii="Aptos" w:hAnsi="Aptos"/>
                <w:b w:val="0"/>
                <w:sz w:val="15"/>
              </w:rPr>
              <w:t>Ask where customer preference changes are captured and whether the handoff is already structured.</w:t>
            </w:r>
          </w:p>
        </w:tc>
      </w:tr>
      <w:tr>
        <w:tc>
          <w:tcPr>
            <w:tcW w:type="dxa" w:w="2520"/>
            <w:vAlign w:val="center"/>
          </w:tcPr>
          <w:p>
            <w:pPr>
              <w:spacing w:after="20"/>
            </w:pPr>
            <w:r/>
            <w:r>
              <w:rPr>
                <w:rFonts w:ascii="Aptos" w:hAnsi="Aptos"/>
                <w:b/>
                <w:sz w:val="15"/>
              </w:rPr>
              <w:t>Travefy [5][6]</w:t>
            </w:r>
          </w:p>
        </w:tc>
        <w:tc>
          <w:tcPr>
            <w:tcW w:type="dxa" w:w="2520"/>
            <w:vAlign w:val="center"/>
          </w:tcPr>
          <w:p>
            <w:pPr>
              <w:spacing w:after="20"/>
            </w:pPr>
            <w:r/>
            <w:r>
              <w:rPr>
                <w:rFonts w:ascii="Aptos" w:hAnsi="Aptos"/>
                <w:b w:val="0"/>
                <w:sz w:val="15"/>
              </w:rPr>
              <w:t>Branded itineraries, client proposals, comparison of proposals and selectable options within a trip.</w:t>
            </w:r>
          </w:p>
        </w:tc>
        <w:tc>
          <w:tcPr>
            <w:tcW w:type="dxa" w:w="2520"/>
            <w:vAlign w:val="center"/>
          </w:tcPr>
          <w:p>
            <w:pPr>
              <w:spacing w:after="20"/>
            </w:pPr>
            <w:r/>
            <w:r>
              <w:rPr>
                <w:rFonts w:ascii="Aptos" w:hAnsi="Aptos"/>
                <w:b w:val="0"/>
                <w:sz w:val="15"/>
              </w:rPr>
              <w:t>Direct feature overlap; Triply cannot credibly claim that selectable proposal options alone are novel.</w:t>
            </w:r>
          </w:p>
        </w:tc>
        <w:tc>
          <w:tcPr>
            <w:tcW w:type="dxa" w:w="2520"/>
            <w:vAlign w:val="center"/>
          </w:tcPr>
          <w:p>
            <w:pPr>
              <w:spacing w:after="20"/>
            </w:pPr>
            <w:r/>
            <w:r>
              <w:rPr>
                <w:rFonts w:ascii="Aptos" w:hAnsi="Aptos"/>
                <w:b w:val="0"/>
                <w:sz w:val="15"/>
              </w:rPr>
              <w:t>Investigate whether there is a distinct workflow, market, integration or measurable outcome not served well.</w:t>
            </w:r>
          </w:p>
        </w:tc>
      </w:tr>
      <w:tr>
        <w:tc>
          <w:tcPr>
            <w:tcW w:type="dxa" w:w="2520"/>
            <w:vAlign w:val="center"/>
          </w:tcPr>
          <w:p>
            <w:pPr>
              <w:spacing w:after="20"/>
            </w:pPr>
            <w:r/>
            <w:r>
              <w:rPr>
                <w:rFonts w:ascii="Aptos" w:hAnsi="Aptos"/>
                <w:b/>
                <w:sz w:val="15"/>
              </w:rPr>
              <w:t>Wanderlog [7]</w:t>
            </w:r>
          </w:p>
        </w:tc>
        <w:tc>
          <w:tcPr>
            <w:tcW w:type="dxa" w:w="2520"/>
            <w:vAlign w:val="center"/>
          </w:tcPr>
          <w:p>
            <w:pPr>
              <w:spacing w:after="20"/>
            </w:pPr>
            <w:r/>
            <w:r>
              <w:rPr>
                <w:rFonts w:ascii="Aptos" w:hAnsi="Aptos"/>
                <w:b w:val="0"/>
                <w:sz w:val="15"/>
              </w:rPr>
              <w:t>Consumer trip planning, collaborative editing, itinerary/map, bookings and expense tools.</w:t>
            </w:r>
          </w:p>
        </w:tc>
        <w:tc>
          <w:tcPr>
            <w:tcW w:type="dxa" w:w="2520"/>
            <w:vAlign w:val="center"/>
          </w:tcPr>
          <w:p>
            <w:pPr>
              <w:spacing w:after="20"/>
            </w:pPr>
            <w:r/>
            <w:r>
              <w:rPr>
                <w:rFonts w:ascii="Aptos" w:hAnsi="Aptos"/>
                <w:b w:val="0"/>
                <w:sz w:val="15"/>
              </w:rPr>
              <w:t>Competes with the original B2C planning experience at a broad category level.</w:t>
            </w:r>
          </w:p>
        </w:tc>
        <w:tc>
          <w:tcPr>
            <w:tcW w:type="dxa" w:w="2520"/>
            <w:vAlign w:val="center"/>
          </w:tcPr>
          <w:p>
            <w:pPr>
              <w:spacing w:after="20"/>
            </w:pPr>
            <w:r/>
            <w:r>
              <w:rPr>
                <w:rFonts w:ascii="Aptos" w:hAnsi="Aptos"/>
                <w:b w:val="0"/>
                <w:sz w:val="15"/>
              </w:rPr>
              <w:t>Triply would need a stronger differentiator than “plan a trip in one place.”</w:t>
            </w:r>
          </w:p>
        </w:tc>
      </w:tr>
      <w:tr>
        <w:tc>
          <w:tcPr>
            <w:tcW w:type="dxa" w:w="2520"/>
            <w:vAlign w:val="center"/>
          </w:tcPr>
          <w:p>
            <w:pPr>
              <w:spacing w:after="20"/>
            </w:pPr>
            <w:r/>
            <w:r>
              <w:rPr>
                <w:rFonts w:ascii="Aptos" w:hAnsi="Aptos"/>
                <w:b/>
                <w:sz w:val="15"/>
              </w:rPr>
              <w:t>Travesy [8]</w:t>
            </w:r>
          </w:p>
        </w:tc>
        <w:tc>
          <w:tcPr>
            <w:tcW w:type="dxa" w:w="2520"/>
            <w:vAlign w:val="center"/>
          </w:tcPr>
          <w:p>
            <w:pPr>
              <w:spacing w:after="20"/>
            </w:pPr>
            <w:r/>
            <w:r>
              <w:rPr>
                <w:rFonts w:ascii="Aptos" w:hAnsi="Aptos"/>
                <w:b w:val="0"/>
                <w:sz w:val="15"/>
              </w:rPr>
              <w:t>Branded trip proposal portals drafted from threads, PDFs or notes; focused on agency proposal workflow.</w:t>
            </w:r>
          </w:p>
        </w:tc>
        <w:tc>
          <w:tcPr>
            <w:tcW w:type="dxa" w:w="2520"/>
            <w:vAlign w:val="center"/>
          </w:tcPr>
          <w:p>
            <w:pPr>
              <w:spacing w:after="20"/>
            </w:pPr>
            <w:r/>
            <w:r>
              <w:rPr>
                <w:rFonts w:ascii="Aptos" w:hAnsi="Aptos"/>
                <w:b w:val="0"/>
                <w:sz w:val="15"/>
              </w:rPr>
              <w:t>Signals active competition in making agency proposals more polished and reducing attachment-heavy workflows.</w:t>
            </w:r>
          </w:p>
        </w:tc>
        <w:tc>
          <w:tcPr>
            <w:tcW w:type="dxa" w:w="2520"/>
            <w:vAlign w:val="center"/>
          </w:tcPr>
          <w:p>
            <w:pPr>
              <w:spacing w:after="20"/>
            </w:pPr>
            <w:r/>
            <w:r>
              <w:rPr>
                <w:rFonts w:ascii="Aptos" w:hAnsi="Aptos"/>
                <w:b w:val="0"/>
                <w:sz w:val="15"/>
              </w:rPr>
              <w:t>Validate a narrow, measurable gap rather than competing on proposal presentation alone.</w:t>
            </w:r>
          </w:p>
        </w:tc>
      </w:tr>
    </w:tbl>
    <w:p>
      <w:pPr>
        <w:pStyle w:val="Heading2"/>
      </w:pPr>
      <w:r>
        <w:t>Competitive conclusion</w:t>
      </w:r>
    </w:p>
    <w:p>
      <w:r>
        <w:t>The most defensible near-term positioning is not “the first interactive trip planner.” It is a testable hypothesis around structured customer choice and change-request handoff in a specific workflow. If competitors already solve that problem, the strategy should pivot to a different underserved segment or return to the broader B2C vision with a clearer differentiation.</w:t>
      </w:r>
    </w:p>
    <w:p>
      <w:pPr>
        <w:pStyle w:val="Heading1"/>
      </w:pPr>
      <w:r>
        <w:t>7. Product strategy and positioning</w:t>
      </w:r>
    </w:p>
    <w:p>
      <w:pPr>
        <w:pStyle w:val="Heading2"/>
      </w:pPr>
      <w:r>
        <w:t>Long-term B2C positioning</w:t>
      </w:r>
    </w:p>
    <w:p>
      <w:r>
        <w:rPr>
          <w:b/>
        </w:rPr>
        <w:t>“Build your trip piece by piece. See what each choice costs.”</w:t>
      </w:r>
    </w:p>
    <w:p>
      <w:r>
        <w:t>This is a positioning direction, not final marketing copy. It communicates choice and price transparency rather than a fixed package or fully automated itinerary.</w:t>
      </w:r>
    </w:p>
    <w:p>
      <w:pPr>
        <w:pStyle w:val="Heading2"/>
      </w:pPr>
      <w:r>
        <w:t>Current MVP positioning</w:t>
      </w:r>
    </w:p>
    <w:p>
      <w:r>
        <w:rPr>
          <w:b/>
        </w:rPr>
        <w:t>“Let customers choose from approved trip options and send back a clear change request.”</w:t>
      </w:r>
    </w:p>
    <w:p>
      <w:r>
        <w:t>This is an internal product hypothesis for agent workflows, not a claim that Flyo has endorsed the feature or that it is absent from Flyo.</w:t>
      </w:r>
    </w:p>
    <w:p>
      <w:pPr>
        <w:pStyle w:val="Heading2"/>
      </w:pPr>
      <w:r>
        <w:t>Product principles</w:t>
      </w:r>
    </w:p>
    <w:p>
      <w:pPr>
        <w:pStyle w:val="ListBullet"/>
        <w:spacing w:after="40"/>
      </w:pPr>
      <w:r>
        <w:t>Choice with guardrails: customers select from options the agent has approved; they do not create unsupported inventory or prices.</w:t>
      </w:r>
    </w:p>
    <w:p>
      <w:pPr>
        <w:pStyle w:val="ListBullet"/>
        <w:spacing w:after="40"/>
      </w:pPr>
      <w:r>
        <w:t>Transparent estimates: show the impact of choices and label estimates as estimates until the agent confirms them.</w:t>
      </w:r>
    </w:p>
    <w:p>
      <w:pPr>
        <w:pStyle w:val="ListBullet"/>
        <w:spacing w:after="40"/>
      </w:pPr>
      <w:r>
        <w:t>Low friction: no customer account should be required for the first demo.</w:t>
      </w:r>
    </w:p>
    <w:p>
      <w:pPr>
        <w:pStyle w:val="ListBullet"/>
        <w:spacing w:after="40"/>
      </w:pPr>
      <w:r>
        <w:t>Workflow fit over dashboard sprawl: do not create a new agent workspace unless customer evidence and integration constraints justify it.</w:t>
      </w:r>
    </w:p>
    <w:p>
      <w:pPr>
        <w:pStyle w:val="ListBullet"/>
        <w:spacing w:after="40"/>
      </w:pPr>
      <w:r>
        <w:t>Human confirmation for commercial commitments: the prototype must not imply live availability, guaranteed pricing or a confirmed booking.</w:t>
      </w:r>
    </w:p>
    <w:p>
      <w:pPr>
        <w:pStyle w:val="Heading1"/>
      </w:pPr>
      <w:r>
        <w:t>8. MVP definition and boundaries</w:t>
      </w:r>
    </w:p>
    <w:p>
      <w:pPr>
        <w:pStyle w:val="Heading2"/>
      </w:pPr>
      <w:r>
        <w:t>In scope</w:t>
      </w:r>
    </w:p>
    <w:p>
      <w:pPr>
        <w:pStyle w:val="ListBullet"/>
        <w:spacing w:after="40"/>
      </w:pPr>
      <w:r>
        <w:t>One sample three-day leisure trip with a clear itinerary and itemized estimate.</w:t>
      </w:r>
    </w:p>
    <w:p>
      <w:pPr>
        <w:pStyle w:val="ListBullet"/>
        <w:spacing w:after="40"/>
      </w:pPr>
      <w:r>
        <w:t>A small set of agent-approved alternatives for a hotel or activity.</w:t>
      </w:r>
    </w:p>
    <w:p>
      <w:pPr>
        <w:pStyle w:val="ListBullet"/>
        <w:spacing w:after="40"/>
      </w:pPr>
      <w:r>
        <w:t>A price estimate that updates deterministically when an option changes.</w:t>
      </w:r>
    </w:p>
    <w:p>
      <w:pPr>
        <w:pStyle w:val="ListBullet"/>
        <w:spacing w:after="40"/>
      </w:pPr>
      <w:r>
        <w:t>A customer note and structured submission containing the selected options.</w:t>
      </w:r>
    </w:p>
    <w:p>
      <w:pPr>
        <w:pStyle w:val="ListBullet"/>
        <w:spacing w:after="40"/>
      </w:pPr>
      <w:r>
        <w:t>A clear confirmation state stating that final availability and price require agent confirmation.</w:t>
      </w:r>
    </w:p>
    <w:p>
      <w:pPr>
        <w:pStyle w:val="ListBullet"/>
        <w:spacing w:after="40"/>
      </w:pPr>
      <w:r>
        <w:t>A demo-only agent summary showing what the customer selected.</w:t>
      </w:r>
    </w:p>
    <w:p>
      <w:pPr>
        <w:pStyle w:val="Heading2"/>
      </w:pPr>
      <w:r>
        <w:t>Out of scope</w:t>
      </w:r>
    </w:p>
    <w:p>
      <w:pPr>
        <w:pStyle w:val="ListBullet"/>
        <w:spacing w:after="40"/>
      </w:pPr>
      <w:r>
        <w:t>Live supplier inventory, pricing APIs, booking or payment.</w:t>
      </w:r>
    </w:p>
    <w:p>
      <w:pPr>
        <w:pStyle w:val="ListBullet"/>
        <w:spacing w:after="40"/>
      </w:pPr>
      <w:r>
        <w:t>AI itinerary generation, marketplace discovery or full B2C account system.</w:t>
      </w:r>
    </w:p>
    <w:p>
      <w:pPr>
        <w:pStyle w:val="ListBullet"/>
        <w:spacing w:after="40"/>
      </w:pPr>
      <w:r>
        <w:t>Production-grade agency dashboard or full CRM.</w:t>
      </w:r>
    </w:p>
    <w:p>
      <w:pPr>
        <w:pStyle w:val="ListBullet"/>
        <w:spacing w:after="40"/>
      </w:pPr>
      <w:r>
        <w:t>Claimed Flyo integration before a supported technical route is confirmed.</w:t>
      </w:r>
    </w:p>
    <w:p>
      <w:pPr>
        <w:pStyle w:val="ListBullet"/>
        <w:spacing w:after="40"/>
      </w:pPr>
      <w:r>
        <w:t>Complex multi-city itinerary dependencies, dynamic inventory holds or supplier reconciliation.</w:t>
      </w:r>
    </w:p>
    <w:p>
      <w:r>
        <w:t>Build order: complete the customer-facing journey first, then persist submissions if needed. The agent summary exists to make the prototype understandable; it should not quietly turn into a second product.</w:t>
      </w:r>
    </w:p>
    <w:p>
      <w:pPr>
        <w:pStyle w:val="Heading1"/>
      </w:pPr>
      <w:r>
        <w:t>9. Business model hypotheses</w:t>
      </w:r>
    </w:p>
    <w:p>
      <w:r>
        <w:t>There are two distinct models, and they should not be blended prematurely.</w:t>
      </w:r>
    </w:p>
    <w:p>
      <w:pPr>
        <w:pStyle w:val="ListBullet"/>
        <w:spacing w:after="40"/>
      </w:pPr>
      <w:r>
        <w:t>B2C long-term options: affiliate/referral revenue from bookings, supplier commissions, premium planning features or partnerships. Each has different dependency and trust implications.</w:t>
      </w:r>
    </w:p>
    <w:p>
      <w:pPr>
        <w:pStyle w:val="ListBullet"/>
        <w:spacing w:after="40"/>
      </w:pPr>
      <w:r>
        <w:t>B2B workflow options: agency subscription, usage-based pricing, or distribution through an existing platform partner. The right model depends on who captures the value and whether the capability is standalone or embedded.</w:t>
      </w:r>
    </w:p>
    <w:p>
      <w:r>
        <w:t>For the Flyo-aligned MVP, monetization is not the first question. The first question is whether the workflow is needed, whether it is already covered, and whether it improves a business outcome such as time-to-confirmation or conversion.</w:t>
      </w:r>
    </w:p>
    <w:p>
      <w:pPr>
        <w:pStyle w:val="Heading1"/>
      </w:pPr>
      <w:r>
        <w:t>10. Go-to-market hypothesis</w:t>
      </w:r>
    </w:p>
    <w:p>
      <w:pPr>
        <w:pStyle w:val="Heading2"/>
      </w:pPr>
      <w:r>
        <w:t>Phase 1: discovery</w:t>
      </w:r>
    </w:p>
    <w:p>
      <w:pPr>
        <w:pStyle w:val="ListNumber"/>
        <w:spacing w:after="40"/>
      </w:pPr>
      <w:r>
        <w:t>Interview 8–12 travel agents or DMC operators who handle customized leisure trips.</w:t>
      </w:r>
    </w:p>
    <w:p>
      <w:pPr>
        <w:pStyle w:val="ListNumber"/>
        <w:spacing w:after="40"/>
      </w:pPr>
      <w:r>
        <w:t>Ask them to walk through the last real proposal that required a customer change, rather than asking whether they like the idea.</w:t>
      </w:r>
    </w:p>
    <w:p>
      <w:pPr>
        <w:pStyle w:val="ListNumber"/>
        <w:spacing w:after="40"/>
      </w:pPr>
      <w:r>
        <w:t>Measure number of clarification messages, number of quote revisions, elapsed time to confirmation, and where errors occur.</w:t>
      </w:r>
    </w:p>
    <w:p>
      <w:pPr>
        <w:pStyle w:val="ListNumber"/>
        <w:spacing w:after="40"/>
      </w:pPr>
      <w:r>
        <w:t>Ask which tools already handle option selection, approval and structured handoff.</w:t>
      </w:r>
    </w:p>
    <w:p>
      <w:pPr>
        <w:pStyle w:val="Heading2"/>
      </w:pPr>
      <w:r>
        <w:t>Phase 2: prototype test</w:t>
      </w:r>
    </w:p>
    <w:p>
      <w:pPr>
        <w:pStyle w:val="ListNumber"/>
        <w:spacing w:after="40"/>
      </w:pPr>
      <w:r>
        <w:t>Show the prototype to 5–8 target users after first understanding their existing workflow.</w:t>
      </w:r>
    </w:p>
    <w:p>
      <w:pPr>
        <w:pStyle w:val="ListNumber"/>
        <w:spacing w:after="40"/>
      </w:pPr>
      <w:r>
        <w:t>Ask each participant to complete a realistic task without coaching.</w:t>
      </w:r>
    </w:p>
    <w:p>
      <w:pPr>
        <w:pStyle w:val="ListNumber"/>
        <w:spacing w:after="40"/>
      </w:pPr>
      <w:r>
        <w:t>Observe where they hesitate, what they expect the system to do, and whether the agent-facing summary is actually useful.</w:t>
      </w:r>
    </w:p>
    <w:p>
      <w:pPr>
        <w:pStyle w:val="ListNumber"/>
        <w:spacing w:after="40"/>
      </w:pPr>
      <w:r>
        <w:t>Compare the prototype with the participant’s current process; do not rely only on compliments or stated intent.</w:t>
      </w:r>
    </w:p>
    <w:p>
      <w:pPr>
        <w:pStyle w:val="Heading2"/>
      </w:pPr>
      <w:r>
        <w:t>Phase 3: narrow pilot</w:t>
      </w:r>
    </w:p>
    <w:p>
      <w:pPr>
        <w:pStyle w:val="ListNumber"/>
        <w:spacing w:after="40"/>
      </w:pPr>
      <w:r>
        <w:t>Only if discovery shows a clear gap, run a small pilot with one or two willing agencies.</w:t>
      </w:r>
    </w:p>
    <w:p>
      <w:pPr>
        <w:pStyle w:val="ListNumber"/>
        <w:spacing w:after="40"/>
      </w:pPr>
      <w:r>
        <w:t>Use sample or agent-entered options initially; avoid live booking commitments.</w:t>
      </w:r>
    </w:p>
    <w:p>
      <w:pPr>
        <w:pStyle w:val="ListNumber"/>
        <w:spacing w:after="40"/>
      </w:pPr>
      <w:r>
        <w:t>Track baseline and pilot workflow metrics for the same type of proposal.</w:t>
      </w:r>
    </w:p>
    <w:p>
      <w:pPr>
        <w:pStyle w:val="ListNumber"/>
        <w:spacing w:after="40"/>
      </w:pPr>
      <w:r>
        <w:t>Explore integration requirements with Flyo only after the workflow value is demonstrated and the product overlap is understood.</w:t>
      </w:r>
    </w:p>
    <w:p>
      <w:pPr>
        <w:pStyle w:val="Heading1"/>
      </w:pPr>
      <w:r>
        <w:t>11. Validation metrics and decision gates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0F2940"/>
          </w:tcPr>
          <w:p>
            <w:pPr>
              <w:spacing w:after="20"/>
            </w:pPr>
            <w:r/>
            <w:r>
              <w:rPr>
                <w:rFonts w:ascii="Aptos" w:hAnsi="Aptos"/>
                <w:b/>
                <w:color w:val="FFFFFF"/>
                <w:sz w:val="17"/>
              </w:rPr>
              <w:t>Metric</w:t>
            </w:r>
          </w:p>
        </w:tc>
        <w:tc>
          <w:tcPr>
            <w:tcW w:type="dxa" w:w="3360"/>
            <w:vAlign w:val="center"/>
            <w:shd w:fill="0F2940"/>
          </w:tcPr>
          <w:p>
            <w:pPr>
              <w:spacing w:after="20"/>
            </w:pPr>
            <w:r/>
            <w:r>
              <w:rPr>
                <w:rFonts w:ascii="Aptos" w:hAnsi="Aptos"/>
                <w:b/>
                <w:color w:val="FFFFFF"/>
                <w:sz w:val="17"/>
              </w:rPr>
              <w:t>What it tests</w:t>
            </w:r>
          </w:p>
        </w:tc>
        <w:tc>
          <w:tcPr>
            <w:tcW w:type="dxa" w:w="3360"/>
            <w:vAlign w:val="center"/>
            <w:shd w:fill="0F2940"/>
          </w:tcPr>
          <w:p>
            <w:pPr>
              <w:spacing w:after="20"/>
            </w:pPr>
            <w:r/>
            <w:r>
              <w:rPr>
                <w:rFonts w:ascii="Aptos" w:hAnsi="Aptos"/>
                <w:b/>
                <w:color w:val="FFFFFF"/>
                <w:sz w:val="17"/>
              </w:rPr>
              <w:t>Early decision signal</w:t>
            </w:r>
          </w:p>
        </w:tc>
      </w:tr>
      <w:tr>
        <w:tc>
          <w:tcPr>
            <w:tcW w:type="dxa" w:w="3360"/>
            <w:vAlign w:val="center"/>
          </w:tcPr>
          <w:p>
            <w:pPr>
              <w:spacing w:after="20"/>
            </w:pPr>
            <w:r/>
            <w:r>
              <w:rPr>
                <w:rFonts w:ascii="Aptos" w:hAnsi="Aptos"/>
                <w:b/>
                <w:sz w:val="16"/>
              </w:rPr>
              <w:t>Change-request handling time</w:t>
            </w:r>
          </w:p>
        </w:tc>
        <w:tc>
          <w:tcPr>
            <w:tcW w:type="dxa" w:w="3360"/>
            <w:vAlign w:val="center"/>
          </w:tcPr>
          <w:p>
            <w:pPr>
              <w:spacing w:after="20"/>
            </w:pPr>
            <w:r/>
            <w:r>
              <w:rPr>
                <w:rFonts w:ascii="Aptos" w:hAnsi="Aptos"/>
                <w:b w:val="0"/>
                <w:sz w:val="16"/>
              </w:rPr>
              <w:t>Does structured input reduce agent work?</w:t>
            </w:r>
          </w:p>
        </w:tc>
        <w:tc>
          <w:tcPr>
            <w:tcW w:type="dxa" w:w="3360"/>
            <w:vAlign w:val="center"/>
          </w:tcPr>
          <w:p>
            <w:pPr>
              <w:spacing w:after="20"/>
            </w:pPr>
            <w:r/>
            <w:r>
              <w:rPr>
                <w:rFonts w:ascii="Aptos" w:hAnsi="Aptos"/>
                <w:b w:val="0"/>
                <w:sz w:val="16"/>
              </w:rPr>
              <w:t>Median handling time is materially lower than baseline.</w:t>
            </w:r>
          </w:p>
        </w:tc>
      </w:tr>
      <w:tr>
        <w:tc>
          <w:tcPr>
            <w:tcW w:type="dxa" w:w="3360"/>
            <w:vAlign w:val="center"/>
          </w:tcPr>
          <w:p>
            <w:pPr>
              <w:spacing w:after="20"/>
            </w:pPr>
            <w:r/>
            <w:r>
              <w:rPr>
                <w:rFonts w:ascii="Aptos" w:hAnsi="Aptos"/>
                <w:b/>
                <w:sz w:val="16"/>
              </w:rPr>
              <w:t>Clarification messages per revised proposal</w:t>
            </w:r>
          </w:p>
        </w:tc>
        <w:tc>
          <w:tcPr>
            <w:tcW w:type="dxa" w:w="3360"/>
            <w:vAlign w:val="center"/>
          </w:tcPr>
          <w:p>
            <w:pPr>
              <w:spacing w:after="20"/>
            </w:pPr>
            <w:r/>
            <w:r>
              <w:rPr>
                <w:rFonts w:ascii="Aptos" w:hAnsi="Aptos"/>
                <w:b w:val="0"/>
                <w:sz w:val="16"/>
              </w:rPr>
              <w:t>Are requests clearer?</w:t>
            </w:r>
          </w:p>
        </w:tc>
        <w:tc>
          <w:tcPr>
            <w:tcW w:type="dxa" w:w="3360"/>
            <w:vAlign w:val="center"/>
          </w:tcPr>
          <w:p>
            <w:pPr>
              <w:spacing w:after="20"/>
            </w:pPr>
            <w:r/>
            <w:r>
              <w:rPr>
                <w:rFonts w:ascii="Aptos" w:hAnsi="Aptos"/>
                <w:b w:val="0"/>
                <w:sz w:val="16"/>
              </w:rPr>
              <w:t>Fewer follow-up messages for comparable changes.</w:t>
            </w:r>
          </w:p>
        </w:tc>
      </w:tr>
      <w:tr>
        <w:tc>
          <w:tcPr>
            <w:tcW w:type="dxa" w:w="3360"/>
            <w:vAlign w:val="center"/>
          </w:tcPr>
          <w:p>
            <w:pPr>
              <w:spacing w:after="20"/>
            </w:pPr>
            <w:r/>
            <w:r>
              <w:rPr>
                <w:rFonts w:ascii="Aptos" w:hAnsi="Aptos"/>
                <w:b/>
                <w:sz w:val="16"/>
              </w:rPr>
              <w:t>Proposal decision time</w:t>
            </w:r>
          </w:p>
        </w:tc>
        <w:tc>
          <w:tcPr>
            <w:tcW w:type="dxa" w:w="3360"/>
            <w:vAlign w:val="center"/>
          </w:tcPr>
          <w:p>
            <w:pPr>
              <w:spacing w:after="20"/>
            </w:pPr>
            <w:r/>
            <w:r>
              <w:rPr>
                <w:rFonts w:ascii="Aptos" w:hAnsi="Aptos"/>
                <w:b w:val="0"/>
                <w:sz w:val="16"/>
              </w:rPr>
              <w:t>Does the experience help customers decide faster?</w:t>
            </w:r>
          </w:p>
        </w:tc>
        <w:tc>
          <w:tcPr>
            <w:tcW w:type="dxa" w:w="3360"/>
            <w:vAlign w:val="center"/>
          </w:tcPr>
          <w:p>
            <w:pPr>
              <w:spacing w:after="20"/>
            </w:pPr>
            <w:r/>
            <w:r>
              <w:rPr>
                <w:rFonts w:ascii="Aptos" w:hAnsi="Aptos"/>
                <w:b w:val="0"/>
                <w:sz w:val="16"/>
              </w:rPr>
              <w:t>Shorter time from proposal share to clear decision.</w:t>
            </w:r>
          </w:p>
        </w:tc>
      </w:tr>
      <w:tr>
        <w:tc>
          <w:tcPr>
            <w:tcW w:type="dxa" w:w="3360"/>
            <w:vAlign w:val="center"/>
          </w:tcPr>
          <w:p>
            <w:pPr>
              <w:spacing w:after="20"/>
            </w:pPr>
            <w:r/>
            <w:r>
              <w:rPr>
                <w:rFonts w:ascii="Aptos" w:hAnsi="Aptos"/>
                <w:b/>
                <w:sz w:val="16"/>
              </w:rPr>
              <w:t>Completion rate</w:t>
            </w:r>
          </w:p>
        </w:tc>
        <w:tc>
          <w:tcPr>
            <w:tcW w:type="dxa" w:w="3360"/>
            <w:vAlign w:val="center"/>
          </w:tcPr>
          <w:p>
            <w:pPr>
              <w:spacing w:after="20"/>
            </w:pPr>
            <w:r/>
            <w:r>
              <w:rPr>
                <w:rFonts w:ascii="Aptos" w:hAnsi="Aptos"/>
                <w:b w:val="0"/>
                <w:sz w:val="16"/>
              </w:rPr>
              <w:t>Can customers complete the flow?</w:t>
            </w:r>
          </w:p>
        </w:tc>
        <w:tc>
          <w:tcPr>
            <w:tcW w:type="dxa" w:w="3360"/>
            <w:vAlign w:val="center"/>
          </w:tcPr>
          <w:p>
            <w:pPr>
              <w:spacing w:after="20"/>
            </w:pPr>
            <w:r/>
            <w:r>
              <w:rPr>
                <w:rFonts w:ascii="Aptos" w:hAnsi="Aptos"/>
                <w:b w:val="0"/>
                <w:sz w:val="16"/>
              </w:rPr>
              <w:t>Target users finish without assistance.</w:t>
            </w:r>
          </w:p>
        </w:tc>
      </w:tr>
      <w:tr>
        <w:tc>
          <w:tcPr>
            <w:tcW w:type="dxa" w:w="3360"/>
            <w:vAlign w:val="center"/>
          </w:tcPr>
          <w:p>
            <w:pPr>
              <w:spacing w:after="20"/>
            </w:pPr>
            <w:r/>
            <w:r>
              <w:rPr>
                <w:rFonts w:ascii="Aptos" w:hAnsi="Aptos"/>
                <w:b/>
                <w:sz w:val="16"/>
              </w:rPr>
              <w:t>Usefulness after real workflow review</w:t>
            </w:r>
          </w:p>
        </w:tc>
        <w:tc>
          <w:tcPr>
            <w:tcW w:type="dxa" w:w="3360"/>
            <w:vAlign w:val="center"/>
          </w:tcPr>
          <w:p>
            <w:pPr>
              <w:spacing w:after="20"/>
            </w:pPr>
            <w:r/>
            <w:r>
              <w:rPr>
                <w:rFonts w:ascii="Aptos" w:hAnsi="Aptos"/>
                <w:b w:val="0"/>
                <w:sz w:val="16"/>
              </w:rPr>
              <w:t>Is the problem important enough to act on?</w:t>
            </w:r>
          </w:p>
        </w:tc>
        <w:tc>
          <w:tcPr>
            <w:tcW w:type="dxa" w:w="3360"/>
            <w:vAlign w:val="center"/>
          </w:tcPr>
          <w:p>
            <w:pPr>
              <w:spacing w:after="20"/>
            </w:pPr>
            <w:r/>
            <w:r>
              <w:rPr>
                <w:rFonts w:ascii="Aptos" w:hAnsi="Aptos"/>
                <w:b w:val="0"/>
                <w:sz w:val="16"/>
              </w:rPr>
              <w:t>Users can name a recurring pain and a concrete consequence.</w:t>
            </w:r>
          </w:p>
        </w:tc>
      </w:tr>
      <w:tr>
        <w:tc>
          <w:tcPr>
            <w:tcW w:type="dxa" w:w="3360"/>
            <w:vAlign w:val="center"/>
          </w:tcPr>
          <w:p>
            <w:pPr>
              <w:spacing w:after="20"/>
            </w:pPr>
            <w:r/>
            <w:r>
              <w:rPr>
                <w:rFonts w:ascii="Aptos" w:hAnsi="Aptos"/>
                <w:b/>
                <w:sz w:val="16"/>
              </w:rPr>
              <w:t>Feature overlap check</w:t>
            </w:r>
          </w:p>
        </w:tc>
        <w:tc>
          <w:tcPr>
            <w:tcW w:type="dxa" w:w="3360"/>
            <w:vAlign w:val="center"/>
          </w:tcPr>
          <w:p>
            <w:pPr>
              <w:spacing w:after="20"/>
            </w:pPr>
            <w:r/>
            <w:r>
              <w:rPr>
                <w:rFonts w:ascii="Aptos" w:hAnsi="Aptos"/>
                <w:b w:val="0"/>
                <w:sz w:val="16"/>
              </w:rPr>
              <w:t>Is there a meaningful product gap?</w:t>
            </w:r>
          </w:p>
        </w:tc>
        <w:tc>
          <w:tcPr>
            <w:tcW w:type="dxa" w:w="3360"/>
            <w:vAlign w:val="center"/>
          </w:tcPr>
          <w:p>
            <w:pPr>
              <w:spacing w:after="20"/>
            </w:pPr>
            <w:r/>
            <w:r>
              <w:rPr>
                <w:rFonts w:ascii="Aptos" w:hAnsi="Aptos"/>
                <w:b w:val="0"/>
                <w:sz w:val="16"/>
              </w:rPr>
              <w:t>Existing tools do not already solve the workflow adequately.</w:t>
            </w:r>
          </w:p>
        </w:tc>
      </w:tr>
    </w:tbl>
    <w:p>
      <w:r>
        <w:t>Avoid setting arbitrary percentage improvement targets before collecting a baseline. First measure the current process, then agree on a meaningful threshold with pilot users.</w:t>
      </w:r>
    </w:p>
    <w:p>
      <w:pPr>
        <w:pStyle w:val="Heading1"/>
      </w:pPr>
      <w:r>
        <w:t>12. Risks and mitigations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0F2940"/>
          </w:tcPr>
          <w:p>
            <w:pPr>
              <w:spacing w:after="20"/>
            </w:pPr>
            <w:r/>
            <w:r>
              <w:rPr>
                <w:rFonts w:ascii="Aptos" w:hAnsi="Aptos"/>
                <w:b/>
                <w:color w:val="FFFFFF"/>
                <w:sz w:val="17"/>
              </w:rPr>
              <w:t>Risk</w:t>
            </w:r>
          </w:p>
        </w:tc>
        <w:tc>
          <w:tcPr>
            <w:tcW w:type="dxa" w:w="5040"/>
            <w:vAlign w:val="center"/>
            <w:shd w:fill="0F2940"/>
          </w:tcPr>
          <w:p>
            <w:pPr>
              <w:spacing w:after="20"/>
            </w:pPr>
            <w:r/>
            <w:r>
              <w:rPr>
                <w:rFonts w:ascii="Aptos" w:hAnsi="Aptos"/>
                <w:b/>
                <w:color w:val="FFFFFF"/>
                <w:sz w:val="17"/>
              </w:rPr>
              <w:t>Mitigation</w:t>
            </w:r>
          </w:p>
        </w:tc>
      </w:tr>
      <w:tr>
        <w:tc>
          <w:tcPr>
            <w:tcW w:type="dxa" w:w="5040"/>
            <w:vAlign w:val="center"/>
          </w:tcPr>
          <w:p>
            <w:pPr>
              <w:spacing w:after="20"/>
            </w:pPr>
            <w:r/>
            <w:r>
              <w:rPr>
                <w:rFonts w:ascii="Aptos" w:hAnsi="Aptos"/>
                <w:b/>
                <w:sz w:val="16"/>
              </w:rPr>
              <w:t>Feature already exists</w:t>
            </w:r>
          </w:p>
        </w:tc>
        <w:tc>
          <w:tcPr>
            <w:tcW w:type="dxa" w:w="5040"/>
            <w:vAlign w:val="center"/>
          </w:tcPr>
          <w:p>
            <w:pPr>
              <w:spacing w:after="20"/>
            </w:pPr>
            <w:r/>
            <w:r>
              <w:rPr>
                <w:rFonts w:ascii="Aptos" w:hAnsi="Aptos"/>
                <w:b w:val="0"/>
                <w:sz w:val="16"/>
              </w:rPr>
              <w:t>Research and interview first; compare exact workflows and avoid presenting a feature as novel without evidence.</w:t>
            </w:r>
          </w:p>
        </w:tc>
      </w:tr>
      <w:tr>
        <w:tc>
          <w:tcPr>
            <w:tcW w:type="dxa" w:w="5040"/>
            <w:vAlign w:val="center"/>
          </w:tcPr>
          <w:p>
            <w:pPr>
              <w:spacing w:after="20"/>
            </w:pPr>
            <w:r/>
            <w:r>
              <w:rPr>
                <w:rFonts w:ascii="Aptos" w:hAnsi="Aptos"/>
                <w:b/>
                <w:sz w:val="16"/>
              </w:rPr>
              <w:t>Weak urgency</w:t>
            </w:r>
          </w:p>
        </w:tc>
        <w:tc>
          <w:tcPr>
            <w:tcW w:type="dxa" w:w="5040"/>
            <w:vAlign w:val="center"/>
          </w:tcPr>
          <w:p>
            <w:pPr>
              <w:spacing w:after="20"/>
            </w:pPr>
            <w:r/>
            <w:r>
              <w:rPr>
                <w:rFonts w:ascii="Aptos" w:hAnsi="Aptos"/>
                <w:b w:val="0"/>
                <w:sz w:val="16"/>
              </w:rPr>
              <w:t>Anchor interviews in recent real examples, time cost and lost/ delayed bookings.</w:t>
            </w:r>
          </w:p>
        </w:tc>
      </w:tr>
      <w:tr>
        <w:tc>
          <w:tcPr>
            <w:tcW w:type="dxa" w:w="5040"/>
            <w:vAlign w:val="center"/>
          </w:tcPr>
          <w:p>
            <w:pPr>
              <w:spacing w:after="20"/>
            </w:pPr>
            <w:r/>
            <w:r>
              <w:rPr>
                <w:rFonts w:ascii="Aptos" w:hAnsi="Aptos"/>
                <w:b/>
                <w:sz w:val="16"/>
              </w:rPr>
              <w:t>Confusing estimate with confirmed price</w:t>
            </w:r>
          </w:p>
        </w:tc>
        <w:tc>
          <w:tcPr>
            <w:tcW w:type="dxa" w:w="5040"/>
            <w:vAlign w:val="center"/>
          </w:tcPr>
          <w:p>
            <w:pPr>
              <w:spacing w:after="20"/>
            </w:pPr>
            <w:r/>
            <w:r>
              <w:rPr>
                <w:rFonts w:ascii="Aptos" w:hAnsi="Aptos"/>
                <w:b w:val="0"/>
                <w:sz w:val="16"/>
              </w:rPr>
              <w:t>Use visible estimate labels and explicit agent confirmation.</w:t>
            </w:r>
          </w:p>
        </w:tc>
      </w:tr>
      <w:tr>
        <w:tc>
          <w:tcPr>
            <w:tcW w:type="dxa" w:w="5040"/>
            <w:vAlign w:val="center"/>
          </w:tcPr>
          <w:p>
            <w:pPr>
              <w:spacing w:after="20"/>
            </w:pPr>
            <w:r/>
            <w:r>
              <w:rPr>
                <w:rFonts w:ascii="Aptos" w:hAnsi="Aptos"/>
                <w:b/>
                <w:sz w:val="16"/>
              </w:rPr>
              <w:t>Too much product scope</w:t>
            </w:r>
          </w:p>
        </w:tc>
        <w:tc>
          <w:tcPr>
            <w:tcW w:type="dxa" w:w="5040"/>
            <w:vAlign w:val="center"/>
          </w:tcPr>
          <w:p>
            <w:pPr>
              <w:spacing w:after="20"/>
            </w:pPr>
            <w:r/>
            <w:r>
              <w:rPr>
                <w:rFonts w:ascii="Aptos" w:hAnsi="Aptos"/>
                <w:b w:val="0"/>
                <w:sz w:val="16"/>
              </w:rPr>
              <w:t>Build one proposal, a few choices and one structured submission.</w:t>
            </w:r>
          </w:p>
        </w:tc>
      </w:tr>
      <w:tr>
        <w:tc>
          <w:tcPr>
            <w:tcW w:type="dxa" w:w="5040"/>
            <w:vAlign w:val="center"/>
          </w:tcPr>
          <w:p>
            <w:pPr>
              <w:spacing w:after="20"/>
            </w:pPr>
            <w:r/>
            <w:r>
              <w:rPr>
                <w:rFonts w:ascii="Aptos" w:hAnsi="Aptos"/>
                <w:b/>
                <w:sz w:val="16"/>
              </w:rPr>
              <w:t>Misalignment with Flyo</w:t>
            </w:r>
          </w:p>
        </w:tc>
        <w:tc>
          <w:tcPr>
            <w:tcW w:type="dxa" w:w="5040"/>
            <w:vAlign w:val="center"/>
          </w:tcPr>
          <w:p>
            <w:pPr>
              <w:spacing w:after="20"/>
            </w:pPr>
            <w:r/>
            <w:r>
              <w:rPr>
                <w:rFonts w:ascii="Aptos" w:hAnsi="Aptos"/>
                <w:b w:val="0"/>
                <w:sz w:val="16"/>
              </w:rPr>
              <w:t>Treat Flyo as a potential ecosystem context, not a presumed customer or integration partner.</w:t>
            </w:r>
          </w:p>
        </w:tc>
      </w:tr>
      <w:tr>
        <w:tc>
          <w:tcPr>
            <w:tcW w:type="dxa" w:w="5040"/>
            <w:vAlign w:val="center"/>
          </w:tcPr>
          <w:p>
            <w:pPr>
              <w:spacing w:after="20"/>
            </w:pPr>
            <w:r/>
            <w:r>
              <w:rPr>
                <w:rFonts w:ascii="Aptos" w:hAnsi="Aptos"/>
                <w:b/>
                <w:sz w:val="16"/>
              </w:rPr>
              <w:t>B2C vision gets lost</w:t>
            </w:r>
          </w:p>
        </w:tc>
        <w:tc>
          <w:tcPr>
            <w:tcW w:type="dxa" w:w="5040"/>
            <w:vAlign w:val="center"/>
          </w:tcPr>
          <w:p>
            <w:pPr>
              <w:spacing w:after="20"/>
            </w:pPr>
            <w:r/>
            <w:r>
              <w:rPr>
                <w:rFonts w:ascii="Aptos" w:hAnsi="Aptos"/>
                <w:b w:val="0"/>
                <w:sz w:val="16"/>
              </w:rPr>
              <w:t>Document the origin and keep the modular-choice principle visible in strategy and prototype decisions.</w:t>
            </w:r>
          </w:p>
        </w:tc>
      </w:tr>
    </w:tbl>
    <w:p>
      <w:pPr>
        <w:pStyle w:val="Heading1"/>
      </w:pPr>
      <w:r>
        <w:t>13. Recommended roadmap</w:t>
      </w:r>
    </w:p>
    <w:p>
      <w:pPr>
        <w:spacing w:after="60"/>
      </w:pPr>
      <w:r>
        <w:rPr>
          <w:b/>
        </w:rPr>
        <w:t xml:space="preserve">Step 1: clarify — </w:t>
      </w:r>
      <w:r>
        <w:t>Confirm the exact current product scope and the original B2C vision.</w:t>
      </w:r>
    </w:p>
    <w:p>
      <w:pPr>
        <w:spacing w:after="60"/>
      </w:pPr>
      <w:r>
        <w:rPr>
          <w:b/>
        </w:rPr>
        <w:t xml:space="preserve">Step 2: discover — </w:t>
      </w:r>
      <w:r>
        <w:t>Interview agents and review existing tools, including Flyo and Travefy, for feature overlap.</w:t>
      </w:r>
    </w:p>
    <w:p>
      <w:pPr>
        <w:spacing w:after="60"/>
      </w:pPr>
      <w:r>
        <w:rPr>
          <w:b/>
        </w:rPr>
        <w:t xml:space="preserve">Step 3: prototype — </w:t>
      </w:r>
      <w:r>
        <w:t>Build the customer option-selection flow and structured request summary with sample data.</w:t>
      </w:r>
    </w:p>
    <w:p>
      <w:pPr>
        <w:spacing w:after="60"/>
      </w:pPr>
      <w:r>
        <w:rPr>
          <w:b/>
        </w:rPr>
        <w:t xml:space="preserve">Step 4: test — </w:t>
      </w:r>
      <w:r>
        <w:t>Run usability sessions and compare the workflow with the current method.</w:t>
      </w:r>
    </w:p>
    <w:p>
      <w:pPr>
        <w:spacing w:after="60"/>
      </w:pPr>
      <w:r>
        <w:rPr>
          <w:b/>
        </w:rPr>
        <w:t xml:space="preserve">Step 5: decide — </w:t>
      </w:r>
      <w:r>
        <w:t>Continue, pivot or stop based on evidence of a meaningful gap and measurable benefit.</w:t>
      </w:r>
    </w:p>
    <w:p>
      <w:pPr>
        <w:spacing w:after="60"/>
      </w:pPr>
      <w:r>
        <w:rPr>
          <w:b/>
        </w:rPr>
        <w:t xml:space="preserve">Step 6: integrate only if justified — </w:t>
      </w:r>
      <w:r>
        <w:t>Discuss API, webhook or existing-channel handoff with a potential platform partner only after the value proposition is clear.</w:t>
      </w:r>
    </w:p>
    <w:p>
      <w:pPr>
        <w:pStyle w:val="Heading1"/>
      </w:pPr>
      <w:r>
        <w:t>14. Suggested framing for Shubham</w:t>
      </w:r>
    </w:p>
    <w:p>
      <w:pPr>
        <w:ind w:left="360" w:right="360"/>
      </w:pPr>
      <w:r>
        <w:rPr>
          <w:i/>
        </w:rPr>
        <w:t>“My original idea was B2C: a modular trip planner where travellers choose the pieces they want and see the cost transparently. After looking at Flyo’s focus on travel-agent workflows, I narrowed the MVP to test one possible extension: letting customers choose from agent-approved options in a shared proposal and send back structured choices. I haven’t assumed this is a gap in Flyo, especially because proposal tools already offer some interactive option-selection features. I built the prototype to get your view on whether this workflow is useful, already solved, or needs a different angle.”</w:t>
      </w:r>
    </w:p>
    <w:p>
      <w:pPr>
        <w:pStyle w:val="Heading1"/>
      </w:pPr>
      <w:r>
        <w:t>15. Bottom-line recommendation</w:t>
      </w:r>
    </w:p>
    <w:p>
      <w:r>
        <w:t>Proceed with the small prototype, but treat it as a discovery instrument rather than proof of a business. The market is large, yet broad market size does not establish a product opportunity. The strongest next step is to identify a specific repeated problem, test whether current products solve it, and measure whether Triply can improve the outcome.</w:t>
      </w:r>
    </w:p>
    <w:p>
      <w:r>
        <w:t>If the structured change-request flow is already well served, do not force it. Revisit the original B2C modular planner and search for a differentiated segment or use case. A disciplined pivot is better than polishing a clone.</w:t>
      </w:r>
    </w:p>
    <w:p>
      <w:pPr>
        <w:pStyle w:val="Heading1"/>
      </w:pPr>
      <w:r>
        <w:t>Sources and research notes</w:t>
      </w:r>
    </w:p>
    <w:p>
      <w:pPr>
        <w:pStyle w:val="ListNumber"/>
        <w:spacing w:after="40"/>
      </w:pPr>
      <w:hyperlink r:id="rId9">
        <w:r>
          <w:rPr>
            <w:color w:val="1673B1"/>
            <w:u w:val="single"/>
          </w:rPr>
          <w:t>[1] Flyo official website and product positioning</w:t>
        </w:r>
      </w:hyperlink>
      <w:r>
        <w:t xml:space="preserve"> — Official source; product claims reflect the company’s own descriptions.</w:t>
      </w:r>
    </w:p>
    <w:p>
      <w:pPr>
        <w:pStyle w:val="ListNumber"/>
        <w:spacing w:after="40"/>
      </w:pPr>
      <w:hyperlink r:id="rId10">
        <w:r>
          <w:rPr>
            <w:color w:val="1673B1"/>
            <w:u w:val="single"/>
          </w:rPr>
          <w:t>[2] Ministry of Tourism, Government of India, India Tourism Data Compendium 2025 / 2024 statistics</w:t>
        </w:r>
      </w:hyperlink>
      <w:r>
        <w:t xml:space="preserve"> — Government source; domestic visits are visits, not unique travellers or addressable customers.</w:t>
      </w:r>
    </w:p>
    <w:p>
      <w:pPr>
        <w:pStyle w:val="ListNumber"/>
        <w:spacing w:after="40"/>
      </w:pPr>
      <w:hyperlink r:id="rId11">
        <w:r>
          <w:rPr>
            <w:color w:val="1673B1"/>
            <w:u w:val="single"/>
          </w:rPr>
          <w:t>[3] Mordor Intelligence, India Online Travel Market</w:t>
        </w:r>
      </w:hyperlink>
      <w:r>
        <w:t xml:space="preserve"> — Commercial market estimate; definitions and forecast methodology are proprietary.</w:t>
      </w:r>
    </w:p>
    <w:p>
      <w:pPr>
        <w:pStyle w:val="ListNumber"/>
        <w:spacing w:after="40"/>
      </w:pPr>
      <w:hyperlink r:id="rId12">
        <w:r>
          <w:rPr>
            <w:color w:val="1673B1"/>
            <w:u w:val="single"/>
          </w:rPr>
          <w:t>[4] IMARC Group, India Online Travel Market</w:t>
        </w:r>
      </w:hyperlink>
      <w:r>
        <w:t xml:space="preserve"> — A different commercial estimate with a materially different market size; illustrates estimate variance.</w:t>
      </w:r>
    </w:p>
    <w:p>
      <w:pPr>
        <w:pStyle w:val="ListNumber"/>
        <w:spacing w:after="40"/>
      </w:pPr>
      <w:hyperlink r:id="rId13">
        <w:r>
          <w:rPr>
            <w:color w:val="1673B1"/>
            <w:u w:val="single"/>
          </w:rPr>
          <w:t>[5] Travefy, Travel Agent Software</w:t>
        </w:r>
      </w:hyperlink>
      <w:r>
        <w:t xml:space="preserve"> — Official competitor source describing proposals, selectable options and agency workflow features.</w:t>
      </w:r>
    </w:p>
    <w:p>
      <w:pPr>
        <w:pStyle w:val="ListNumber"/>
        <w:spacing w:after="40"/>
      </w:pPr>
      <w:hyperlink r:id="rId14">
        <w:r>
          <w:rPr>
            <w:color w:val="1673B1"/>
            <w:u w:val="single"/>
          </w:rPr>
          <w:t>[6] Travefy, Proposal &amp; Quoting Tools</w:t>
        </w:r>
      </w:hyperlink>
      <w:r>
        <w:t xml:space="preserve"> — Official competitor source describing side-by-side proposals and event-level choices.</w:t>
      </w:r>
    </w:p>
    <w:p>
      <w:pPr>
        <w:pStyle w:val="ListNumber"/>
        <w:spacing w:after="40"/>
      </w:pPr>
      <w:hyperlink r:id="rId15">
        <w:r>
          <w:rPr>
            <w:color w:val="1673B1"/>
            <w:u w:val="single"/>
          </w:rPr>
          <w:t>[7] Wanderlog, Travel Planner</w:t>
        </w:r>
      </w:hyperlink>
      <w:r>
        <w:t xml:space="preserve"> — Official consumer product source describing itinerary planning and collaboration.</w:t>
      </w:r>
    </w:p>
    <w:p>
      <w:pPr>
        <w:pStyle w:val="ListNumber"/>
        <w:spacing w:after="40"/>
      </w:pPr>
      <w:hyperlink r:id="rId16">
        <w:r>
          <w:rPr>
            <w:color w:val="1673B1"/>
            <w:u w:val="single"/>
          </w:rPr>
          <w:t>[8] Travesy, Travel Proposal Software</w:t>
        </w:r>
      </w:hyperlink>
      <w:r>
        <w:t xml:space="preserve"> — Official competitor source describing branded proposal portals and proposal generation.</w:t>
      </w:r>
    </w:p>
    <w:p>
      <w:r>
        <w:t>Research limitation: this is a desk-research strategy document, not primary market research. Public websites show positioning and advertised features, not complete feature parity, customer outcomes, pricing, or internal roadmaps. Competitor features and market estimates should be rechecked before external use.</w:t>
      </w:r>
    </w:p>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Triply | Product &amp; Market Strategy | Research snapshot: 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29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37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53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294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lyo.ai/" TargetMode="External"/><Relationship Id="rId10" Type="http://schemas.openxmlformats.org/officeDocument/2006/relationships/hyperlink" Target="https://data.tourism.gov.in/tourismdata" TargetMode="External"/><Relationship Id="rId11" Type="http://schemas.openxmlformats.org/officeDocument/2006/relationships/hyperlink" Target="https://www.mordorintelligence.com/industry-reports/online-travel-market-in-india" TargetMode="External"/><Relationship Id="rId12" Type="http://schemas.openxmlformats.org/officeDocument/2006/relationships/hyperlink" Target="https://www.imarcgroup.com/india-online-travel-market" TargetMode="External"/><Relationship Id="rId13" Type="http://schemas.openxmlformats.org/officeDocument/2006/relationships/hyperlink" Target="https://www.travefy.com/solutions/agent" TargetMode="External"/><Relationship Id="rId14" Type="http://schemas.openxmlformats.org/officeDocument/2006/relationships/hyperlink" Target="https://go.travefy.com/quote-proposal-tools" TargetMode="External"/><Relationship Id="rId15" Type="http://schemas.openxmlformats.org/officeDocument/2006/relationships/hyperlink" Target="https://wanderlog.com/en" TargetMode="External"/><Relationship Id="rId16" Type="http://schemas.openxmlformats.org/officeDocument/2006/relationships/hyperlink" Target="https://travesy.com/"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