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AD9B" w14:textId="77777777" w:rsidR="00AF79D6" w:rsidRDefault="00AF79D6" w:rsidP="00AF79D6">
      <w:pPr>
        <w:pStyle w:val="papertitle"/>
      </w:pPr>
      <w:r>
        <w:t>DEEP LEARNING BASED CATTLE AND BUFFALO IMAGE CLASSIFICATION SYSTEM</w:t>
      </w:r>
    </w:p>
    <w:p w14:paraId="1F960E65" w14:textId="22FED009"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E23B33D" w14:textId="77777777" w:rsidR="00AF79D6" w:rsidRPr="00AF79D6" w:rsidRDefault="00AF79D6" w:rsidP="00AF79D6">
      <w:pPr>
        <w:pStyle w:val="Author"/>
        <w:spacing w:before="0" w:after="20"/>
        <w:rPr>
          <w:b/>
          <w:sz w:val="21"/>
        </w:rPr>
      </w:pPr>
      <w:r w:rsidRPr="00AF79D6">
        <w:rPr>
          <w:b/>
          <w:sz w:val="21"/>
        </w:rPr>
        <w:t>[STUDENT NAME]</w:t>
      </w:r>
    </w:p>
    <w:p w14:paraId="775169A7" w14:textId="77777777" w:rsidR="00AF79D6" w:rsidRPr="00AF79D6" w:rsidRDefault="00AF79D6" w:rsidP="00AF79D6">
      <w:pPr>
        <w:pStyle w:val="Author"/>
        <w:spacing w:before="0" w:after="20"/>
        <w:rPr>
          <w:sz w:val="18"/>
        </w:rPr>
      </w:pPr>
      <w:r w:rsidRPr="00AF79D6">
        <w:rPr>
          <w:sz w:val="18"/>
        </w:rPr>
        <w:t>Dept. of Computer Applications (PG)</w:t>
      </w:r>
    </w:p>
    <w:p w14:paraId="3C1C69BA" w14:textId="77777777" w:rsidR="00AF79D6" w:rsidRPr="00AF79D6" w:rsidRDefault="00AF79D6" w:rsidP="00AF79D6">
      <w:pPr>
        <w:pStyle w:val="Author"/>
        <w:spacing w:before="0" w:after="20"/>
        <w:rPr>
          <w:sz w:val="18"/>
        </w:rPr>
      </w:pPr>
      <w:r w:rsidRPr="00AF79D6">
        <w:rPr>
          <w:sz w:val="18"/>
        </w:rPr>
        <w:t>PSG College of Arts &amp; Science</w:t>
      </w:r>
    </w:p>
    <w:p w14:paraId="05E0E2F4" w14:textId="77777777" w:rsidR="00AF79D6" w:rsidRPr="00AF79D6" w:rsidRDefault="00AF79D6" w:rsidP="00AF79D6">
      <w:pPr>
        <w:pStyle w:val="Author"/>
        <w:spacing w:before="0" w:after="20"/>
        <w:rPr>
          <w:sz w:val="18"/>
        </w:rPr>
      </w:pPr>
      <w:r w:rsidRPr="00AF79D6">
        <w:rPr>
          <w:sz w:val="18"/>
        </w:rPr>
        <w:t>Coimbatore, India</w:t>
      </w:r>
    </w:p>
    <w:p w14:paraId="0BEDF3EE" w14:textId="77777777" w:rsidR="00AF79D6" w:rsidRPr="00AF79D6" w:rsidRDefault="00AF79D6" w:rsidP="00AF79D6">
      <w:pPr>
        <w:pStyle w:val="Author"/>
        <w:spacing w:before="0" w:after="20"/>
        <w:rPr>
          <w:i/>
          <w:sz w:val="17"/>
        </w:rPr>
      </w:pPr>
      <w:r w:rsidRPr="00AF79D6">
        <w:rPr>
          <w:i/>
          <w:sz w:val="17"/>
        </w:rPr>
        <w:t>[student.email@example.com]</w:t>
      </w:r>
    </w:p>
    <w:p w14:paraId="02F0642A" w14:textId="77777777" w:rsidR="00AF79D6" w:rsidRPr="00AF79D6" w:rsidRDefault="00AF79D6" w:rsidP="00AF79D6">
      <w:pPr>
        <w:pStyle w:val="Author"/>
        <w:spacing w:before="0" w:after="20"/>
        <w:rPr>
          <w:sz w:val="18"/>
        </w:rPr>
      </w:pPr>
      <w:r w:rsidRPr="00AF79D6">
        <w:rPr>
          <w:sz w:val="18"/>
        </w:rPr>
        <w:br w:type="column"/>
        <w:t>[FACULTY GUIDE NAME]</w:t>
      </w:r>
    </w:p>
    <w:p w14:paraId="244ACB05" w14:textId="77777777" w:rsidR="00AF79D6" w:rsidRPr="00AF79D6" w:rsidRDefault="00AF79D6" w:rsidP="00AF79D6">
      <w:pPr>
        <w:pStyle w:val="Author"/>
        <w:spacing w:before="0" w:after="20"/>
        <w:rPr>
          <w:sz w:val="18"/>
        </w:rPr>
      </w:pPr>
      <w:r w:rsidRPr="00AF79D6">
        <w:rPr>
          <w:sz w:val="18"/>
        </w:rPr>
        <w:t>Dept. of Computer Applications (PG)</w:t>
      </w:r>
    </w:p>
    <w:p w14:paraId="1DAA4A9F" w14:textId="77777777" w:rsidR="00AF79D6" w:rsidRPr="00AF79D6" w:rsidRDefault="00AF79D6" w:rsidP="00AF79D6">
      <w:pPr>
        <w:pStyle w:val="Author"/>
        <w:spacing w:before="0" w:after="20"/>
        <w:rPr>
          <w:sz w:val="18"/>
        </w:rPr>
      </w:pPr>
      <w:r w:rsidRPr="00AF79D6">
        <w:rPr>
          <w:sz w:val="18"/>
        </w:rPr>
        <w:t>PSG College of Arts &amp; Science</w:t>
      </w:r>
    </w:p>
    <w:p w14:paraId="1FC8F7A8" w14:textId="77777777" w:rsidR="00AF79D6" w:rsidRPr="00AF79D6" w:rsidRDefault="00AF79D6" w:rsidP="00AF79D6">
      <w:pPr>
        <w:pStyle w:val="Author"/>
        <w:spacing w:before="0" w:after="20"/>
        <w:rPr>
          <w:sz w:val="18"/>
        </w:rPr>
      </w:pPr>
      <w:r w:rsidRPr="00AF79D6">
        <w:rPr>
          <w:sz w:val="18"/>
        </w:rPr>
        <w:t>Coimbatore, India</w:t>
      </w:r>
    </w:p>
    <w:p w14:paraId="159398DE" w14:textId="77777777" w:rsidR="00AF79D6" w:rsidRPr="00AF79D6" w:rsidRDefault="00AF79D6" w:rsidP="00AF79D6">
      <w:pPr>
        <w:pStyle w:val="Author"/>
        <w:spacing w:before="0" w:after="20"/>
        <w:rPr>
          <w:i/>
          <w:sz w:val="17"/>
        </w:rPr>
      </w:pPr>
      <w:r w:rsidRPr="00AF79D6">
        <w:rPr>
          <w:i/>
          <w:sz w:val="17"/>
        </w:rPr>
        <w:t>[guide.email@example.com]</w:t>
      </w:r>
    </w:p>
    <w:p w14:paraId="0316535E" w14:textId="37B428F2" w:rsidR="009F1D79" w:rsidRDefault="009F1D79">
      <w:pPr>
        <w:sectPr w:rsidR="009F1D79" w:rsidSect="00AF79D6">
          <w:type w:val="continuous"/>
          <w:pgSz w:w="11906" w:h="16838" w:code="9"/>
          <w:pgMar w:top="450" w:right="893" w:bottom="1440" w:left="893" w:header="720" w:footer="720" w:gutter="0"/>
          <w:cols w:num="2" w:space="720"/>
          <w:docGrid w:linePitch="360"/>
        </w:sectPr>
      </w:pPr>
    </w:p>
    <w:p w14:paraId="0A88E65D" w14:textId="5A5C4507"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0F17877F" w14:textId="77777777" w:rsidR="00AF79D6" w:rsidRDefault="00AF79D6" w:rsidP="00AF79D6">
      <w:pPr>
        <w:pStyle w:val="Abstract"/>
        <w:spacing w:before="120" w:after="80"/>
      </w:pPr>
      <w:r w:rsidRPr="00AF79D6">
        <w:rPr>
          <w:i/>
        </w:rPr>
        <w:t>Abstract—</w:t>
      </w:r>
      <w:r>
        <w:t>Automated breed classification of indigenous livestock is vital for biodiversity conservation, selective breeding programs, and agricultural policy administration under India's national livestock missions. However, manual visual identification is heavily constrained by subtle morphological variations, uneven field lighting, and human observer bias. In this paper, we present an end-to-end deep learning framework for the fine-grained classification of 82 indigenous Indian cattle and buffalo breeds (comprising 59 distinct cattle breeds and 23 distinct buffalo breeds). We construct and curate a verified photographic benchmark of 589 real field images, rigorously partitioned into 382 training, 84 validation, and 123 strictly locked, unseen test samples. Data leakage was completely eliminated using cryptographic MD5 and perceptual hash deduplication (0% overlap). To alleviate extreme class imbalance (median of 2 real images per class), training was augmented with 2,079 synthesized images while maintaining 100% real validation and test partitions. Our classification pipeline integrates YOLO-based animal detection with 15% context-preserving aspect-ratio padding and a two-stage transfer learning strategy employing an EfficientNet-B0 backbone with label smoothing. On the locked real test set, the system achieved 39.02% Top-1 accuracy, 52.85% Top-3 accuracy, and a Macro F1-score of 19.48% across all 82 fine-grained classes, outperforming the 13.04% baseline by +25.98% Top-1 and +20.68% Top-3 accuracy. Cattle and buffalo sub-group accuracies reached 35.56% and 39.39%, respectively, while a controlled 6-class diagnostic experiment achieved 65.22% Top-1 accuracy. Visual interpretability via Gradient-weighted Class Activation Mapping (Grad-CAM) confirms that the model grounds predictions on salient breed-specific morphological traits including thoracic humps, dewlap folds, and horn curvature. Finally, we scientifically examine the physical limiting factors preventing an aspirational 92% accuracy target, attributing the performance ceiling to severe real-world data scarcity, single-sample test distributions in 59 breeds, and phenotypic convergence across geographically contiguous breeds.</w:t>
      </w:r>
    </w:p>
    <w:p w14:paraId="1E93CF8F" w14:textId="77777777" w:rsidR="00AF79D6" w:rsidRDefault="00AF79D6" w:rsidP="00AF79D6">
      <w:pPr>
        <w:pStyle w:val="Keywords"/>
        <w:spacing w:before="40" w:after="160"/>
      </w:pPr>
      <w:r w:rsidRPr="00AF79D6">
        <w:t>Keywords—</w:t>
      </w:r>
      <w:r>
        <w:t>Deep Learning, Image Classification, Cattle Breeds, Buffalo Breeds, Computer Vision, Livestock, Convolutional Neural Network, Transfer Learning, Explainable AI.</w:t>
      </w:r>
    </w:p>
    <w:p w14:paraId="1EA7D8F7" w14:textId="77777777" w:rsidR="00AF79D6" w:rsidRDefault="00AF79D6" w:rsidP="00AF79D6">
      <w:pPr>
        <w:pStyle w:val="Heading1"/>
        <w:keepNext w:val="0"/>
        <w:spacing w:after="60"/>
      </w:pPr>
      <w:r>
        <w:t>I.  INTRODUCTION</w:t>
      </w:r>
    </w:p>
    <w:p w14:paraId="6C7AE9F9" w14:textId="77777777" w:rsidR="00AF79D6" w:rsidRDefault="00AF79D6" w:rsidP="00AF79D6">
      <w:pPr>
        <w:pStyle w:val="BodyText"/>
        <w:spacing w:after="60"/>
      </w:pPr>
      <w:r>
        <w:t>The livestock sector constitutes the backbone of India's agrarian economy, contributing over 5% to the national Gross Domestic Product and sustaining the livelihoods of more than 20.5 million rural households. India possesses the world's largest bovine population, characterized by a rich genetic reservoir of indigenous cattle (Bos indicus) and riverine buffaloes (Bubalus bubalis) adapted to diverse agro-climatic conditions, tick resistance, and tropical heat tolerance [1]. The Indian Council of Agricultural Research – National Bureau of Animal Genetic Resources (ICAR-NBAGR) officially recognizes dozens of distinct indigenous bovine breeds, whose accurate tracking is mandated by initiatives such as the Rashtriya Gokul Mission and national livestock census operations [2].</w:t>
      </w:r>
    </w:p>
    <w:p w14:paraId="73245ACC" w14:textId="77777777" w:rsidR="00AF79D6" w:rsidRDefault="00AF79D6" w:rsidP="00AF79D6">
      <w:pPr>
        <w:pStyle w:val="BodyText"/>
        <w:spacing w:after="60"/>
      </w:pPr>
      <w:r>
        <w:t>Despite its importance, the manual phenotypic identification of livestock breeds in unconstrained field settings presents severe operational bottlenecks. Expert field veterinarians rely on minute morphological hallmarks—such as the convexity of the forehead, curvature and orientation of the horns, dimensions of the thoracic hump, volume of the pendulous dewlap, and coat pigmentation patterns [3]. In field environments, these features are frequently obscured by variable illumination, dirt and dung occlusions, background clutter, and non-standardized animal poses. Moreover, the severe shortage of trained veterinary personnel across rural India leads to misidentification, improper record-keeping, and the inadvertent dilution of native genetic purity through uncontrolled crossbreeding.</w:t>
      </w:r>
    </w:p>
    <w:p w14:paraId="09021351" w14:textId="77777777" w:rsidR="00AF79D6" w:rsidRDefault="00AF79D6" w:rsidP="00AF79D6">
      <w:pPr>
        <w:pStyle w:val="BodyText"/>
        <w:spacing w:after="60"/>
      </w:pPr>
      <w:r>
        <w:t>Computer vision and deep learning offer an automated, scalable, and non-invasive paradigm for fine-grained animal biometrics. While convolutional neural networks (CNNs) have achieved superhuman benchmarks on coarse-grained visual datasets such as ImageNet [4], fine-grained livestock categorization poses unique computer vision challenges: extremely high intra-class variance caused by age, sex, nutritional state, and camera perspective, combined with remarkably low inter-class variance among phylogenetically close breeds originating from adjacent agro-ecological zones [5].</w:t>
      </w:r>
    </w:p>
    <w:p w14:paraId="688A70A4" w14:textId="77777777" w:rsidR="00AF79D6" w:rsidRDefault="00AF79D6" w:rsidP="00AF79D6">
      <w:pPr>
        <w:pStyle w:val="BodyText"/>
        <w:spacing w:after="60"/>
      </w:pPr>
      <w:r>
        <w:t>In this work, we develop and evaluate an automated deep learning classification system targeting 82 indigenous Indian cattle and buffalo breeds. Specifically, our primary research contributions are as follows:</w:t>
      </w:r>
    </w:p>
    <w:p w14:paraId="3E85CB43" w14:textId="77777777" w:rsidR="00AF79D6" w:rsidRDefault="00AF79D6" w:rsidP="00AF79D6">
      <w:pPr>
        <w:pStyle w:val="BodyText"/>
        <w:spacing w:after="60"/>
      </w:pPr>
      <w:r>
        <w:t>1) We construct, verify, and audit a fine-grained 82-class bovine dataset comprising 589 real field photographs (clarifying that the initial 59 and 23 project figures correspond to 59 distinct cattle breeds and 23 distinct buffalo breeds), enforcing zero test data leakage through cryptographic MD5 and perceptual hash deduplication.</w:t>
      </w:r>
    </w:p>
    <w:p w14:paraId="2BBD66A9" w14:textId="77777777" w:rsidR="00AF79D6" w:rsidRDefault="00AF79D6" w:rsidP="00AF79D6">
      <w:pPr>
        <w:pStyle w:val="BodyText"/>
        <w:spacing w:after="60"/>
      </w:pPr>
      <w:r>
        <w:t>2) We engineer an end-to-end preprocessing pipeline incorporating automated bounding box localization and 15% context-preserving aspect-ratio padding to prevent anatomical distortion of diagnostic livestock features.</w:t>
      </w:r>
    </w:p>
    <w:p w14:paraId="022965BB" w14:textId="77777777" w:rsidR="00AF79D6" w:rsidRDefault="00AF79D6" w:rsidP="00AF79D6">
      <w:pPr>
        <w:pStyle w:val="BodyText"/>
        <w:spacing w:after="60"/>
      </w:pPr>
      <w:r>
        <w:t>3) We design and optimize a two-stage transfer learning architecture leveraging an EfficientNet-B0 backbone regularized with label smoothing and synthetic training augmentation, achieving 39.02% Top-1 and 52.85% Top-3 accuracy on a strictly locked, unseen real-world test partition (a +25.98% improvement over the 13.04% baseline).</w:t>
      </w:r>
    </w:p>
    <w:p w14:paraId="11AFF8D6" w14:textId="77777777" w:rsidR="00AF79D6" w:rsidRDefault="00AF79D6" w:rsidP="00AF79D6">
      <w:pPr>
        <w:pStyle w:val="BodyText"/>
        <w:spacing w:after="60"/>
      </w:pPr>
      <w:r>
        <w:t>4) We provide explainable AI validation via Gradient-weighted Class Activation Mapping (Grad-CAM), confirming that the network's discriminative focus aligns with veterinary anatomical criteria.</w:t>
      </w:r>
    </w:p>
    <w:p w14:paraId="72DBE8F4" w14:textId="77777777" w:rsidR="00AF79D6" w:rsidRDefault="00AF79D6" w:rsidP="00AF79D6">
      <w:pPr>
        <w:pStyle w:val="BodyText"/>
        <w:spacing w:after="60"/>
      </w:pPr>
      <w:r>
        <w:t>5) We present an empirical, evidence-based investigation of the physical constraints that prevent reaching an aspirational 92% accuracy target without data fabrication, establishing critical benchmarks and guidelines for future livestock vision research.</w:t>
      </w:r>
    </w:p>
    <w:p w14:paraId="5204AA2C" w14:textId="77777777" w:rsidR="00AF79D6" w:rsidRDefault="00AF79D6" w:rsidP="00AF79D6">
      <w:pPr>
        <w:pStyle w:val="BodyText"/>
        <w:spacing w:after="60"/>
      </w:pPr>
      <w:r>
        <w:t>The remainder of this paper is organized as follows: Section II reviews related literature in livestock biometrics and fine-grained classification. Section III describes the dataset curation, partitioning, and preprocessing. Section IV details the proposed deep learning methodology and explainability framework. Section V outlines the system implementation and application architecture. Section VI presents experimental results across all milestones. Section VII discusses error patterns and data scarcity limitations, and Section VIII concludes with avenues for future enhancement.</w:t>
      </w:r>
    </w:p>
    <w:p w14:paraId="0064C062" w14:textId="77777777" w:rsidR="00AF79D6" w:rsidRDefault="00AF79D6" w:rsidP="00AF79D6">
      <w:pPr>
        <w:pStyle w:val="Heading1"/>
        <w:keepNext w:val="0"/>
        <w:spacing w:after="60"/>
      </w:pPr>
      <w:r>
        <w:t>II.  RELATED WORK</w:t>
      </w:r>
    </w:p>
    <w:p w14:paraId="7B237F22" w14:textId="77777777" w:rsidR="00AF79D6" w:rsidRDefault="00AF79D6" w:rsidP="00AF79D6">
      <w:pPr>
        <w:pStyle w:val="BodyText"/>
        <w:spacing w:after="60"/>
      </w:pPr>
      <w:r>
        <w:t>Early investigations into computer-assisted livestock recognition relied primarily on hand-crafted visual feature descriptors. Santosh et al. [6] surveyed traditional biometric techniques for cattle identification, highlighting muzzle print pattern analysis, retinal vascular imaging, and geometric feature extraction. Classical approaches typically employed Scale-Invariant Feature Transform (SIFT) or Histogram of Oriented Gradients (HOG) coupled with Support Vector Machines (SVM). While these methods demonstrated moderate success in controlled laboratory chutes with restrained animals, their performance degraded drastically under unconstrained open-field conditions characterized by variable camera angles, motion blur, and ambient illumination changes.</w:t>
      </w:r>
    </w:p>
    <w:p w14:paraId="360406D5" w14:textId="77777777" w:rsidR="00AF79D6" w:rsidRDefault="00AF79D6" w:rsidP="00AF79D6">
      <w:pPr>
        <w:pStyle w:val="BodyText"/>
        <w:spacing w:after="60"/>
      </w:pPr>
      <w:r>
        <w:t>The advent of deep convolutional neural networks catalyzed substantial progress in agricultural computer vision. Hansen et al. [7] applied CNN architectures to automated cattle face recognition, achieving over 90% accuracy across a closed cohort of 10 Holstein-Friesian dairy cows. Similarly, Andrew et al. [8] developed a deep metric learning framework utilizing Siamese networks to recognize individual cattle via coat pattern biometrics. However, these studies addressed individual animal identification within small, closed herds of Western dairy cattle possessing prominent high-contrast black-and-white markings, rather than multi-class breed categorization across diverse zebu populations.</w:t>
      </w:r>
    </w:p>
    <w:p w14:paraId="1CE1A6A5" w14:textId="77777777" w:rsidR="00AF79D6" w:rsidRDefault="00AF79D6" w:rsidP="00AF79D6">
      <w:pPr>
        <w:pStyle w:val="BodyText"/>
        <w:spacing w:after="60"/>
      </w:pPr>
      <w:r>
        <w:t>In the domain of breed-level livestock categorization, recent studies have explored transfer learning using standardized backbones including ResNet [9], DenseNet [10], and MobileNet [11]. Ramirez-Carbajal et al. [12] evaluated transfer learning for cattle classification across 5 commercial European beef breeds, reporting accuracies exceeding 85%. Nevertheless, a substantial research gap exists regarding indigenous South Asian livestock. The vast majority of existing datasets examine between 3 and 10 breeds, predominantly exotic Bos taurus varieties. Indigenous Bos indicus cattle and Bubalus bubalis buffaloes exhibit subtle phenotypic differentiators such as cranial crest shapes and horn curvatures that require fine-grained feature representation.</w:t>
      </w:r>
    </w:p>
    <w:p w14:paraId="21A64685" w14:textId="77777777" w:rsidR="00AF79D6" w:rsidRDefault="00AF79D6" w:rsidP="00AF79D6">
      <w:pPr>
        <w:pStyle w:val="BodyText"/>
        <w:spacing w:after="60"/>
      </w:pPr>
      <w:r>
        <w:t>Furthermore, recent literature emphasizes the critical role of dataset integrity and explainability in agricultural AI. Szegedy et al. [13] demonstrated that label smoothing regularizes deep networks against overconfidence in imbalanced regimes. Selvaraju et al. [14] introduced Grad-CAM to visually debug neural network activations, which has become standard practice for validating that agricultural classifiers focus on biological morphology rather than background environmental artifacts such as fencing, grass, or feeding troughs.</w:t>
      </w:r>
    </w:p>
    <w:p w14:paraId="34F5E99F" w14:textId="77777777" w:rsidR="00AF79D6" w:rsidRDefault="00AF79D6" w:rsidP="00AF79D6">
      <w:pPr>
        <w:pStyle w:val="BodyText"/>
        <w:spacing w:after="60"/>
      </w:pPr>
      <w:r>
        <w:t>Our work bridges these gaps by presenting the first comprehensive empirical evaluation of an 82-breed indigenous Indian bovine recognition system, operating under real-world data scarcity constraints with rigorous zero-leakage validation protocols.</w:t>
      </w:r>
    </w:p>
    <w:p w14:paraId="5FD0E28E" w14:textId="77777777" w:rsidR="00AF79D6" w:rsidRDefault="00AF79D6" w:rsidP="00AF79D6">
      <w:pPr>
        <w:pStyle w:val="Heading1"/>
        <w:keepNext w:val="0"/>
        <w:spacing w:after="60"/>
      </w:pPr>
      <w:r>
        <w:t>III.  DATASET AND PREPROCESSING</w:t>
      </w:r>
    </w:p>
    <w:p w14:paraId="54F22B0B" w14:textId="77777777" w:rsidR="00AF79D6" w:rsidRDefault="00AF79D6" w:rsidP="00AF79D6">
      <w:pPr>
        <w:pStyle w:val="BodyText"/>
        <w:spacing w:after="60"/>
      </w:pPr>
      <w:r>
        <w:t>A foundational contribution of this research is the compilation, verification, and audit of a specialized photographic benchmark for indigenous Indian livestock. The initial project documentation recorded '59 cattle and 23 buffalo'—a figure clarified through our empirical codebase audit as representing 59 distinct indigenous cattle breeds and 23 distinct indigenous buffalo breeds, yielding an 82-class fine-grained categorization problem.</w:t>
      </w:r>
    </w:p>
    <w:p w14:paraId="2AF0BE17" w14:textId="77777777" w:rsidR="00AF79D6" w:rsidRDefault="00AF79D6" w:rsidP="00AF79D6">
      <w:pPr>
        <w:pStyle w:val="Heading2"/>
        <w:keepNext w:val="0"/>
        <w:spacing w:before="100" w:after="40"/>
      </w:pPr>
      <w:r>
        <w:t>A. Dataset Composition and Class Distribution</w:t>
      </w:r>
    </w:p>
    <w:p w14:paraId="6C8816A6" w14:textId="77777777" w:rsidR="00AF79D6" w:rsidRDefault="00AF79D6" w:rsidP="00AF79D6">
      <w:pPr>
        <w:pStyle w:val="BodyText"/>
        <w:spacing w:after="60"/>
      </w:pPr>
      <w:r>
        <w:t>The real-world dataset was assembled from authoritative agricultural repositories, including ICAR-NBAGR breed monographs, state animal husbandry department archives, university research farms, and verified field documentation across 24 Indian states. The 59 cattle classes encompass major dairy, draught, and dual-purpose breeds such as Gir, Sahiwal, Red Sindhi, Tharparkar, Kankrej, Ongole, Kangayam, Hallikar, Amritmahal, and miniature breeds including Punganur and Vechur. The 23 buffalo classes include economically pivotal breeds such as Murrah, Nili-Ravi, Jaffarabadi, Bhadawari, Mehsana, Surti, Toda, and Pandharpuri.</w:t>
      </w:r>
    </w:p>
    <w:p w14:paraId="4E672686" w14:textId="77777777" w:rsidR="00AF79D6" w:rsidRDefault="00AF79D6" w:rsidP="00AF79D6">
      <w:pPr>
        <w:pStyle w:val="BodyText"/>
        <w:spacing w:after="60"/>
      </w:pPr>
      <w:r>
        <w:t>A rigorous image-by-image audit identified and purged corrupted files, duplicate downloads, and mislabeled non-livestock assets, yielding a final verified real-world corpus of 589 high-quality photographs.</w:t>
      </w:r>
    </w:p>
    <w:p w14:paraId="1551F90F" w14:textId="77777777" w:rsidR="00AF79D6" w:rsidRDefault="00AF79D6" w:rsidP="00AF79D6">
      <w:pPr>
        <w:pStyle w:val="BodyText"/>
        <w:spacing w:after="60"/>
      </w:pPr>
      <w:r>
        <w:t>Analysis of class sample frequencies revealed an extreme long-tailed distribution characteristic of specialized agricultural domains: the sample count per breed ranged from a minimum of 1 image to a maximum of 43 images, with a mean of 7.18 and a median of exactly 2.0 images per class. Out of 82 breeds, zero classes possessed 50 or more real-world photographs, and 53 classes (64.6%) contained fewer than 5 real images. This severe data scarcity represents the primary physical constraint governing model optimization.</w:t>
      </w:r>
    </w:p>
    <w:p w14:paraId="30D2BFBC" w14:textId="77777777" w:rsidR="00AF79D6" w:rsidRDefault="00AF79D6" w:rsidP="00AF79D6">
      <w:pPr>
        <w:pStyle w:val="Heading2"/>
        <w:keepNext w:val="0"/>
        <w:spacing w:before="100" w:after="40"/>
      </w:pPr>
      <w:r>
        <w:t>B. Experimental Partitions and Zero-Leakage Protocol</w:t>
      </w:r>
    </w:p>
    <w:p w14:paraId="7E15ECD9" w14:textId="77777777" w:rsidR="00AF79D6" w:rsidRDefault="00AF79D6" w:rsidP="00AF79D6">
      <w:pPr>
        <w:pStyle w:val="BodyText"/>
        <w:spacing w:after="60"/>
      </w:pPr>
      <w:r>
        <w:t>To establish an uncompromised evaluation standard, the 589 real photographs were partitioned into three disjoint splits:</w:t>
      </w:r>
    </w:p>
    <w:p w14:paraId="7E324EBD" w14:textId="77777777" w:rsidR="00AF79D6" w:rsidRDefault="00AF79D6" w:rsidP="00AF79D6">
      <w:pPr>
        <w:pStyle w:val="BodyText"/>
        <w:spacing w:after="60"/>
      </w:pPr>
      <w:r>
        <w:t>1) Training Partition: 382 real images (64.86%), designated for model parameter optimization.</w:t>
      </w:r>
    </w:p>
    <w:p w14:paraId="04E656E1" w14:textId="77777777" w:rsidR="00AF79D6" w:rsidRDefault="00AF79D6" w:rsidP="00AF79D6">
      <w:pPr>
        <w:pStyle w:val="BodyText"/>
        <w:spacing w:after="60"/>
      </w:pPr>
      <w:r>
        <w:t>2) Validation Partition: 84 real images (14.26%), utilized exclusively for hyperparameter tuning and early stopping.</w:t>
      </w:r>
    </w:p>
    <w:p w14:paraId="71B7F74B" w14:textId="77777777" w:rsidR="00AF79D6" w:rsidRDefault="00AF79D6" w:rsidP="00AF79D6">
      <w:pPr>
        <w:pStyle w:val="BodyText"/>
        <w:spacing w:after="60"/>
      </w:pPr>
      <w:r>
        <w:t>3) Locked Test Partition: 123 real images (20.88%), held strictly sequestered for final performance evaluation.</w:t>
      </w:r>
    </w:p>
    <w:p w14:paraId="2DC18E5D" w14:textId="77777777" w:rsidR="00AF79D6" w:rsidRDefault="00AF79D6" w:rsidP="00AF79D6">
      <w:pPr>
        <w:pStyle w:val="BodyText"/>
        <w:spacing w:after="60"/>
      </w:pPr>
      <w:r>
        <w:t>To guarantee absolute data integrity, every image was fingerprinted using MD5 cryptographic checksums and difference perceptual hashing (dHash with Hamming distance threshold &lt;= 3). The audit confirmed exactly zero duplicate overlap (0/123) and zero near-duplicate leakage (0/123) between the training and test splits.</w:t>
      </w:r>
    </w:p>
    <w:p w14:paraId="30E6616C" w14:textId="77777777" w:rsidR="00AF79D6" w:rsidRDefault="00AF79D6" w:rsidP="00AF79D6">
      <w:pPr>
        <w:pStyle w:val="Heading2"/>
        <w:keepNext w:val="0"/>
        <w:spacing w:before="100" w:after="40"/>
      </w:pPr>
      <w:r>
        <w:t>C. Synthetic Augmentation (V3 Pipeline)</w:t>
      </w:r>
    </w:p>
    <w:p w14:paraId="1A53FA03" w14:textId="77777777" w:rsidR="00AF79D6" w:rsidRDefault="00AF79D6" w:rsidP="00AF79D6">
      <w:pPr>
        <w:pStyle w:val="BodyText"/>
        <w:spacing w:after="60"/>
      </w:pPr>
      <w:r>
        <w:t>To mitigate extreme class imbalance without contaminating validation or testing benchmarks, a targeted generative data augmentation pipeline (V3) was applied strictly to the 382 real training instances. Synthetic samples were generated to achieve a minimum floor of 30 training instances per class, producing 2,079 synthetic training images. This expanded the aggregate training corpus to 2,461 instances (382 real + 2,079 synthetic), while leaving validation (N=84) and test (N=123) sets 100% real and unperturbed. Table I summarizes the dataset partitions across the experimental splits.</w:t>
      </w:r>
    </w:p>
    <w:p w14:paraId="13E0A66B" w14:textId="77777777" w:rsidR="00AF79D6" w:rsidRDefault="00AF79D6" w:rsidP="00AF79D6">
      <w:pPr>
        <w:pStyle w:val="Heading2"/>
        <w:keepNext w:val="0"/>
        <w:spacing w:before="100" w:after="40"/>
      </w:pPr>
      <w:r>
        <w:t>D. Image Preprocessing and Aspect-Ratio Padding</w:t>
      </w:r>
    </w:p>
    <w:p w14:paraId="407E1E2C" w14:textId="77777777" w:rsidR="00AF79D6" w:rsidRDefault="00AF79D6" w:rsidP="00AF79D6">
      <w:pPr>
        <w:pStyle w:val="BodyText"/>
        <w:spacing w:after="60"/>
      </w:pPr>
      <w:r>
        <w:t>Unconstrained livestock photographs typically contain substantial background noise, including fences, barns, vegetation, and handlers. Standard deep learning preprocessing naively resizes non-square images to 224x224 pixels, which squashes or stretches critical morphological structures such as the thoracic hump, dewlap, and horn curvature, severely distorting diagnostic ratios. We implemented a four-stage preprocessing pipeline:</w:t>
      </w:r>
    </w:p>
    <w:p w14:paraId="45308188" w14:textId="77777777" w:rsidR="00AF79D6" w:rsidRDefault="00AF79D6" w:rsidP="00AF79D6">
      <w:pPr>
        <w:pStyle w:val="BodyText"/>
        <w:spacing w:after="60"/>
      </w:pPr>
      <w:r>
        <w:t>1) Region of Interest (ROI) Localization: Animals were detected using a YOLOv8 object detector fine-tuned on livestock imagery, producing tight bounding coordinates (x_min, y_min, x_max, y_max).</w:t>
      </w:r>
    </w:p>
    <w:p w14:paraId="2897515D" w14:textId="77777777" w:rsidR="00AF79D6" w:rsidRDefault="00AF79D6" w:rsidP="00AF79D6">
      <w:pPr>
        <w:pStyle w:val="BodyText"/>
        <w:spacing w:after="60"/>
      </w:pPr>
      <w:r>
        <w:t>2) Context-Preserving Padding: The bounding box was expanded by a uniform 15% margin to preserve surrounding anatomical features (such as hooves, ear tips, and tail switch) and retain contextual background information.</w:t>
      </w:r>
    </w:p>
    <w:p w14:paraId="7FD67A78" w14:textId="77777777" w:rsidR="00AF79D6" w:rsidRDefault="00AF79D6" w:rsidP="00AF79D6">
      <w:pPr>
        <w:pStyle w:val="BodyText"/>
        <w:spacing w:after="60"/>
      </w:pPr>
      <w:r>
        <w:t>3) Aspect-Ratio Preserving Letterboxing: The padded crop was embedded onto a neutral square canvas using reflective border padding prior to interpolation, completely eliminating geometric distortion.</w:t>
      </w:r>
    </w:p>
    <w:p w14:paraId="492F7EFF" w14:textId="77777777" w:rsidR="00AF79D6" w:rsidRDefault="00AF79D6" w:rsidP="00AF79D6">
      <w:pPr>
        <w:pStyle w:val="BodyText"/>
        <w:spacing w:after="60"/>
      </w:pPr>
      <w:r>
        <w:t>4) Normalization: Images were resized to 224x224 pixels and channel-normalized using standard ImageNet parameters (mean = [0.485, 0.456, 0.406], std = [0.229, 0.224, 0.225]).</w:t>
      </w:r>
    </w:p>
    <w:p w14:paraId="1C66D4F3" w14:textId="77777777" w:rsidR="00AF79D6" w:rsidRDefault="00AF79D6" w:rsidP="00AF79D6">
      <w:pPr>
        <w:pStyle w:val="tablehead"/>
        <w:spacing w:before="160" w:after="20"/>
      </w:pPr>
      <w:r>
        <w:t>TABLE I</w:t>
      </w:r>
    </w:p>
    <w:p w14:paraId="28DAA2EF" w14:textId="77777777" w:rsidR="00AF79D6" w:rsidRDefault="00AF79D6" w:rsidP="00AF79D6">
      <w:pPr>
        <w:pStyle w:val="tablehead"/>
        <w:spacing w:before="0" w:after="80"/>
      </w:pPr>
      <w:r>
        <w:t>DATASET DISTRIBUTION AND PARTITIONS</w:t>
      </w:r>
    </w:p>
    <w:tbl>
      <w:tblPr>
        <w:tblW w:w="4800" w:type="dxa"/>
        <w:tblBorders>
          <w:top w:val="single" w:sz="4" w:space="0" w:color="auto"/>
          <w:bottom w:val="single" w:sz="4" w:space="0" w:color="auto"/>
        </w:tblBorders>
        <w:tblLayout w:type="fixed"/>
        <w:tblLook w:val="04A0" w:firstRow="1" w:lastRow="0" w:firstColumn="1" w:lastColumn="0" w:noHBand="0" w:noVBand="1"/>
      </w:tblPr>
      <w:tblGrid>
        <w:gridCol w:w="1700"/>
        <w:gridCol w:w="900"/>
        <w:gridCol w:w="1000"/>
        <w:gridCol w:w="1200"/>
      </w:tblGrid>
      <w:tr w:rsidR="00AF79D6" w14:paraId="5CED0F04" w14:textId="77777777" w:rsidTr="00AF79D6">
        <w:tc>
          <w:tcPr>
            <w:tcW w:w="1700" w:type="dxa"/>
            <w:tcBorders>
              <w:top w:val="single" w:sz="4" w:space="0" w:color="auto"/>
              <w:bottom w:val="single" w:sz="4" w:space="0" w:color="auto"/>
            </w:tcBorders>
          </w:tcPr>
          <w:p w14:paraId="42D0DA5D" w14:textId="16DCB78F"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Partition</w:t>
            </w:r>
          </w:p>
        </w:tc>
        <w:tc>
          <w:tcPr>
            <w:tcW w:w="900" w:type="dxa"/>
            <w:tcBorders>
              <w:top w:val="single" w:sz="4" w:space="0" w:color="auto"/>
              <w:bottom w:val="single" w:sz="4" w:space="0" w:color="auto"/>
            </w:tcBorders>
          </w:tcPr>
          <w:p w14:paraId="6155F33B" w14:textId="2C7AA50B"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Real</w:t>
            </w:r>
          </w:p>
        </w:tc>
        <w:tc>
          <w:tcPr>
            <w:tcW w:w="1000" w:type="dxa"/>
            <w:tcBorders>
              <w:top w:val="single" w:sz="4" w:space="0" w:color="auto"/>
              <w:bottom w:val="single" w:sz="4" w:space="0" w:color="auto"/>
            </w:tcBorders>
          </w:tcPr>
          <w:p w14:paraId="39610948" w14:textId="781A6465"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Synth</w:t>
            </w:r>
          </w:p>
        </w:tc>
        <w:tc>
          <w:tcPr>
            <w:tcW w:w="1200" w:type="dxa"/>
            <w:tcBorders>
              <w:top w:val="single" w:sz="4" w:space="0" w:color="auto"/>
              <w:bottom w:val="single" w:sz="4" w:space="0" w:color="auto"/>
            </w:tcBorders>
          </w:tcPr>
          <w:p w14:paraId="5AADE9BE" w14:textId="278A68E2"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Total Samples</w:t>
            </w:r>
          </w:p>
        </w:tc>
      </w:tr>
      <w:tr w:rsidR="00AF79D6" w14:paraId="63687AB1" w14:textId="77777777" w:rsidTr="00AF79D6">
        <w:tc>
          <w:tcPr>
            <w:tcW w:w="1700" w:type="dxa"/>
            <w:tcBorders>
              <w:top w:val="single" w:sz="4" w:space="0" w:color="auto"/>
            </w:tcBorders>
          </w:tcPr>
          <w:p w14:paraId="0D65E300" w14:textId="03E6790D" w:rsidR="00AF79D6" w:rsidRPr="00AF79D6" w:rsidRDefault="00AF79D6" w:rsidP="00AF79D6">
            <w:pPr>
              <w:pStyle w:val="references"/>
              <w:numPr>
                <w:ilvl w:val="0"/>
                <w:numId w:val="0"/>
              </w:numPr>
              <w:spacing w:line="240" w:lineRule="auto"/>
              <w:jc w:val="left"/>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Training Set</w:t>
            </w:r>
          </w:p>
        </w:tc>
        <w:tc>
          <w:tcPr>
            <w:tcW w:w="900" w:type="dxa"/>
            <w:tcBorders>
              <w:top w:val="single" w:sz="4" w:space="0" w:color="auto"/>
            </w:tcBorders>
          </w:tcPr>
          <w:p w14:paraId="18C2229C" w14:textId="3BBE9E1F"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382</w:t>
            </w:r>
          </w:p>
        </w:tc>
        <w:tc>
          <w:tcPr>
            <w:tcW w:w="1000" w:type="dxa"/>
            <w:tcBorders>
              <w:top w:val="single" w:sz="4" w:space="0" w:color="auto"/>
            </w:tcBorders>
          </w:tcPr>
          <w:p w14:paraId="6AB68992" w14:textId="1AC4E028"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2,079</w:t>
            </w:r>
          </w:p>
        </w:tc>
        <w:tc>
          <w:tcPr>
            <w:tcW w:w="1200" w:type="dxa"/>
            <w:tcBorders>
              <w:top w:val="single" w:sz="4" w:space="0" w:color="auto"/>
            </w:tcBorders>
          </w:tcPr>
          <w:p w14:paraId="77C88A24" w14:textId="0DD830A8"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2,461</w:t>
            </w:r>
          </w:p>
        </w:tc>
      </w:tr>
      <w:tr w:rsidR="00AF79D6" w14:paraId="66EF01BF" w14:textId="77777777" w:rsidTr="00AF79D6">
        <w:tc>
          <w:tcPr>
            <w:tcW w:w="1700" w:type="dxa"/>
          </w:tcPr>
          <w:p w14:paraId="3A37BCA1" w14:textId="39CF5381" w:rsidR="00AF79D6" w:rsidRPr="00AF79D6" w:rsidRDefault="00AF79D6" w:rsidP="00AF79D6">
            <w:pPr>
              <w:pStyle w:val="references"/>
              <w:numPr>
                <w:ilvl w:val="0"/>
                <w:numId w:val="0"/>
              </w:numPr>
              <w:spacing w:line="240" w:lineRule="auto"/>
              <w:jc w:val="left"/>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Validation Set</w:t>
            </w:r>
          </w:p>
        </w:tc>
        <w:tc>
          <w:tcPr>
            <w:tcW w:w="900" w:type="dxa"/>
          </w:tcPr>
          <w:p w14:paraId="074C4EA6" w14:textId="61C357B9"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84</w:t>
            </w:r>
          </w:p>
        </w:tc>
        <w:tc>
          <w:tcPr>
            <w:tcW w:w="1000" w:type="dxa"/>
          </w:tcPr>
          <w:p w14:paraId="1571E7D6" w14:textId="1E094893"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0</w:t>
            </w:r>
          </w:p>
        </w:tc>
        <w:tc>
          <w:tcPr>
            <w:tcW w:w="1200" w:type="dxa"/>
          </w:tcPr>
          <w:p w14:paraId="4DD7B2B1" w14:textId="6531E63F"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84</w:t>
            </w:r>
          </w:p>
        </w:tc>
      </w:tr>
      <w:tr w:rsidR="00AF79D6" w14:paraId="7E1BECB3" w14:textId="77777777" w:rsidTr="00AF79D6">
        <w:tc>
          <w:tcPr>
            <w:tcW w:w="1700" w:type="dxa"/>
          </w:tcPr>
          <w:p w14:paraId="7A22E73B" w14:textId="465AFD97" w:rsidR="00AF79D6" w:rsidRPr="00AF79D6" w:rsidRDefault="00AF79D6" w:rsidP="00AF79D6">
            <w:pPr>
              <w:pStyle w:val="references"/>
              <w:numPr>
                <w:ilvl w:val="0"/>
                <w:numId w:val="0"/>
              </w:numPr>
              <w:spacing w:line="240" w:lineRule="auto"/>
              <w:jc w:val="left"/>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Locked Test Set</w:t>
            </w:r>
          </w:p>
        </w:tc>
        <w:tc>
          <w:tcPr>
            <w:tcW w:w="900" w:type="dxa"/>
          </w:tcPr>
          <w:p w14:paraId="280DC363" w14:textId="2BBF699E"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123</w:t>
            </w:r>
          </w:p>
        </w:tc>
        <w:tc>
          <w:tcPr>
            <w:tcW w:w="1000" w:type="dxa"/>
          </w:tcPr>
          <w:p w14:paraId="330D77AB" w14:textId="69438B1E"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0</w:t>
            </w:r>
          </w:p>
        </w:tc>
        <w:tc>
          <w:tcPr>
            <w:tcW w:w="1200" w:type="dxa"/>
          </w:tcPr>
          <w:p w14:paraId="26B4B8A2" w14:textId="5F3CEAFE"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123</w:t>
            </w:r>
          </w:p>
        </w:tc>
      </w:tr>
      <w:tr w:rsidR="00AF79D6" w14:paraId="67DFFC3E" w14:textId="77777777" w:rsidTr="00AF79D6">
        <w:tc>
          <w:tcPr>
            <w:tcW w:w="1700" w:type="dxa"/>
          </w:tcPr>
          <w:p w14:paraId="105484AB" w14:textId="3F0FFE18" w:rsidR="00AF79D6" w:rsidRPr="00AF79D6" w:rsidRDefault="00AF79D6" w:rsidP="00AF79D6">
            <w:pPr>
              <w:pStyle w:val="references"/>
              <w:numPr>
                <w:ilvl w:val="0"/>
                <w:numId w:val="0"/>
              </w:numPr>
              <w:spacing w:line="240" w:lineRule="auto"/>
              <w:jc w:val="left"/>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Total Volume</w:t>
            </w:r>
          </w:p>
        </w:tc>
        <w:tc>
          <w:tcPr>
            <w:tcW w:w="900" w:type="dxa"/>
          </w:tcPr>
          <w:p w14:paraId="15724E7E" w14:textId="6393C72B"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589</w:t>
            </w:r>
          </w:p>
        </w:tc>
        <w:tc>
          <w:tcPr>
            <w:tcW w:w="1000" w:type="dxa"/>
          </w:tcPr>
          <w:p w14:paraId="5D39FE5B" w14:textId="374C9E67"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2,079</w:t>
            </w:r>
          </w:p>
        </w:tc>
        <w:tc>
          <w:tcPr>
            <w:tcW w:w="1200" w:type="dxa"/>
          </w:tcPr>
          <w:p w14:paraId="14DFC6F2" w14:textId="1165B0D5" w:rsidR="00AF79D6" w:rsidRPr="00AF79D6" w:rsidRDefault="00AF79D6" w:rsidP="00AF79D6">
            <w:pPr>
              <w:pStyle w:val="references"/>
              <w:numPr>
                <w:ilvl w:val="0"/>
                <w:numId w:val="0"/>
              </w:numPr>
              <w:spacing w:line="240" w:lineRule="auto"/>
              <w:jc w:val="center"/>
              <w:rPr>
                <w:rFonts w:eastAsia="SimSun"/>
                <w:b/>
                <w:noProof w:val="0"/>
                <w:color w:val="FF0000"/>
                <w:spacing w:val="-1"/>
                <w:sz w:val="15"/>
                <w:szCs w:val="20"/>
                <w:lang w:val="x-none" w:eastAsia="x-none"/>
              </w:rPr>
            </w:pPr>
            <w:r w:rsidRPr="00AF79D6">
              <w:rPr>
                <w:rFonts w:eastAsia="SimSun"/>
                <w:b/>
                <w:noProof w:val="0"/>
                <w:color w:val="FF0000"/>
                <w:spacing w:val="-1"/>
                <w:sz w:val="15"/>
                <w:szCs w:val="20"/>
                <w:lang w:val="x-none" w:eastAsia="x-none"/>
              </w:rPr>
              <w:t>2,668</w:t>
            </w:r>
          </w:p>
        </w:tc>
      </w:tr>
    </w:tbl>
    <w:p w14:paraId="024D9C55" w14:textId="77777777" w:rsidR="00AF79D6" w:rsidRDefault="00AF79D6"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CBC4D6A" w14:textId="6EBDCC25" w:rsidR="00AF79D6" w:rsidRPr="00AF79D6" w:rsidRDefault="00AF79D6" w:rsidP="008B6524">
      <w:pPr>
        <w:pStyle w:val="references"/>
        <w:numPr>
          <w:ilvl w:val="0"/>
          <w:numId w:val="0"/>
        </w:numPr>
        <w:spacing w:line="240" w:lineRule="auto"/>
        <w:ind w:left="360" w:hanging="360"/>
        <w:jc w:val="center"/>
        <w:rPr>
          <w:rFonts w:eastAsia="SimSun"/>
          <w:b/>
          <w:noProof w:val="0"/>
          <w:color w:val="FF0000"/>
          <w:spacing w:val="-1"/>
          <w:sz w:val="8"/>
          <w:szCs w:val="20"/>
          <w:lang w:val="x-none" w:eastAsia="x-none"/>
        </w:rPr>
        <w:sectPr w:rsidR="00AF79D6" w:rsidRPr="00AF79D6" w:rsidSect="003B4E04">
          <w:type w:val="continuous"/>
          <w:pgSz w:w="11906" w:h="16838" w:code="9"/>
          <w:pgMar w:top="1080" w:right="907" w:bottom="1440" w:left="907" w:header="720" w:footer="720" w:gutter="0"/>
          <w:cols w:num="2" w:space="360"/>
          <w:docGrid w:linePitch="360"/>
        </w:sectPr>
      </w:pPr>
    </w:p>
    <w:p w14:paraId="3B2488F0" w14:textId="77777777" w:rsidR="00AF79D6" w:rsidRDefault="00AF79D6" w:rsidP="00AF79D6">
      <w:pPr>
        <w:pStyle w:val="Heading1"/>
        <w:keepNext w:val="0"/>
        <w:spacing w:after="60"/>
      </w:pPr>
      <w:r>
        <w:lastRenderedPageBreak/>
        <w:t>IV.  PROPOSED METHODOLOGY</w:t>
      </w:r>
    </w:p>
    <w:p w14:paraId="19E3DEDB" w14:textId="77777777" w:rsidR="00AF79D6" w:rsidRDefault="00AF79D6" w:rsidP="00AF79D6">
      <w:pPr>
        <w:pStyle w:val="Heading2"/>
        <w:keepNext w:val="0"/>
        <w:spacing w:before="100" w:after="40"/>
      </w:pPr>
      <w:r>
        <w:t>A. Neural Network Architecture</w:t>
      </w:r>
    </w:p>
    <w:p w14:paraId="65EE5EFA" w14:textId="77777777" w:rsidR="00AF79D6" w:rsidRDefault="00AF79D6" w:rsidP="00AF79D6">
      <w:pPr>
        <w:pStyle w:val="BodyText"/>
        <w:spacing w:after="60"/>
      </w:pPr>
      <w:r>
        <w:t>Fine-grained livestock recognition with extreme sample scarcity requires an architecture with strong visual inductive biases and superior parameter efficiency to prevent catastrophic overfitting. We selected EfficientNet-B0 as our primary backbone [15]. EfficientNet-B0 optimizes network depth, width, and input resolution concurrently through a principled compound scaling coefficient, yielding 5.3 million parameters—substantially more compact than ResNet-50 (25.6M parameters) while delivering superior feature abstraction.</w:t>
      </w:r>
    </w:p>
    <w:p w14:paraId="070B7A1F" w14:textId="77777777" w:rsidR="00AF79D6" w:rsidRDefault="00AF79D6" w:rsidP="00AF79D6">
      <w:pPr>
        <w:pStyle w:val="BodyText"/>
        <w:spacing w:after="60"/>
      </w:pPr>
      <w:r>
        <w:t>The convolutional feature extractor comprises mobile inverted bottleneck convolutions (MBConv) equipped with squeeze-and-excitation optimization blocks and depthwise separable convolutions. The final feature map from the top convolutional block (top_conv) is transformed via Global Average Pooling 2D into a 1280-dimensional feature vector. We append a custom task-specific classification head designed for aggressive regularization:</w:t>
      </w:r>
    </w:p>
    <w:p w14:paraId="0814236F" w14:textId="77777777" w:rsidR="00AF79D6" w:rsidRDefault="00AF79D6" w:rsidP="00AF79D6">
      <w:pPr>
        <w:pStyle w:val="BodyText"/>
        <w:spacing w:after="60"/>
      </w:pPr>
      <w:r>
        <w:t>1) Batch Normalization layer to stabilize intermediate activations.</w:t>
      </w:r>
    </w:p>
    <w:p w14:paraId="6E2C73F9" w14:textId="77777777" w:rsidR="00AF79D6" w:rsidRDefault="00AF79D6" w:rsidP="00AF79D6">
      <w:pPr>
        <w:pStyle w:val="BodyText"/>
        <w:spacing w:after="60"/>
      </w:pPr>
      <w:r>
        <w:t>2) Dropout layer with probability p = 0.4 to prevent co-adaptation of rare-class representations.</w:t>
      </w:r>
    </w:p>
    <w:p w14:paraId="10296207" w14:textId="77777777" w:rsidR="00AF79D6" w:rsidRDefault="00AF79D6" w:rsidP="00AF79D6">
      <w:pPr>
        <w:pStyle w:val="BodyText"/>
        <w:spacing w:after="60"/>
      </w:pPr>
      <w:r>
        <w:t>3) Fully-connected dense layer with 512 units and Rectified Linear Unit (ReLU) activation.</w:t>
      </w:r>
    </w:p>
    <w:p w14:paraId="57330EAA" w14:textId="77777777" w:rsidR="00AF79D6" w:rsidRDefault="00AF79D6" w:rsidP="00AF79D6">
      <w:pPr>
        <w:pStyle w:val="BodyText"/>
        <w:spacing w:after="60"/>
      </w:pPr>
      <w:r>
        <w:t>4) Secondary Dropout layer with probability p = 0.2.</w:t>
      </w:r>
    </w:p>
    <w:p w14:paraId="5B5F4230" w14:textId="77777777" w:rsidR="00AF79D6" w:rsidRDefault="00AF79D6" w:rsidP="00AF79D6">
      <w:pPr>
        <w:pStyle w:val="BodyText"/>
        <w:spacing w:after="60"/>
      </w:pPr>
      <w:r>
        <w:t>5) Final Dense output layer with 82 linear units activated via Softmax, producing the discrete probability distribution over all classes.</w:t>
      </w:r>
    </w:p>
    <w:p w14:paraId="3B77BB9A" w14:textId="77777777" w:rsidR="00AF79D6" w:rsidRDefault="00AF79D6" w:rsidP="00AF79D6">
      <w:pPr>
        <w:pStyle w:val="Heading2"/>
        <w:keepNext w:val="0"/>
        <w:spacing w:before="100" w:after="40"/>
      </w:pPr>
      <w:r>
        <w:t>B. Two-Stage Transfer Learning Protocol</w:t>
      </w:r>
    </w:p>
    <w:p w14:paraId="6748DEC2" w14:textId="77777777" w:rsidR="00AF79D6" w:rsidRDefault="00AF79D6" w:rsidP="00AF79D6">
      <w:pPr>
        <w:pStyle w:val="BodyText"/>
        <w:spacing w:after="60"/>
      </w:pPr>
      <w:r>
        <w:t>Direct end-to-end backpropagation through a randomly initialized 82-class head quickly corrupts pre-trained ImageNet weights when trained on scarce data. We implemented a phased two-stage training regimen:</w:t>
      </w:r>
    </w:p>
    <w:p w14:paraId="45B828BB" w14:textId="77777777" w:rsidR="00AF79D6" w:rsidRDefault="00AF79D6" w:rsidP="00AF79D6">
      <w:pPr>
        <w:pStyle w:val="BodyText"/>
        <w:spacing w:after="60"/>
      </w:pPr>
      <w:r>
        <w:t>Stage 1 (Feature Extraction): The entire EfficientNet-B0 backbone is frozen, and only the custom classification head is trained for 15 epochs using the Adam optimizer with initial learning rate eta = 10^-3 and mini-batch size of 32. This warms up the classifier weights without destabilizing the pre-trained feature hierarchies.</w:t>
      </w:r>
    </w:p>
    <w:p w14:paraId="3941091E" w14:textId="77777777" w:rsidR="00AF79D6" w:rsidRDefault="00AF79D6" w:rsidP="00AF79D6">
      <w:pPr>
        <w:pStyle w:val="BodyText"/>
        <w:spacing w:after="60"/>
      </w:pPr>
      <w:r>
        <w:t>Stage 2 (Fine-Tuning): The top three MBConv blocks (blocks 5, 6, and 7) of EfficientNet-B0 are unfrozen, allowing domain-specific adaptation of high-level texture and shape representations. The model is trained for 35 epochs using Adam with a reduced learning rate of eta = 10^-5, regulated by a Cosine Annealing learning rate schedule decaying to a minimum of 10^-7. Early stopping with a patience of 10 epochs monitored validation loss.</w:t>
      </w:r>
    </w:p>
    <w:p w14:paraId="309A6016" w14:textId="77777777" w:rsidR="00AF79D6" w:rsidRDefault="00AF79D6" w:rsidP="00AF79D6">
      <w:pPr>
        <w:pStyle w:val="Heading2"/>
        <w:keepNext w:val="0"/>
        <w:spacing w:before="100" w:after="40"/>
      </w:pPr>
      <w:r>
        <w:t>C. Regularization and Objective Function</w:t>
      </w:r>
    </w:p>
    <w:p w14:paraId="03092480" w14:textId="77777777" w:rsidR="00AF79D6" w:rsidRDefault="00AF79D6" w:rsidP="00AF79D6">
      <w:pPr>
        <w:pStyle w:val="BodyText"/>
        <w:spacing w:after="60"/>
      </w:pPr>
      <w:r>
        <w:t>In highly imbalanced multi-class classification, standard Categorical Cross-Entropy encourages the network to become overconfident on majority classes, penalizing minority predictions severely. We adopted Label Smoothing Cross-Entropy loss [13] with smoothing parameter epsilon = 0.1. For ground-truth one-hot vector y and predicted probabilities y_hat across K = 82 classes, the loss is formulated as:</w:t>
      </w:r>
    </w:p>
    <w:p w14:paraId="0EDC9611" w14:textId="77777777" w:rsidR="00AF79D6" w:rsidRDefault="00AF79D6" w:rsidP="00AF79D6">
      <w:pPr>
        <w:pStyle w:val="BodyText"/>
        <w:spacing w:after="60"/>
      </w:pPr>
      <w:r>
        <w:t>L_LS(y, y_hat) = - (1 - epsilon) * sum_{k=1}^K y_k * log(y_hat_k) - (epsilon / K) * sum_{k=1}^K log(y_hat_k)</w:t>
      </w:r>
    </w:p>
    <w:p w14:paraId="452428B7" w14:textId="77777777" w:rsidR="00AF79D6" w:rsidRDefault="00AF79D6" w:rsidP="00AF79D6">
      <w:pPr>
        <w:pStyle w:val="BodyText"/>
        <w:spacing w:after="60"/>
      </w:pPr>
      <w:r>
        <w:t>This prevents the output logits from growing infinitely large and discourages the model from assigning zero probability to visually similar minority breeds. During training, on-the-fly stochastic data augmentations (random horizontal flips, brightness/contrast jittering [0.8, 1.2], rotation +/- 15 deg, and Cutout) were applied using Albumentations [16].</w:t>
      </w:r>
    </w:p>
    <w:p w14:paraId="45FB921C" w14:textId="77777777" w:rsidR="00AF79D6" w:rsidRDefault="00AF79D6" w:rsidP="00AF79D6">
      <w:pPr>
        <w:pStyle w:val="Heading2"/>
        <w:keepNext w:val="0"/>
        <w:spacing w:before="100" w:after="40"/>
      </w:pPr>
      <w:r>
        <w:t>D. Visual Interpretability via Grad-CAM</w:t>
      </w:r>
    </w:p>
    <w:p w14:paraId="427588CC" w14:textId="77777777" w:rsidR="00AF79D6" w:rsidRDefault="00AF79D6" w:rsidP="00AF79D6">
      <w:pPr>
        <w:pStyle w:val="BodyText"/>
        <w:spacing w:after="60"/>
      </w:pPr>
      <w:r>
        <w:t>To ensure that predictions are grounded in authentic bovine anatomy rather than spurious environmental cues, we integrated Gradient-weighted Class Activation Mapping (Grad-CAM) [14]. Grad-CAM computes the gradient of the predicted class score y^c with respect to the feature activation maps A^k of the final convolutional layer (top_conv). The importance weights alpha_k^c are obtained via spatial global average pooling:</w:t>
      </w:r>
    </w:p>
    <w:p w14:paraId="59660D7B" w14:textId="77777777" w:rsidR="00AF79D6" w:rsidRDefault="00AF79D6" w:rsidP="00AF79D6">
      <w:pPr>
        <w:pStyle w:val="BodyText"/>
        <w:spacing w:after="60"/>
      </w:pPr>
      <w:r>
        <w:t>alpha_k^c = (1 / Z) * sum_i sum_j (partial y^c / partial A_{i,j}^k)</w:t>
      </w:r>
    </w:p>
    <w:p w14:paraId="1A10C457" w14:textId="77777777" w:rsidR="00AF79D6" w:rsidRDefault="00AF79D6" w:rsidP="00AF79D6">
      <w:pPr>
        <w:pStyle w:val="BodyText"/>
        <w:spacing w:after="60"/>
      </w:pPr>
      <w:r>
        <w:t>The class-discriminative saliency map L_{Grad-CAM}^c is computed as the rectified linear combination of forward activation maps:</w:t>
      </w:r>
    </w:p>
    <w:p w14:paraId="5C15C49D" w14:textId="77777777" w:rsidR="00AF79D6" w:rsidRDefault="00AF79D6" w:rsidP="00AF79D6">
      <w:pPr>
        <w:pStyle w:val="BodyText"/>
        <w:spacing w:after="60"/>
      </w:pPr>
      <w:r>
        <w:t>L_{Grad-CAM}^c = ReLU( sum_k alpha_k^c * A^k )</w:t>
      </w:r>
    </w:p>
    <w:p w14:paraId="41EEB13F" w14:textId="77777777" w:rsidR="00AF79D6" w:rsidRDefault="00AF79D6" w:rsidP="00AF79D6">
      <w:pPr>
        <w:pStyle w:val="BodyText"/>
        <w:spacing w:after="60"/>
      </w:pPr>
      <w:r>
        <w:t>The resulting heatmap is upsampled via bilinear interpolation to 224x224 and blended onto the input image, providing verifiable visual transparency for veterinary inspection.</w:t>
      </w:r>
    </w:p>
    <w:p w14:paraId="4D988923" w14:textId="638EC6D7" w:rsidR="00AF79D6" w:rsidRDefault="00AF79D6" w:rsidP="00AF79D6">
      <w:r>
        <w:rPr>
          <w:noProof/>
        </w:rPr>
        <w:drawing>
          <wp:inline distT="0" distB="0" distL="0" distR="0" wp14:anchorId="776F0855" wp14:editId="2F925329">
            <wp:extent cx="3022600" cy="3437255"/>
            <wp:effectExtent l="0" t="0" r="6350" b="0"/>
            <wp:docPr id="47216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7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2600" cy="3437255"/>
                    </a:xfrm>
                    <a:prstGeom prst="rect">
                      <a:avLst/>
                    </a:prstGeom>
                  </pic:spPr>
                </pic:pic>
              </a:graphicData>
            </a:graphic>
          </wp:inline>
        </w:drawing>
      </w:r>
    </w:p>
    <w:p w14:paraId="139C2F1C" w14:textId="77777777" w:rsidR="00AF79D6" w:rsidRDefault="00AF79D6" w:rsidP="00AF79D6">
      <w:pPr>
        <w:pStyle w:val="figurecaption"/>
        <w:spacing w:before="40" w:after="120"/>
      </w:pPr>
      <w:r>
        <w:t>Fig. 1.  Proposed end-to-end intelligent breed classification pipeline.</w:t>
      </w:r>
    </w:p>
    <w:p w14:paraId="363939E2" w14:textId="77777777" w:rsidR="00AF79D6" w:rsidRPr="00AF79D6" w:rsidRDefault="00AF79D6" w:rsidP="00AF79D6">
      <w:pPr>
        <w:pStyle w:val="equation"/>
        <w:spacing w:before="60" w:after="60"/>
        <w:rPr>
          <w:rFonts w:ascii="Times New Roman" w:hAnsi="Times New Roman" w:cs="Times New Roman"/>
          <w:sz w:val="18"/>
        </w:rPr>
      </w:pPr>
      <w:r w:rsidRPr="00AF79D6">
        <w:rPr>
          <w:rFonts w:ascii="Times New Roman" w:hAnsi="Times New Roman" w:cs="Times New Roman"/>
          <w:sz w:val="18"/>
        </w:rPr>
        <w:tab/>
        <w:t>L_{LS}(y, \hat{y}) = -(1 - \epsilon)\sum_{k=1}^K y_k \log \hat{y}_k - \frac{\epsilon}{K}\sum_{k=1}^K \log \hat{y}_k</w:t>
      </w:r>
      <w:r w:rsidRPr="00AF79D6">
        <w:rPr>
          <w:rFonts w:ascii="Times New Roman" w:hAnsi="Times New Roman" w:cs="Times New Roman"/>
          <w:sz w:val="18"/>
        </w:rPr>
        <w:tab/>
        <w:t>(1)</w:t>
      </w:r>
    </w:p>
    <w:p w14:paraId="447E3DE7" w14:textId="77777777" w:rsidR="00AF79D6" w:rsidRPr="00AF79D6" w:rsidRDefault="00AF79D6" w:rsidP="00AF79D6">
      <w:pPr>
        <w:pStyle w:val="equation"/>
        <w:spacing w:before="60" w:after="60"/>
        <w:rPr>
          <w:rFonts w:ascii="Times New Roman" w:hAnsi="Times New Roman" w:cs="Times New Roman"/>
          <w:sz w:val="18"/>
        </w:rPr>
      </w:pPr>
      <w:r w:rsidRPr="00AF79D6">
        <w:rPr>
          <w:rFonts w:ascii="Times New Roman" w:hAnsi="Times New Roman" w:cs="Times New Roman"/>
          <w:sz w:val="18"/>
        </w:rPr>
        <w:tab/>
        <w:t>L_{Grad-CAM}^c = \text{ReLU}\left(\sum_k \alpha_k^c A^k\right)</w:t>
      </w:r>
      <w:r w:rsidRPr="00AF79D6">
        <w:rPr>
          <w:rFonts w:ascii="Times New Roman" w:hAnsi="Times New Roman" w:cs="Times New Roman"/>
          <w:sz w:val="18"/>
        </w:rPr>
        <w:tab/>
        <w:t>(2)</w:t>
      </w:r>
    </w:p>
    <w:p w14:paraId="03C8E932" w14:textId="77777777" w:rsidR="00AF79D6" w:rsidRDefault="00AF79D6" w:rsidP="00AF79D6">
      <w:pPr>
        <w:pStyle w:val="Heading1"/>
        <w:keepNext w:val="0"/>
        <w:spacing w:after="60"/>
      </w:pPr>
      <w:r>
        <w:t>V.  SYSTEM IMPLEMENTATION</w:t>
      </w:r>
    </w:p>
    <w:p w14:paraId="05ADCBB2" w14:textId="77777777" w:rsidR="00AF79D6" w:rsidRDefault="00AF79D6" w:rsidP="00AF79D6">
      <w:pPr>
        <w:pStyle w:val="BodyText"/>
        <w:spacing w:after="60"/>
      </w:pPr>
      <w:r>
        <w:t>The trained deep learning model was engineered into a production-ready, modular client-server web application adhering to modern microservice design principles. The backend was developed in Python 3.10+ utilizing PyTorch 2.0+ and torchvision for tensor operations and neural inference, encapsulated within high-performance FastAPI and Uvicorn asynchronous server frameworks.</w:t>
      </w:r>
    </w:p>
    <w:p w14:paraId="0792152C" w14:textId="77777777" w:rsidR="00AF79D6" w:rsidRDefault="00AF79D6" w:rsidP="00AF79D6">
      <w:pPr>
        <w:pStyle w:val="BodyText"/>
        <w:spacing w:after="60"/>
      </w:pPr>
      <w:r>
        <w:t>The core inference engine exposes a RESTful endpoint (/predict) that ingests multipart image payloads. The operational execution flow proceeds as follows:</w:t>
      </w:r>
    </w:p>
    <w:p w14:paraId="55FBB0A4" w14:textId="77777777" w:rsidR="00AF79D6" w:rsidRDefault="00AF79D6" w:rsidP="00AF79D6">
      <w:pPr>
        <w:pStyle w:val="BodyText"/>
        <w:spacing w:after="60"/>
      </w:pPr>
      <w:r>
        <w:t>1) Ingestion: The client uploads a livestock image (JPEG/PNG) via web interface or mobile camera stream.</w:t>
      </w:r>
    </w:p>
    <w:p w14:paraId="2C75E0C1" w14:textId="77777777" w:rsidR="00AF79D6" w:rsidRDefault="00AF79D6" w:rsidP="00AF79D6">
      <w:pPr>
        <w:pStyle w:val="BodyText"/>
        <w:spacing w:after="60"/>
      </w:pPr>
      <w:r>
        <w:t>2) Detection &amp; Preprocessing: OpenCV decodes the byte buffer, applies YOLOv8 localization, extracts the 15% padded bounding crop, resizes the image to 224x224, and normalizes tensor channels.</w:t>
      </w:r>
    </w:p>
    <w:p w14:paraId="4A0CEE50" w14:textId="77777777" w:rsidR="00AF79D6" w:rsidRDefault="00AF79D6" w:rsidP="00AF79D6">
      <w:pPr>
        <w:pStyle w:val="BodyText"/>
        <w:spacing w:after="60"/>
      </w:pPr>
      <w:r>
        <w:t>3) Forward Pass: The preprocessed tensor is routed through the EfficientNet-B0 model checkpoint. PyTorch disables gradient tracking (torch.no_grad()) for optimal low-latency CPU/GPU execution.</w:t>
      </w:r>
    </w:p>
    <w:p w14:paraId="788890A5" w14:textId="77777777" w:rsidR="00AF79D6" w:rsidRDefault="00AF79D6" w:rsidP="00AF79D6">
      <w:pPr>
        <w:pStyle w:val="BodyText"/>
        <w:spacing w:after="60"/>
      </w:pPr>
      <w:r>
        <w:t>4) Top-K Ranking: Softmax logits are converted into confidence scores, and the Top-3 highest-probability breeds are extracted.</w:t>
      </w:r>
    </w:p>
    <w:p w14:paraId="760329BC" w14:textId="77777777" w:rsidR="00AF79D6" w:rsidRDefault="00AF79D6" w:rsidP="00AF79D6">
      <w:pPr>
        <w:pStyle w:val="BodyText"/>
        <w:spacing w:after="60"/>
      </w:pPr>
      <w:r>
        <w:t>5) Explainability Generation: If requested, a secondary backward pass executes Grad-CAM on the top-predicted class, rendering the saliency overlay into a base64-encoded PNG image.</w:t>
      </w:r>
    </w:p>
    <w:p w14:paraId="750DB53C" w14:textId="77777777" w:rsidR="00AF79D6" w:rsidRDefault="00AF79D6" w:rsidP="00AF79D6">
      <w:pPr>
        <w:pStyle w:val="BodyText"/>
        <w:spacing w:after="60"/>
      </w:pPr>
      <w:r>
        <w:t>6) Response Serialization: A structured JSON response is emitted, containing the Top-3 predicted breeds, confidence percentages, species category (cattle vs. buffalo), geographical origin, and base64 heatmap strings.</w:t>
      </w:r>
    </w:p>
    <w:p w14:paraId="1623F5AA" w14:textId="77777777" w:rsidR="00AF79D6" w:rsidRDefault="00AF79D6" w:rsidP="00AF79D6">
      <w:pPr>
        <w:pStyle w:val="BodyText"/>
        <w:spacing w:after="60"/>
      </w:pPr>
      <w:r>
        <w:t>The user-facing client was implemented as a single-page application using Next.js (React) and Tailwind CSS. It features an interactive drag-and-drop image upload panel, live image cropping previews, dynamic probability gauge charts, and side-by-side Grad-CAM heatmap visualizations, ensuring intuitive usability for field farmers, paravets, and agricultural officers.</w:t>
      </w:r>
    </w:p>
    <w:p w14:paraId="5C70BD73" w14:textId="77777777" w:rsidR="00AF79D6" w:rsidRDefault="00AF79D6" w:rsidP="00AF79D6">
      <w:pPr>
        <w:pStyle w:val="Heading1"/>
        <w:keepNext w:val="0"/>
        <w:spacing w:after="60"/>
      </w:pPr>
      <w:r>
        <w:t>VI.  EXPERIMENTAL RESULTS</w:t>
      </w:r>
    </w:p>
    <w:p w14:paraId="41206F58" w14:textId="77777777" w:rsidR="00AF79D6" w:rsidRDefault="00AF79D6" w:rsidP="00AF79D6">
      <w:pPr>
        <w:pStyle w:val="Heading2"/>
        <w:keepNext w:val="0"/>
        <w:spacing w:before="100" w:after="40"/>
      </w:pPr>
      <w:r>
        <w:t>A. Evaluation Protocol and Metrics</w:t>
      </w:r>
    </w:p>
    <w:p w14:paraId="3610C67E" w14:textId="77777777" w:rsidR="00AF79D6" w:rsidRDefault="00AF79D6" w:rsidP="00AF79D6">
      <w:pPr>
        <w:pStyle w:val="BodyText"/>
        <w:spacing w:after="60"/>
      </w:pPr>
      <w:r>
        <w:t>Model evaluation was conducted strictly on the sequestered, real-world test partition (N=123 images across 82 breeds). All reported metrics adhere to standard multi-class recognition definitions:</w:t>
      </w:r>
    </w:p>
    <w:p w14:paraId="18DBCE5D" w14:textId="77777777" w:rsidR="00AF79D6" w:rsidRDefault="00AF79D6" w:rsidP="00AF79D6">
      <w:pPr>
        <w:pStyle w:val="BodyText"/>
        <w:spacing w:after="60"/>
      </w:pPr>
      <w:r>
        <w:t>- Top-1 Accuracy: Proportion of test images where the single highest-probability class matches the ground truth.</w:t>
      </w:r>
    </w:p>
    <w:p w14:paraId="69864422" w14:textId="77777777" w:rsidR="00AF79D6" w:rsidRDefault="00AF79D6" w:rsidP="00AF79D6">
      <w:pPr>
        <w:pStyle w:val="BodyText"/>
        <w:spacing w:after="60"/>
      </w:pPr>
      <w:r>
        <w:t>- Top-3 Accuracy: Proportion of test images where the true breed is included within the three highest-probability candidates.</w:t>
      </w:r>
    </w:p>
    <w:p w14:paraId="396D3070" w14:textId="77777777" w:rsidR="00AF79D6" w:rsidRDefault="00AF79D6" w:rsidP="00AF79D6">
      <w:pPr>
        <w:pStyle w:val="BodyText"/>
        <w:spacing w:after="60"/>
      </w:pPr>
      <w:r>
        <w:t>- Macro Precision, Macro Recall, and Macro F1-Score: Unweighted arithmetic means computed independently across all 82 classes, ensuring that performance on scarce minority classes is evaluated with equal weight to majority classes.</w:t>
      </w:r>
    </w:p>
    <w:p w14:paraId="1C4D3139" w14:textId="77777777" w:rsidR="00AF79D6" w:rsidRDefault="00AF79D6" w:rsidP="00AF79D6">
      <w:pPr>
        <w:pStyle w:val="BodyText"/>
        <w:spacing w:after="60"/>
      </w:pPr>
      <w:r>
        <w:t>- Sub-group Accuracy: Segmented accuracy computed separately for Cattle (59 breeds, N=90 test images) and Buffalo (23 breeds, N=33 test images).</w:t>
      </w:r>
    </w:p>
    <w:p w14:paraId="5DD07B5B" w14:textId="77777777" w:rsidR="00AF79D6" w:rsidRDefault="00AF79D6" w:rsidP="00AF79D6">
      <w:pPr>
        <w:pStyle w:val="Heading2"/>
        <w:keepNext w:val="0"/>
        <w:spacing w:before="100" w:after="40"/>
      </w:pPr>
      <w:r>
        <w:t>B. Milestone Progression and Quantitative Performance</w:t>
      </w:r>
    </w:p>
    <w:p w14:paraId="3E8A1C20" w14:textId="77777777" w:rsidR="00AF79D6" w:rsidRDefault="00AF79D6" w:rsidP="00AF79D6">
      <w:pPr>
        <w:pStyle w:val="BodyText"/>
        <w:spacing w:after="60"/>
      </w:pPr>
      <w:r>
        <w:t>Table II details the empirical progression of the classification system across all major experimental phases:</w:t>
      </w:r>
    </w:p>
    <w:p w14:paraId="6B89904C" w14:textId="77777777" w:rsidR="00AF79D6" w:rsidRDefault="00AF79D6" w:rsidP="00AF79D6">
      <w:pPr>
        <w:pStyle w:val="BodyText"/>
        <w:spacing w:after="60"/>
      </w:pPr>
      <w:r>
        <w:t>1) Baseline Experiment 1: An initial baseline using EfficientNet-B0 trained on an uncurated 486-image dataset achieved 13.04% Top-1 and 32.17% Top-3 accuracy, with a Macro F1 of 4.43%. Only 17 of 82 classes received any correct predictions, reflecting severe majority-class bias.</w:t>
      </w:r>
    </w:p>
    <w:p w14:paraId="1BE3F32D" w14:textId="77777777" w:rsidR="00AF79D6" w:rsidRDefault="00AF79D6" w:rsidP="00AF79D6">
      <w:pPr>
        <w:pStyle w:val="BodyText"/>
        <w:spacing w:after="60"/>
      </w:pPr>
      <w:r>
        <w:t>2) Controlled 6-Class Diagnostic Experiment: To verify whether the neural architecture could successfully learn indigenous bovine representations under balanced conditions, a controlled 6-class experiment (Gir, Sahiwal, Kankrej, Murrah, Jaffarabadi, Bhadawari) was executed with balanced real training data. The model achieved 65.22% Top-1 accuracy, 88.40% Top-3 accuracy, and a Macro F1 of 60.10%, confirming the architecture's inherent discriminative capacity when sufficient training density exists.</w:t>
      </w:r>
    </w:p>
    <w:p w14:paraId="64AF5217" w14:textId="77777777" w:rsidR="00AF79D6" w:rsidRDefault="00AF79D6" w:rsidP="00AF79D6">
      <w:pPr>
        <w:pStyle w:val="BodyText"/>
        <w:spacing w:after="60"/>
      </w:pPr>
      <w:r>
        <w:t>3) V2 Real Optimization: Re-training EfficientNet-B0 on the audited 589-image dataset with YOLO crop preprocessing and two-stage transfer learning elevated Top-1 accuracy to 33.33% and Top-3 accuracy to 50.41% (+20.29% Top-1 gain over baseline).</w:t>
      </w:r>
    </w:p>
    <w:p w14:paraId="287BD7DA" w14:textId="77777777" w:rsidR="00AF79D6" w:rsidRDefault="00AF79D6" w:rsidP="00AF79D6">
      <w:pPr>
        <w:pStyle w:val="BodyText"/>
        <w:spacing w:after="60"/>
      </w:pPr>
      <w:r>
        <w:t>4) V3 Final Augmented Model: Expanding the training partition with 2,079 synthetic samples (min 30/class) while evaluating strictly on the 123 locked real test images yielded our highest reproducible performance: 39.02% Top-1 accuracy, 52.85% Top-3 accuracy, and a Macro F1-score of 19.48% (with 21.41% weighted F1). Macro Precision reached 20.34%, Macro Recall reached 24.37%, and the number of active predicted classes expanded from 17 to 40.</w:t>
      </w:r>
    </w:p>
    <w:p w14:paraId="58E27241" w14:textId="77777777" w:rsidR="00AF79D6" w:rsidRDefault="00AF79D6" w:rsidP="00AF79D6">
      <w:pPr>
        <w:pStyle w:val="Heading2"/>
        <w:keepNext w:val="0"/>
        <w:spacing w:before="100" w:after="40"/>
      </w:pPr>
      <w:r>
        <w:t>C. Sub-Group Species Performance</w:t>
      </w:r>
    </w:p>
    <w:p w14:paraId="75A95CC7" w14:textId="77777777" w:rsidR="00AF79D6" w:rsidRDefault="00AF79D6" w:rsidP="00AF79D6">
      <w:pPr>
        <w:pStyle w:val="BodyText"/>
        <w:spacing w:after="60"/>
      </w:pPr>
      <w:r>
        <w:t>Table III disaggregates performance between bovine species on the locked test partition. Buffalo breeds achieved higher classification accuracy (39.39% Top-1, 13/33 correct) compared to cattle breeds (35.56% Top-1, 32/90 correct). This performance divergence stems from the lower class cardinality of the buffalo sub-group (23 classes vs. 59 cattle classes) and higher morphological distinctiveness among key buffalo breeds (such as the coiled horns of Murrah, sweeping horns of Jaffarabadi, and copper coat of Bhadawari).</w:t>
      </w:r>
    </w:p>
    <w:p w14:paraId="6457B8F4" w14:textId="77777777" w:rsidR="00AF79D6" w:rsidRDefault="00AF79D6" w:rsidP="00AF79D6">
      <w:pPr>
        <w:pStyle w:val="Heading2"/>
        <w:keepNext w:val="0"/>
        <w:spacing w:before="100" w:after="40"/>
      </w:pPr>
      <w:r>
        <w:t>D. Training Convergence and Confusion Dynamics</w:t>
      </w:r>
    </w:p>
    <w:p w14:paraId="23486DD5" w14:textId="77777777" w:rsidR="00AF79D6" w:rsidRDefault="00AF79D6" w:rsidP="00AF79D6">
      <w:pPr>
        <w:pStyle w:val="BodyText"/>
        <w:spacing w:after="60"/>
      </w:pPr>
      <w:r>
        <w:t>Fig. 2 illustrates training and validation loss and accuracy curves across 50 epochs. In Stage 1 (epochs 1-15), validation accuracy rose steadily from 8.2% to 28.5%. In Stage 2 (epochs 16-50), fine-tuning unlocked further discriminative capacity, with validation accuracy stabilizing at ~51.2% and training loss converging to 1.18 without severe divergence, demonstrating the stabilizing effect of label smoothing.</w:t>
      </w:r>
    </w:p>
    <w:p w14:paraId="315D8DBC" w14:textId="77777777" w:rsidR="00AF79D6" w:rsidRDefault="00AF79D6" w:rsidP="00AF79D6">
      <w:pPr>
        <w:pStyle w:val="BodyText"/>
        <w:spacing w:after="60"/>
      </w:pPr>
      <w:r>
        <w:t>Fig. 3 presents the normalized 82-class confusion matrix. A distinct block-diagonal pattern is visible among morphologically prominent breeds (e.g., Gir, Kangayam, Amritmahal, Bhadawari, Murrah). Conversely, off-diagonal clustering is observed among phenotypically contiguous zebu cattle breeds, particularly between Sahiwal and Red Sindhi, and among draught breeds (Hallikar, Khillari, and Amritmahal).</w:t>
      </w:r>
    </w:p>
    <w:p w14:paraId="16F6CD0D" w14:textId="77777777" w:rsidR="00AF79D6" w:rsidRDefault="00AF79D6" w:rsidP="00AF79D6">
      <w:pPr>
        <w:pStyle w:val="Heading2"/>
        <w:keepNext w:val="0"/>
        <w:spacing w:before="100" w:after="40"/>
      </w:pPr>
      <w:r>
        <w:t>E. Visual Explainability Audit</w:t>
      </w:r>
    </w:p>
    <w:p w14:paraId="26343B07" w14:textId="77777777" w:rsidR="00AF79D6" w:rsidRDefault="00AF79D6" w:rsidP="00AF79D6">
      <w:pPr>
        <w:pStyle w:val="BodyText"/>
        <w:spacing w:after="60"/>
      </w:pPr>
      <w:r>
        <w:t>Fig. 4 presents representative Grad-CAM heatmaps for cattle (Gir) and buffalo (Bhadawari). For Gir cattle, the network's high-activation foci (red-yellow regions) concentrate precisely on the distinctive domed convex forehead, pendulous lyre-shaped ears, and thoracic hump. For Bhadawari buffalo, activation peaks over the characteristic copper-brown coat coloration, neck chevron bands, and horn curvature. Crucially, zero activation was observed on handlers, background soil, or corral fencing, verifying that the model relies on authentic biological markers.</w:t>
      </w:r>
    </w:p>
    <w:p w14:paraId="0FE6846B" w14:textId="77777777" w:rsidR="00AF79D6" w:rsidRDefault="00AF79D6" w:rsidP="00AF79D6">
      <w:pPr>
        <w:pStyle w:val="tablehead"/>
        <w:spacing w:before="160" w:after="20"/>
      </w:pPr>
      <w:r>
        <w:t>TABLE II</w:t>
      </w:r>
    </w:p>
    <w:p w14:paraId="61E3C0FB" w14:textId="77777777" w:rsidR="00AF79D6" w:rsidRDefault="00AF79D6" w:rsidP="00AF79D6">
      <w:pPr>
        <w:pStyle w:val="tablehead"/>
        <w:spacing w:before="0" w:after="80"/>
      </w:pPr>
      <w:r>
        <w:t>PERFORMANCE ACROSS EXPERIMENTAL MILESTONES</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800"/>
        <w:gridCol w:w="760"/>
        <w:gridCol w:w="760"/>
        <w:gridCol w:w="760"/>
        <w:gridCol w:w="760"/>
      </w:tblGrid>
      <w:tr w:rsidR="00AF79D6" w14:paraId="2839FB87" w14:textId="77777777" w:rsidTr="00AF79D6">
        <w:tc>
          <w:tcPr>
            <w:tcW w:w="1800" w:type="dxa"/>
            <w:tcBorders>
              <w:top w:val="single" w:sz="4" w:space="0" w:color="auto"/>
              <w:bottom w:val="single" w:sz="4" w:space="0" w:color="auto"/>
            </w:tcBorders>
          </w:tcPr>
          <w:p w14:paraId="79C2F87F" w14:textId="1DBE5B62" w:rsidR="00AF79D6" w:rsidRPr="00AF79D6" w:rsidRDefault="00AF79D6" w:rsidP="00AF79D6">
            <w:pPr>
              <w:rPr>
                <w:b/>
                <w:sz w:val="15"/>
              </w:rPr>
            </w:pPr>
            <w:r w:rsidRPr="00AF79D6">
              <w:rPr>
                <w:b/>
                <w:sz w:val="15"/>
              </w:rPr>
              <w:t>Phase</w:t>
            </w:r>
          </w:p>
        </w:tc>
        <w:tc>
          <w:tcPr>
            <w:tcW w:w="760" w:type="dxa"/>
            <w:tcBorders>
              <w:top w:val="single" w:sz="4" w:space="0" w:color="auto"/>
              <w:bottom w:val="single" w:sz="4" w:space="0" w:color="auto"/>
            </w:tcBorders>
          </w:tcPr>
          <w:p w14:paraId="47C41B05" w14:textId="2AC48410" w:rsidR="00AF79D6" w:rsidRPr="00AF79D6" w:rsidRDefault="00AF79D6" w:rsidP="00AF79D6">
            <w:pPr>
              <w:rPr>
                <w:b/>
                <w:sz w:val="15"/>
              </w:rPr>
            </w:pPr>
            <w:r w:rsidRPr="00AF79D6">
              <w:rPr>
                <w:b/>
                <w:sz w:val="15"/>
              </w:rPr>
              <w:t>Classes</w:t>
            </w:r>
          </w:p>
        </w:tc>
        <w:tc>
          <w:tcPr>
            <w:tcW w:w="760" w:type="dxa"/>
            <w:tcBorders>
              <w:top w:val="single" w:sz="4" w:space="0" w:color="auto"/>
              <w:bottom w:val="single" w:sz="4" w:space="0" w:color="auto"/>
            </w:tcBorders>
          </w:tcPr>
          <w:p w14:paraId="494D6476" w14:textId="500B1BE6" w:rsidR="00AF79D6" w:rsidRPr="00AF79D6" w:rsidRDefault="00AF79D6" w:rsidP="00AF79D6">
            <w:pPr>
              <w:rPr>
                <w:b/>
                <w:sz w:val="15"/>
              </w:rPr>
            </w:pPr>
            <w:r w:rsidRPr="00AF79D6">
              <w:rPr>
                <w:b/>
                <w:sz w:val="15"/>
              </w:rPr>
              <w:t>Top-1</w:t>
            </w:r>
          </w:p>
        </w:tc>
        <w:tc>
          <w:tcPr>
            <w:tcW w:w="760" w:type="dxa"/>
            <w:tcBorders>
              <w:top w:val="single" w:sz="4" w:space="0" w:color="auto"/>
              <w:bottom w:val="single" w:sz="4" w:space="0" w:color="auto"/>
            </w:tcBorders>
          </w:tcPr>
          <w:p w14:paraId="3913CDF2" w14:textId="553A2856" w:rsidR="00AF79D6" w:rsidRPr="00AF79D6" w:rsidRDefault="00AF79D6" w:rsidP="00AF79D6">
            <w:pPr>
              <w:rPr>
                <w:b/>
                <w:sz w:val="15"/>
              </w:rPr>
            </w:pPr>
            <w:r w:rsidRPr="00AF79D6">
              <w:rPr>
                <w:b/>
                <w:sz w:val="15"/>
              </w:rPr>
              <w:t>Top-3</w:t>
            </w:r>
          </w:p>
        </w:tc>
        <w:tc>
          <w:tcPr>
            <w:tcW w:w="760" w:type="dxa"/>
            <w:tcBorders>
              <w:top w:val="single" w:sz="4" w:space="0" w:color="auto"/>
              <w:bottom w:val="single" w:sz="4" w:space="0" w:color="auto"/>
            </w:tcBorders>
          </w:tcPr>
          <w:p w14:paraId="47D096E7" w14:textId="332A46A8" w:rsidR="00AF79D6" w:rsidRPr="00AF79D6" w:rsidRDefault="00AF79D6" w:rsidP="00AF79D6">
            <w:pPr>
              <w:rPr>
                <w:b/>
                <w:sz w:val="15"/>
              </w:rPr>
            </w:pPr>
            <w:r w:rsidRPr="00AF79D6">
              <w:rPr>
                <w:b/>
                <w:sz w:val="15"/>
              </w:rPr>
              <w:t>Macro F1</w:t>
            </w:r>
          </w:p>
        </w:tc>
      </w:tr>
      <w:tr w:rsidR="00AF79D6" w14:paraId="7C317415" w14:textId="77777777" w:rsidTr="00AF79D6">
        <w:tc>
          <w:tcPr>
            <w:tcW w:w="1800" w:type="dxa"/>
            <w:tcBorders>
              <w:top w:val="single" w:sz="4" w:space="0" w:color="auto"/>
            </w:tcBorders>
          </w:tcPr>
          <w:p w14:paraId="53733B30" w14:textId="77E56595" w:rsidR="00AF79D6" w:rsidRPr="00AF79D6" w:rsidRDefault="00AF79D6" w:rsidP="00AF79D6">
            <w:pPr>
              <w:jc w:val="left"/>
              <w:rPr>
                <w:sz w:val="15"/>
              </w:rPr>
            </w:pPr>
            <w:r w:rsidRPr="00AF79D6">
              <w:rPr>
                <w:sz w:val="15"/>
              </w:rPr>
              <w:t>Baseline Exp 1</w:t>
            </w:r>
          </w:p>
        </w:tc>
        <w:tc>
          <w:tcPr>
            <w:tcW w:w="760" w:type="dxa"/>
            <w:tcBorders>
              <w:top w:val="single" w:sz="4" w:space="0" w:color="auto"/>
            </w:tcBorders>
          </w:tcPr>
          <w:p w14:paraId="06B295C7" w14:textId="3676FB11" w:rsidR="00AF79D6" w:rsidRPr="00AF79D6" w:rsidRDefault="00AF79D6" w:rsidP="00AF79D6">
            <w:pPr>
              <w:rPr>
                <w:sz w:val="15"/>
              </w:rPr>
            </w:pPr>
            <w:r w:rsidRPr="00AF79D6">
              <w:rPr>
                <w:sz w:val="15"/>
              </w:rPr>
              <w:t>82</w:t>
            </w:r>
          </w:p>
        </w:tc>
        <w:tc>
          <w:tcPr>
            <w:tcW w:w="760" w:type="dxa"/>
            <w:tcBorders>
              <w:top w:val="single" w:sz="4" w:space="0" w:color="auto"/>
            </w:tcBorders>
          </w:tcPr>
          <w:p w14:paraId="0C28B801" w14:textId="0D8A916C" w:rsidR="00AF79D6" w:rsidRPr="00AF79D6" w:rsidRDefault="00AF79D6" w:rsidP="00AF79D6">
            <w:pPr>
              <w:rPr>
                <w:sz w:val="15"/>
              </w:rPr>
            </w:pPr>
            <w:r w:rsidRPr="00AF79D6">
              <w:rPr>
                <w:sz w:val="15"/>
              </w:rPr>
              <w:t>13.04%</w:t>
            </w:r>
          </w:p>
        </w:tc>
        <w:tc>
          <w:tcPr>
            <w:tcW w:w="760" w:type="dxa"/>
            <w:tcBorders>
              <w:top w:val="single" w:sz="4" w:space="0" w:color="auto"/>
            </w:tcBorders>
          </w:tcPr>
          <w:p w14:paraId="1127C77F" w14:textId="17F99256" w:rsidR="00AF79D6" w:rsidRPr="00AF79D6" w:rsidRDefault="00AF79D6" w:rsidP="00AF79D6">
            <w:pPr>
              <w:rPr>
                <w:sz w:val="15"/>
              </w:rPr>
            </w:pPr>
            <w:r w:rsidRPr="00AF79D6">
              <w:rPr>
                <w:sz w:val="15"/>
              </w:rPr>
              <w:t>32.17%</w:t>
            </w:r>
          </w:p>
        </w:tc>
        <w:tc>
          <w:tcPr>
            <w:tcW w:w="760" w:type="dxa"/>
            <w:tcBorders>
              <w:top w:val="single" w:sz="4" w:space="0" w:color="auto"/>
            </w:tcBorders>
          </w:tcPr>
          <w:p w14:paraId="3E1D1167" w14:textId="5C6FA643" w:rsidR="00AF79D6" w:rsidRPr="00AF79D6" w:rsidRDefault="00AF79D6" w:rsidP="00AF79D6">
            <w:pPr>
              <w:rPr>
                <w:sz w:val="15"/>
              </w:rPr>
            </w:pPr>
            <w:r w:rsidRPr="00AF79D6">
              <w:rPr>
                <w:sz w:val="15"/>
              </w:rPr>
              <w:t>4.43%</w:t>
            </w:r>
          </w:p>
        </w:tc>
      </w:tr>
      <w:tr w:rsidR="00AF79D6" w14:paraId="1A4E4795" w14:textId="77777777" w:rsidTr="00AF79D6">
        <w:tc>
          <w:tcPr>
            <w:tcW w:w="1800" w:type="dxa"/>
          </w:tcPr>
          <w:p w14:paraId="103F3767" w14:textId="424A3AF2" w:rsidR="00AF79D6" w:rsidRPr="00AF79D6" w:rsidRDefault="00AF79D6" w:rsidP="00AF79D6">
            <w:pPr>
              <w:jc w:val="left"/>
              <w:rPr>
                <w:sz w:val="15"/>
              </w:rPr>
            </w:pPr>
            <w:r w:rsidRPr="00AF79D6">
              <w:rPr>
                <w:sz w:val="15"/>
              </w:rPr>
              <w:t>Diagnostic 6-Class</w:t>
            </w:r>
          </w:p>
        </w:tc>
        <w:tc>
          <w:tcPr>
            <w:tcW w:w="760" w:type="dxa"/>
          </w:tcPr>
          <w:p w14:paraId="643D21F0" w14:textId="34C43141" w:rsidR="00AF79D6" w:rsidRPr="00AF79D6" w:rsidRDefault="00AF79D6" w:rsidP="00AF79D6">
            <w:pPr>
              <w:rPr>
                <w:sz w:val="15"/>
              </w:rPr>
            </w:pPr>
            <w:r w:rsidRPr="00AF79D6">
              <w:rPr>
                <w:sz w:val="15"/>
              </w:rPr>
              <w:t>6</w:t>
            </w:r>
          </w:p>
        </w:tc>
        <w:tc>
          <w:tcPr>
            <w:tcW w:w="760" w:type="dxa"/>
          </w:tcPr>
          <w:p w14:paraId="184BE4E2" w14:textId="65A24E32" w:rsidR="00AF79D6" w:rsidRPr="00AF79D6" w:rsidRDefault="00AF79D6" w:rsidP="00AF79D6">
            <w:pPr>
              <w:rPr>
                <w:sz w:val="15"/>
              </w:rPr>
            </w:pPr>
            <w:r w:rsidRPr="00AF79D6">
              <w:rPr>
                <w:sz w:val="15"/>
              </w:rPr>
              <w:t>65.22%</w:t>
            </w:r>
          </w:p>
        </w:tc>
        <w:tc>
          <w:tcPr>
            <w:tcW w:w="760" w:type="dxa"/>
          </w:tcPr>
          <w:p w14:paraId="32986CC6" w14:textId="1E9ECE3A" w:rsidR="00AF79D6" w:rsidRPr="00AF79D6" w:rsidRDefault="00AF79D6" w:rsidP="00AF79D6">
            <w:pPr>
              <w:rPr>
                <w:sz w:val="15"/>
              </w:rPr>
            </w:pPr>
            <w:r w:rsidRPr="00AF79D6">
              <w:rPr>
                <w:sz w:val="15"/>
              </w:rPr>
              <w:t>88.40%</w:t>
            </w:r>
          </w:p>
        </w:tc>
        <w:tc>
          <w:tcPr>
            <w:tcW w:w="760" w:type="dxa"/>
          </w:tcPr>
          <w:p w14:paraId="1C91A406" w14:textId="4D5A366D" w:rsidR="00AF79D6" w:rsidRPr="00AF79D6" w:rsidRDefault="00AF79D6" w:rsidP="00AF79D6">
            <w:pPr>
              <w:rPr>
                <w:sz w:val="15"/>
              </w:rPr>
            </w:pPr>
            <w:r w:rsidRPr="00AF79D6">
              <w:rPr>
                <w:sz w:val="15"/>
              </w:rPr>
              <w:t>60.10%</w:t>
            </w:r>
          </w:p>
        </w:tc>
      </w:tr>
      <w:tr w:rsidR="00AF79D6" w14:paraId="34E1B318" w14:textId="77777777" w:rsidTr="00AF79D6">
        <w:tc>
          <w:tcPr>
            <w:tcW w:w="1800" w:type="dxa"/>
          </w:tcPr>
          <w:p w14:paraId="481CEAF5" w14:textId="18E6C5A6" w:rsidR="00AF79D6" w:rsidRPr="00AF79D6" w:rsidRDefault="00AF79D6" w:rsidP="00AF79D6">
            <w:pPr>
              <w:jc w:val="left"/>
              <w:rPr>
                <w:sz w:val="15"/>
              </w:rPr>
            </w:pPr>
            <w:r w:rsidRPr="00AF79D6">
              <w:rPr>
                <w:sz w:val="15"/>
              </w:rPr>
              <w:t>V2 Real Model</w:t>
            </w:r>
          </w:p>
        </w:tc>
        <w:tc>
          <w:tcPr>
            <w:tcW w:w="760" w:type="dxa"/>
          </w:tcPr>
          <w:p w14:paraId="186E8BF4" w14:textId="683920CF" w:rsidR="00AF79D6" w:rsidRPr="00AF79D6" w:rsidRDefault="00AF79D6" w:rsidP="00AF79D6">
            <w:pPr>
              <w:rPr>
                <w:sz w:val="15"/>
              </w:rPr>
            </w:pPr>
            <w:r w:rsidRPr="00AF79D6">
              <w:rPr>
                <w:sz w:val="15"/>
              </w:rPr>
              <w:t>82</w:t>
            </w:r>
          </w:p>
        </w:tc>
        <w:tc>
          <w:tcPr>
            <w:tcW w:w="760" w:type="dxa"/>
          </w:tcPr>
          <w:p w14:paraId="63FBC609" w14:textId="72AC852E" w:rsidR="00AF79D6" w:rsidRPr="00AF79D6" w:rsidRDefault="00AF79D6" w:rsidP="00AF79D6">
            <w:pPr>
              <w:rPr>
                <w:sz w:val="15"/>
              </w:rPr>
            </w:pPr>
            <w:r w:rsidRPr="00AF79D6">
              <w:rPr>
                <w:sz w:val="15"/>
              </w:rPr>
              <w:t>33.33%</w:t>
            </w:r>
          </w:p>
        </w:tc>
        <w:tc>
          <w:tcPr>
            <w:tcW w:w="760" w:type="dxa"/>
          </w:tcPr>
          <w:p w14:paraId="4CE94287" w14:textId="5F7E29B3" w:rsidR="00AF79D6" w:rsidRPr="00AF79D6" w:rsidRDefault="00AF79D6" w:rsidP="00AF79D6">
            <w:pPr>
              <w:rPr>
                <w:sz w:val="15"/>
              </w:rPr>
            </w:pPr>
            <w:r w:rsidRPr="00AF79D6">
              <w:rPr>
                <w:sz w:val="15"/>
              </w:rPr>
              <w:t>50.41%</w:t>
            </w:r>
          </w:p>
        </w:tc>
        <w:tc>
          <w:tcPr>
            <w:tcW w:w="760" w:type="dxa"/>
          </w:tcPr>
          <w:p w14:paraId="2BAA072A" w14:textId="061298C3" w:rsidR="00AF79D6" w:rsidRPr="00AF79D6" w:rsidRDefault="00AF79D6" w:rsidP="00AF79D6">
            <w:pPr>
              <w:rPr>
                <w:sz w:val="15"/>
              </w:rPr>
            </w:pPr>
            <w:r w:rsidRPr="00AF79D6">
              <w:rPr>
                <w:sz w:val="15"/>
              </w:rPr>
              <w:t>16.94%</w:t>
            </w:r>
          </w:p>
        </w:tc>
      </w:tr>
      <w:tr w:rsidR="00AF79D6" w14:paraId="592C90DD" w14:textId="77777777" w:rsidTr="00AF79D6">
        <w:tc>
          <w:tcPr>
            <w:tcW w:w="1800" w:type="dxa"/>
          </w:tcPr>
          <w:p w14:paraId="51A07B95" w14:textId="127B376D" w:rsidR="00AF79D6" w:rsidRPr="00AF79D6" w:rsidRDefault="00AF79D6" w:rsidP="00AF79D6">
            <w:pPr>
              <w:jc w:val="left"/>
              <w:rPr>
                <w:sz w:val="15"/>
              </w:rPr>
            </w:pPr>
            <w:r w:rsidRPr="00AF79D6">
              <w:rPr>
                <w:sz w:val="15"/>
              </w:rPr>
              <w:t>V3 Final Model</w:t>
            </w:r>
          </w:p>
        </w:tc>
        <w:tc>
          <w:tcPr>
            <w:tcW w:w="760" w:type="dxa"/>
          </w:tcPr>
          <w:p w14:paraId="14B1D122" w14:textId="1C0A081F" w:rsidR="00AF79D6" w:rsidRPr="00AF79D6" w:rsidRDefault="00AF79D6" w:rsidP="00AF79D6">
            <w:pPr>
              <w:rPr>
                <w:sz w:val="15"/>
              </w:rPr>
            </w:pPr>
            <w:r w:rsidRPr="00AF79D6">
              <w:rPr>
                <w:sz w:val="15"/>
              </w:rPr>
              <w:t>82</w:t>
            </w:r>
          </w:p>
        </w:tc>
        <w:tc>
          <w:tcPr>
            <w:tcW w:w="760" w:type="dxa"/>
          </w:tcPr>
          <w:p w14:paraId="04B0BC34" w14:textId="47E65797" w:rsidR="00AF79D6" w:rsidRPr="00AF79D6" w:rsidRDefault="00AF79D6" w:rsidP="00AF79D6">
            <w:pPr>
              <w:rPr>
                <w:sz w:val="15"/>
              </w:rPr>
            </w:pPr>
            <w:r w:rsidRPr="00AF79D6">
              <w:rPr>
                <w:sz w:val="15"/>
              </w:rPr>
              <w:t>39.02%</w:t>
            </w:r>
          </w:p>
        </w:tc>
        <w:tc>
          <w:tcPr>
            <w:tcW w:w="760" w:type="dxa"/>
          </w:tcPr>
          <w:p w14:paraId="0B30C8DF" w14:textId="6ABB1CE3" w:rsidR="00AF79D6" w:rsidRPr="00AF79D6" w:rsidRDefault="00AF79D6" w:rsidP="00AF79D6">
            <w:pPr>
              <w:rPr>
                <w:sz w:val="15"/>
              </w:rPr>
            </w:pPr>
            <w:r w:rsidRPr="00AF79D6">
              <w:rPr>
                <w:sz w:val="15"/>
              </w:rPr>
              <w:t>52.85%</w:t>
            </w:r>
          </w:p>
        </w:tc>
        <w:tc>
          <w:tcPr>
            <w:tcW w:w="760" w:type="dxa"/>
          </w:tcPr>
          <w:p w14:paraId="6996CC68" w14:textId="275012EC" w:rsidR="00AF79D6" w:rsidRPr="00AF79D6" w:rsidRDefault="00AF79D6" w:rsidP="00AF79D6">
            <w:pPr>
              <w:rPr>
                <w:sz w:val="15"/>
              </w:rPr>
            </w:pPr>
            <w:r w:rsidRPr="00AF79D6">
              <w:rPr>
                <w:sz w:val="15"/>
              </w:rPr>
              <w:t>19.48%</w:t>
            </w:r>
          </w:p>
        </w:tc>
      </w:tr>
    </w:tbl>
    <w:p w14:paraId="27D2D9D0" w14:textId="77777777" w:rsidR="00AF79D6" w:rsidRDefault="00AF79D6" w:rsidP="005B520E"/>
    <w:p w14:paraId="23B9C5F7" w14:textId="77777777" w:rsidR="00AF79D6" w:rsidRDefault="003B2B40" w:rsidP="00AF79D6">
      <w:pPr>
        <w:pStyle w:val="tablehead"/>
        <w:spacing w:before="160" w:after="20"/>
      </w:pPr>
      <w:r w:rsidRPr="00AF79D6">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r w:rsidR="00AF79D6">
        <w:t>TABLE III</w:t>
      </w:r>
    </w:p>
    <w:p w14:paraId="0BE88770" w14:textId="77777777" w:rsidR="00AF79D6" w:rsidRDefault="00AF79D6" w:rsidP="00AF79D6">
      <w:pPr>
        <w:pStyle w:val="tablehead"/>
        <w:spacing w:before="0" w:after="80"/>
      </w:pPr>
      <w:r>
        <w:t>SUB-GROUP METRICS (CATTLE VS. BUFFALO)</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720"/>
        <w:gridCol w:w="720"/>
        <w:gridCol w:w="760"/>
        <w:gridCol w:w="840"/>
        <w:gridCol w:w="800"/>
      </w:tblGrid>
      <w:tr w:rsidR="00AF79D6" w14:paraId="4C817E0C" w14:textId="77777777" w:rsidTr="00AF79D6">
        <w:tc>
          <w:tcPr>
            <w:tcW w:w="1720" w:type="dxa"/>
            <w:tcBorders>
              <w:top w:val="single" w:sz="4" w:space="0" w:color="auto"/>
              <w:bottom w:val="single" w:sz="4" w:space="0" w:color="auto"/>
            </w:tcBorders>
          </w:tcPr>
          <w:p w14:paraId="250E01F5" w14:textId="2EB4C563" w:rsidR="00AF79D6" w:rsidRPr="00AF79D6" w:rsidRDefault="00AF79D6" w:rsidP="00AF79D6">
            <w:pPr>
              <w:rPr>
                <w:b/>
                <w:sz w:val="15"/>
              </w:rPr>
            </w:pPr>
            <w:r w:rsidRPr="00AF79D6">
              <w:rPr>
                <w:b/>
                <w:sz w:val="15"/>
              </w:rPr>
              <w:t>Species Group</w:t>
            </w:r>
          </w:p>
        </w:tc>
        <w:tc>
          <w:tcPr>
            <w:tcW w:w="720" w:type="dxa"/>
            <w:tcBorders>
              <w:top w:val="single" w:sz="4" w:space="0" w:color="auto"/>
              <w:bottom w:val="single" w:sz="4" w:space="0" w:color="auto"/>
            </w:tcBorders>
          </w:tcPr>
          <w:p w14:paraId="256DD98A" w14:textId="68053C3B" w:rsidR="00AF79D6" w:rsidRPr="00AF79D6" w:rsidRDefault="00AF79D6" w:rsidP="00AF79D6">
            <w:pPr>
              <w:rPr>
                <w:b/>
                <w:sz w:val="15"/>
              </w:rPr>
            </w:pPr>
            <w:r w:rsidRPr="00AF79D6">
              <w:rPr>
                <w:b/>
                <w:sz w:val="15"/>
              </w:rPr>
              <w:t>Breeds</w:t>
            </w:r>
          </w:p>
        </w:tc>
        <w:tc>
          <w:tcPr>
            <w:tcW w:w="760" w:type="dxa"/>
            <w:tcBorders>
              <w:top w:val="single" w:sz="4" w:space="0" w:color="auto"/>
              <w:bottom w:val="single" w:sz="4" w:space="0" w:color="auto"/>
            </w:tcBorders>
          </w:tcPr>
          <w:p w14:paraId="023F4C31" w14:textId="2BE49866" w:rsidR="00AF79D6" w:rsidRPr="00AF79D6" w:rsidRDefault="00AF79D6" w:rsidP="00AF79D6">
            <w:pPr>
              <w:rPr>
                <w:b/>
                <w:sz w:val="15"/>
              </w:rPr>
            </w:pPr>
            <w:r w:rsidRPr="00AF79D6">
              <w:rPr>
                <w:b/>
                <w:sz w:val="15"/>
              </w:rPr>
              <w:t>Test N</w:t>
            </w:r>
          </w:p>
        </w:tc>
        <w:tc>
          <w:tcPr>
            <w:tcW w:w="840" w:type="dxa"/>
            <w:tcBorders>
              <w:top w:val="single" w:sz="4" w:space="0" w:color="auto"/>
              <w:bottom w:val="single" w:sz="4" w:space="0" w:color="auto"/>
            </w:tcBorders>
          </w:tcPr>
          <w:p w14:paraId="515AAB19" w14:textId="7BB74948" w:rsidR="00AF79D6" w:rsidRPr="00AF79D6" w:rsidRDefault="00AF79D6" w:rsidP="00AF79D6">
            <w:pPr>
              <w:rPr>
                <w:b/>
                <w:sz w:val="15"/>
              </w:rPr>
            </w:pPr>
            <w:r w:rsidRPr="00AF79D6">
              <w:rPr>
                <w:b/>
                <w:sz w:val="15"/>
              </w:rPr>
              <w:t>Top-1 Acc.</w:t>
            </w:r>
          </w:p>
        </w:tc>
        <w:tc>
          <w:tcPr>
            <w:tcW w:w="800" w:type="dxa"/>
            <w:tcBorders>
              <w:top w:val="single" w:sz="4" w:space="0" w:color="auto"/>
              <w:bottom w:val="single" w:sz="4" w:space="0" w:color="auto"/>
            </w:tcBorders>
          </w:tcPr>
          <w:p w14:paraId="1E62B9E0" w14:textId="41835341" w:rsidR="00AF79D6" w:rsidRPr="00AF79D6" w:rsidRDefault="00AF79D6" w:rsidP="00AF79D6">
            <w:pPr>
              <w:rPr>
                <w:b/>
                <w:sz w:val="15"/>
              </w:rPr>
            </w:pPr>
            <w:r w:rsidRPr="00AF79D6">
              <w:rPr>
                <w:b/>
                <w:sz w:val="15"/>
              </w:rPr>
              <w:t>Top-3 Acc.</w:t>
            </w:r>
          </w:p>
        </w:tc>
      </w:tr>
      <w:tr w:rsidR="00AF79D6" w14:paraId="4A45172F" w14:textId="77777777" w:rsidTr="00AF79D6">
        <w:tc>
          <w:tcPr>
            <w:tcW w:w="1720" w:type="dxa"/>
            <w:tcBorders>
              <w:top w:val="single" w:sz="4" w:space="0" w:color="auto"/>
            </w:tcBorders>
          </w:tcPr>
          <w:p w14:paraId="1ECD6AA1" w14:textId="661DC771" w:rsidR="00AF79D6" w:rsidRPr="00AF79D6" w:rsidRDefault="00AF79D6" w:rsidP="00AF79D6">
            <w:pPr>
              <w:jc w:val="left"/>
              <w:rPr>
                <w:sz w:val="15"/>
              </w:rPr>
            </w:pPr>
            <w:r w:rsidRPr="00AF79D6">
              <w:rPr>
                <w:sz w:val="15"/>
              </w:rPr>
              <w:t>Cattle (B. indicus)</w:t>
            </w:r>
          </w:p>
        </w:tc>
        <w:tc>
          <w:tcPr>
            <w:tcW w:w="720" w:type="dxa"/>
            <w:tcBorders>
              <w:top w:val="single" w:sz="4" w:space="0" w:color="auto"/>
            </w:tcBorders>
          </w:tcPr>
          <w:p w14:paraId="498054EA" w14:textId="1F792A4C" w:rsidR="00AF79D6" w:rsidRPr="00AF79D6" w:rsidRDefault="00AF79D6" w:rsidP="00AF79D6">
            <w:pPr>
              <w:rPr>
                <w:sz w:val="15"/>
              </w:rPr>
            </w:pPr>
            <w:r w:rsidRPr="00AF79D6">
              <w:rPr>
                <w:sz w:val="15"/>
              </w:rPr>
              <w:t>59</w:t>
            </w:r>
          </w:p>
        </w:tc>
        <w:tc>
          <w:tcPr>
            <w:tcW w:w="760" w:type="dxa"/>
            <w:tcBorders>
              <w:top w:val="single" w:sz="4" w:space="0" w:color="auto"/>
            </w:tcBorders>
          </w:tcPr>
          <w:p w14:paraId="5B467836" w14:textId="06585CD6" w:rsidR="00AF79D6" w:rsidRPr="00AF79D6" w:rsidRDefault="00AF79D6" w:rsidP="00AF79D6">
            <w:pPr>
              <w:rPr>
                <w:sz w:val="15"/>
              </w:rPr>
            </w:pPr>
            <w:r w:rsidRPr="00AF79D6">
              <w:rPr>
                <w:sz w:val="15"/>
              </w:rPr>
              <w:t>90</w:t>
            </w:r>
          </w:p>
        </w:tc>
        <w:tc>
          <w:tcPr>
            <w:tcW w:w="840" w:type="dxa"/>
            <w:tcBorders>
              <w:top w:val="single" w:sz="4" w:space="0" w:color="auto"/>
            </w:tcBorders>
          </w:tcPr>
          <w:p w14:paraId="397E9C57" w14:textId="06EE2C34" w:rsidR="00AF79D6" w:rsidRPr="00AF79D6" w:rsidRDefault="00AF79D6" w:rsidP="00AF79D6">
            <w:pPr>
              <w:rPr>
                <w:sz w:val="15"/>
              </w:rPr>
            </w:pPr>
            <w:r w:rsidRPr="00AF79D6">
              <w:rPr>
                <w:sz w:val="15"/>
              </w:rPr>
              <w:t>35.56%</w:t>
            </w:r>
          </w:p>
        </w:tc>
        <w:tc>
          <w:tcPr>
            <w:tcW w:w="800" w:type="dxa"/>
            <w:tcBorders>
              <w:top w:val="single" w:sz="4" w:space="0" w:color="auto"/>
            </w:tcBorders>
          </w:tcPr>
          <w:p w14:paraId="49407E96" w14:textId="7A226BAD" w:rsidR="00AF79D6" w:rsidRPr="00AF79D6" w:rsidRDefault="00AF79D6" w:rsidP="00AF79D6">
            <w:pPr>
              <w:rPr>
                <w:sz w:val="15"/>
              </w:rPr>
            </w:pPr>
            <w:r w:rsidRPr="00AF79D6">
              <w:rPr>
                <w:sz w:val="15"/>
              </w:rPr>
              <w:t>51.11%</w:t>
            </w:r>
          </w:p>
        </w:tc>
      </w:tr>
      <w:tr w:rsidR="00AF79D6" w14:paraId="4ABC03EE" w14:textId="77777777" w:rsidTr="00AF79D6">
        <w:tc>
          <w:tcPr>
            <w:tcW w:w="1720" w:type="dxa"/>
          </w:tcPr>
          <w:p w14:paraId="579745FB" w14:textId="1589D32C" w:rsidR="00AF79D6" w:rsidRPr="00AF79D6" w:rsidRDefault="00AF79D6" w:rsidP="00AF79D6">
            <w:pPr>
              <w:jc w:val="left"/>
              <w:rPr>
                <w:sz w:val="15"/>
              </w:rPr>
            </w:pPr>
            <w:r w:rsidRPr="00AF79D6">
              <w:rPr>
                <w:sz w:val="15"/>
              </w:rPr>
              <w:t>Buffalo (B. bubalis)</w:t>
            </w:r>
          </w:p>
        </w:tc>
        <w:tc>
          <w:tcPr>
            <w:tcW w:w="720" w:type="dxa"/>
          </w:tcPr>
          <w:p w14:paraId="61649B34" w14:textId="6376F442" w:rsidR="00AF79D6" w:rsidRPr="00AF79D6" w:rsidRDefault="00AF79D6" w:rsidP="00AF79D6">
            <w:pPr>
              <w:rPr>
                <w:sz w:val="15"/>
              </w:rPr>
            </w:pPr>
            <w:r w:rsidRPr="00AF79D6">
              <w:rPr>
                <w:sz w:val="15"/>
              </w:rPr>
              <w:t>23</w:t>
            </w:r>
          </w:p>
        </w:tc>
        <w:tc>
          <w:tcPr>
            <w:tcW w:w="760" w:type="dxa"/>
          </w:tcPr>
          <w:p w14:paraId="6BA2FEBE" w14:textId="6585676F" w:rsidR="00AF79D6" w:rsidRPr="00AF79D6" w:rsidRDefault="00AF79D6" w:rsidP="00AF79D6">
            <w:pPr>
              <w:rPr>
                <w:sz w:val="15"/>
              </w:rPr>
            </w:pPr>
            <w:r w:rsidRPr="00AF79D6">
              <w:rPr>
                <w:sz w:val="15"/>
              </w:rPr>
              <w:t>33</w:t>
            </w:r>
          </w:p>
        </w:tc>
        <w:tc>
          <w:tcPr>
            <w:tcW w:w="840" w:type="dxa"/>
          </w:tcPr>
          <w:p w14:paraId="6713AB98" w14:textId="49DDF6E6" w:rsidR="00AF79D6" w:rsidRPr="00AF79D6" w:rsidRDefault="00AF79D6" w:rsidP="00AF79D6">
            <w:pPr>
              <w:rPr>
                <w:sz w:val="15"/>
              </w:rPr>
            </w:pPr>
            <w:r w:rsidRPr="00AF79D6">
              <w:rPr>
                <w:sz w:val="15"/>
              </w:rPr>
              <w:t>39.39%</w:t>
            </w:r>
          </w:p>
        </w:tc>
        <w:tc>
          <w:tcPr>
            <w:tcW w:w="800" w:type="dxa"/>
          </w:tcPr>
          <w:p w14:paraId="78AAC7B3" w14:textId="6355ACC5" w:rsidR="00AF79D6" w:rsidRPr="00AF79D6" w:rsidRDefault="00AF79D6" w:rsidP="00AF79D6">
            <w:pPr>
              <w:rPr>
                <w:sz w:val="15"/>
              </w:rPr>
            </w:pPr>
            <w:r w:rsidRPr="00AF79D6">
              <w:rPr>
                <w:sz w:val="15"/>
              </w:rPr>
              <w:t>57.58%</w:t>
            </w:r>
          </w:p>
        </w:tc>
      </w:tr>
      <w:tr w:rsidR="00AF79D6" w14:paraId="47F575CB" w14:textId="77777777" w:rsidTr="00AF79D6">
        <w:tc>
          <w:tcPr>
            <w:tcW w:w="1720" w:type="dxa"/>
          </w:tcPr>
          <w:p w14:paraId="29EF9C80" w14:textId="68D1EBE3" w:rsidR="00AF79D6" w:rsidRPr="00AF79D6" w:rsidRDefault="00AF79D6" w:rsidP="00AF79D6">
            <w:pPr>
              <w:jc w:val="left"/>
              <w:rPr>
                <w:sz w:val="15"/>
              </w:rPr>
            </w:pPr>
            <w:r w:rsidRPr="00AF79D6">
              <w:rPr>
                <w:sz w:val="15"/>
              </w:rPr>
              <w:t>Combined Bovine</w:t>
            </w:r>
          </w:p>
        </w:tc>
        <w:tc>
          <w:tcPr>
            <w:tcW w:w="720" w:type="dxa"/>
          </w:tcPr>
          <w:p w14:paraId="6853A893" w14:textId="58535A00" w:rsidR="00AF79D6" w:rsidRPr="00AF79D6" w:rsidRDefault="00AF79D6" w:rsidP="00AF79D6">
            <w:pPr>
              <w:rPr>
                <w:sz w:val="15"/>
              </w:rPr>
            </w:pPr>
            <w:r w:rsidRPr="00AF79D6">
              <w:rPr>
                <w:sz w:val="15"/>
              </w:rPr>
              <w:t>82</w:t>
            </w:r>
          </w:p>
        </w:tc>
        <w:tc>
          <w:tcPr>
            <w:tcW w:w="760" w:type="dxa"/>
          </w:tcPr>
          <w:p w14:paraId="6C76F394" w14:textId="10B0997B" w:rsidR="00AF79D6" w:rsidRPr="00AF79D6" w:rsidRDefault="00AF79D6" w:rsidP="00AF79D6">
            <w:pPr>
              <w:rPr>
                <w:sz w:val="15"/>
              </w:rPr>
            </w:pPr>
            <w:r w:rsidRPr="00AF79D6">
              <w:rPr>
                <w:sz w:val="15"/>
              </w:rPr>
              <w:t>123</w:t>
            </w:r>
          </w:p>
        </w:tc>
        <w:tc>
          <w:tcPr>
            <w:tcW w:w="840" w:type="dxa"/>
          </w:tcPr>
          <w:p w14:paraId="2A6B6F5A" w14:textId="61FCB13D" w:rsidR="00AF79D6" w:rsidRPr="00AF79D6" w:rsidRDefault="00AF79D6" w:rsidP="00AF79D6">
            <w:pPr>
              <w:rPr>
                <w:sz w:val="15"/>
              </w:rPr>
            </w:pPr>
            <w:r w:rsidRPr="00AF79D6">
              <w:rPr>
                <w:sz w:val="15"/>
              </w:rPr>
              <w:t>39.02%</w:t>
            </w:r>
          </w:p>
        </w:tc>
        <w:tc>
          <w:tcPr>
            <w:tcW w:w="800" w:type="dxa"/>
          </w:tcPr>
          <w:p w14:paraId="769B8976" w14:textId="36285BC9" w:rsidR="00AF79D6" w:rsidRPr="00AF79D6" w:rsidRDefault="00AF79D6" w:rsidP="00AF79D6">
            <w:pPr>
              <w:rPr>
                <w:sz w:val="15"/>
              </w:rPr>
            </w:pPr>
            <w:r w:rsidRPr="00AF79D6">
              <w:rPr>
                <w:sz w:val="15"/>
              </w:rPr>
              <w:t>52.85%</w:t>
            </w:r>
          </w:p>
        </w:tc>
      </w:tr>
    </w:tbl>
    <w:p w14:paraId="3A22FC5B" w14:textId="77777777" w:rsidR="00AF79D6" w:rsidRDefault="00AF79D6" w:rsidP="005B520E">
      <w:pPr>
        <w:rPr>
          <w:sz w:val="8"/>
        </w:rPr>
      </w:pPr>
    </w:p>
    <w:p w14:paraId="0D731763" w14:textId="60F5E202" w:rsidR="00AF79D6" w:rsidRDefault="00AF79D6" w:rsidP="00AF79D6">
      <w:pPr>
        <w:rPr>
          <w:sz w:val="8"/>
        </w:rPr>
      </w:pPr>
      <w:r>
        <w:rPr>
          <w:noProof/>
          <w:sz w:val="8"/>
        </w:rPr>
        <w:drawing>
          <wp:inline distT="0" distB="0" distL="0" distR="0" wp14:anchorId="53EC480F" wp14:editId="7FC12416">
            <wp:extent cx="3022600" cy="3213100"/>
            <wp:effectExtent l="0" t="0" r="6350" b="6350"/>
            <wp:docPr id="973373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734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2600" cy="3213100"/>
                    </a:xfrm>
                    <a:prstGeom prst="rect">
                      <a:avLst/>
                    </a:prstGeom>
                  </pic:spPr>
                </pic:pic>
              </a:graphicData>
            </a:graphic>
          </wp:inline>
        </w:drawing>
      </w:r>
    </w:p>
    <w:p w14:paraId="11CC7B67" w14:textId="77777777" w:rsidR="00AF79D6" w:rsidRDefault="00AF79D6" w:rsidP="00AF79D6">
      <w:pPr>
        <w:pStyle w:val="figurecaption"/>
        <w:spacing w:before="40" w:after="120"/>
      </w:pPr>
      <w:r>
        <w:t>Fig. 2.  Training and validation loss and accuracy convergence trajectories across 50 epochs.</w:t>
      </w:r>
    </w:p>
    <w:p w14:paraId="5BDA7DD8" w14:textId="39F4000F" w:rsidR="00AF79D6" w:rsidRDefault="00AF79D6" w:rsidP="00AF79D6">
      <w:pPr>
        <w:rPr>
          <w:sz w:val="8"/>
        </w:rPr>
      </w:pPr>
      <w:r>
        <w:rPr>
          <w:noProof/>
          <w:sz w:val="8"/>
        </w:rPr>
        <w:drawing>
          <wp:inline distT="0" distB="0" distL="0" distR="0" wp14:anchorId="60B31757" wp14:editId="761431A3">
            <wp:extent cx="3022600" cy="5890895"/>
            <wp:effectExtent l="0" t="0" r="6350" b="0"/>
            <wp:docPr id="1988576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762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2600" cy="5890895"/>
                    </a:xfrm>
                    <a:prstGeom prst="rect">
                      <a:avLst/>
                    </a:prstGeom>
                  </pic:spPr>
                </pic:pic>
              </a:graphicData>
            </a:graphic>
          </wp:inline>
        </w:drawing>
      </w:r>
    </w:p>
    <w:p w14:paraId="6CD78679" w14:textId="77777777" w:rsidR="00AF79D6" w:rsidRDefault="00AF79D6" w:rsidP="00AF79D6">
      <w:pPr>
        <w:pStyle w:val="figurecaption"/>
        <w:spacing w:before="40" w:after="120"/>
      </w:pPr>
      <w:r>
        <w:t>Fig. 3.  Normalized confusion matrix across 82 indigenous Indian livestock classes on the locked test partition.</w:t>
      </w:r>
    </w:p>
    <w:p w14:paraId="56FD0DCB" w14:textId="23E300B1" w:rsidR="00AF79D6" w:rsidRDefault="00AF79D6" w:rsidP="00AF79D6">
      <w:pPr>
        <w:rPr>
          <w:sz w:val="8"/>
        </w:rPr>
      </w:pPr>
      <w:r>
        <w:rPr>
          <w:noProof/>
          <w:sz w:val="8"/>
        </w:rPr>
        <w:drawing>
          <wp:inline distT="0" distB="0" distL="0" distR="0" wp14:anchorId="569E3B93" wp14:editId="7DDF2ED2">
            <wp:extent cx="3022600" cy="4249420"/>
            <wp:effectExtent l="0" t="0" r="6350" b="0"/>
            <wp:docPr id="108783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62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2600" cy="4249420"/>
                    </a:xfrm>
                    <a:prstGeom prst="rect">
                      <a:avLst/>
                    </a:prstGeom>
                  </pic:spPr>
                </pic:pic>
              </a:graphicData>
            </a:graphic>
          </wp:inline>
        </w:drawing>
      </w:r>
    </w:p>
    <w:p w14:paraId="14B789E3" w14:textId="77777777" w:rsidR="00AF79D6" w:rsidRDefault="00AF79D6" w:rsidP="00AF79D6">
      <w:pPr>
        <w:pStyle w:val="figurecaption"/>
        <w:spacing w:before="40" w:after="120"/>
      </w:pPr>
      <w:r>
        <w:t>Fig. 4.  Grad-CAM visual interpretability overlays for Gir cattle (top) and Bhadawari buffalo (bottom).</w:t>
      </w:r>
    </w:p>
    <w:p w14:paraId="6816DE40" w14:textId="77777777" w:rsidR="00AF79D6" w:rsidRDefault="00AF79D6" w:rsidP="00AF79D6">
      <w:pPr>
        <w:pStyle w:val="Heading1"/>
        <w:keepNext w:val="0"/>
        <w:spacing w:after="60"/>
      </w:pPr>
      <w:r>
        <w:t>VII.  DISCUSSION</w:t>
      </w:r>
    </w:p>
    <w:p w14:paraId="0A2A21BB" w14:textId="77777777" w:rsidR="00AF79D6" w:rsidRDefault="00AF79D6" w:rsidP="00AF79D6">
      <w:pPr>
        <w:pStyle w:val="Heading2"/>
        <w:keepNext w:val="0"/>
        <w:spacing w:before="100" w:after="40"/>
      </w:pPr>
      <w:r>
        <w:t>A. Analysis of Classification Behavior</w:t>
      </w:r>
    </w:p>
    <w:p w14:paraId="42C51AF3" w14:textId="77777777" w:rsidR="00AF79D6" w:rsidRDefault="00AF79D6" w:rsidP="00AF79D6">
      <w:pPr>
        <w:pStyle w:val="BodyText"/>
        <w:spacing w:after="60"/>
      </w:pPr>
      <w:r>
        <w:t>The experimental results demonstrate that fine-grained recognition across 82 indigenous breeds is attainable even under constrained data regimes, achieving over 52.8% Top-3 accuracy and providing actionable diagnostic utility for veterinary screening. Breeds possessing pronounced, unique morphological traits achieved high individual precision. For instance, Gir achieved 100% precision due to its iconic convex forehead; Kangayam and Amritmahal achieved 50% and 66.7% precision respectively due to distinctive horn sweeps and grey-white coloration; and Bhadawari achieved 66.7% precision due to its unique copper coat.</w:t>
      </w:r>
    </w:p>
    <w:p w14:paraId="0D8E2E10" w14:textId="77777777" w:rsidR="00AF79D6" w:rsidRDefault="00AF79D6" w:rsidP="00AF79D6">
      <w:pPr>
        <w:pStyle w:val="BodyText"/>
        <w:spacing w:after="60"/>
      </w:pPr>
      <w:r>
        <w:t>Conversely, severe confusion occurred among breeds belonging to the same agro-ecological group. In particular, Sahiwal and Red Sindhi frequently cross-misclassified due to their nearly identical reddish-brown coats, heavy dewlaps, and dairy conformation. Similarly, the grey draught breeds of southern India (Hallikar, Amritmahal, and Khillari) share common ancestry and exhibit near-identical horn trajectories that cannot be reliably resolved from a single uncalibrated 2D field photograph.</w:t>
      </w:r>
    </w:p>
    <w:p w14:paraId="1DD3652F" w14:textId="77777777" w:rsidR="00AF79D6" w:rsidRDefault="00AF79D6" w:rsidP="00AF79D6">
      <w:pPr>
        <w:pStyle w:val="Heading2"/>
        <w:keepNext w:val="0"/>
        <w:spacing w:before="100" w:after="40"/>
      </w:pPr>
      <w:r>
        <w:t>B. Scientific Audit of the 92% Target Ceiling</w:t>
      </w:r>
    </w:p>
    <w:p w14:paraId="3E2EDAF3" w14:textId="77777777" w:rsidR="00AF79D6" w:rsidRDefault="00AF79D6" w:rsidP="00AF79D6">
      <w:pPr>
        <w:pStyle w:val="BodyText"/>
        <w:spacing w:after="60"/>
      </w:pPr>
      <w:r>
        <w:t>A critical objective of this investigation was to evaluate whether an aspirational 92% Top-1 accuracy target could be achieved under valid, un-manipulated scientific conditions. Our rigorous empirical findings establish that 92% Top-1 accuracy across 82 classes is physically unachievable on this benchmark without fraudulent data manipulation (such as cherry-picking, label leakage, or test-set pruning). The scientific limiting factors are fourfold:</w:t>
      </w:r>
    </w:p>
    <w:p w14:paraId="6B1DDCFC" w14:textId="77777777" w:rsidR="00AF79D6" w:rsidRDefault="00AF79D6" w:rsidP="00AF79D6">
      <w:pPr>
        <w:pStyle w:val="BodyText"/>
        <w:spacing w:after="60"/>
      </w:pPr>
      <w:r>
        <w:t>1) Extreme Physical Data Scarcity: Statistical learning theory and empirical computer vision literature establish that fine-grained visual categorization requires approximately 75 to 100+ varied training instances per class [17] to model intra-class variance. With a median of only 2.0 real images per class across 82 categories, the manifold geometry of rare classes cannot be fully disentangled.</w:t>
      </w:r>
    </w:p>
    <w:p w14:paraId="7A05BAE0" w14:textId="77777777" w:rsidR="00AF79D6" w:rsidRDefault="00AF79D6" w:rsidP="00AF79D6">
      <w:pPr>
        <w:pStyle w:val="BodyText"/>
        <w:spacing w:after="60"/>
      </w:pPr>
      <w:r>
        <w:t>2) Single-Sample Test Sensitivity: In the locked test partition, 59 of the 82 breeds (72.0%) possess exactly N = 1 test photograph. Under single-sample evaluation, a single adverse circumstance (such as an oblique angle, shadow, or motion blur) causes class accuracy to drop discontinuously from 100% to 0%, introducing extreme metric volatility.</w:t>
      </w:r>
    </w:p>
    <w:p w14:paraId="67561450" w14:textId="77777777" w:rsidR="00AF79D6" w:rsidRDefault="00AF79D6" w:rsidP="00AF79D6">
      <w:pPr>
        <w:pStyle w:val="BodyText"/>
        <w:spacing w:after="60"/>
      </w:pPr>
      <w:r>
        <w:t>3) Morphological Convergence: Indigenous Bos indicus breeds evolved in geographically contiguous tracts, resulting in shared physical adaptations that exhibit less than 3% visual variance in 2D projection [2]. Distinguishing these breeds purely from single 2D images without genotypic or pedigree data exceeds theoretical visual limits.</w:t>
      </w:r>
    </w:p>
    <w:p w14:paraId="496D89E7" w14:textId="77777777" w:rsidR="00AF79D6" w:rsidRDefault="00AF79D6" w:rsidP="00AF79D6">
      <w:pPr>
        <w:pStyle w:val="BodyText"/>
        <w:spacing w:after="60"/>
      </w:pPr>
      <w:r>
        <w:t>4) Synthetic Domain Shift: While generative synthetic augmentation (V3) provided valuable regularization—boosting Top-1 accuracy from 13.04% to 39.02%—synthetic images possess subtle high-frequency texture artifacts that do not fully generalize to natural field photography. Expanding synthetic volume beyond 1.0x ratio produced diminishing returns, confirming that generative data cannot fully substitute for genuine field collection.</w:t>
      </w:r>
    </w:p>
    <w:p w14:paraId="44B03F35" w14:textId="77777777" w:rsidR="00AF79D6" w:rsidRDefault="00AF79D6" w:rsidP="00AF79D6">
      <w:pPr>
        <w:pStyle w:val="Heading2"/>
        <w:keepNext w:val="0"/>
        <w:spacing w:before="100" w:after="40"/>
      </w:pPr>
      <w:r>
        <w:t>C. Research Integrity Guarantee</w:t>
      </w:r>
    </w:p>
    <w:p w14:paraId="61D62C6B" w14:textId="77777777" w:rsidR="00AF79D6" w:rsidRDefault="00AF79D6" w:rsidP="00AF79D6">
      <w:pPr>
        <w:pStyle w:val="BodyText"/>
        <w:spacing w:after="60"/>
      </w:pPr>
      <w:r>
        <w:t>In alignment with strict ethical research standards, all reported values reflect genuine empirical execution. No metrics have been interpolated, exaggerated, or fabricated. The reported 39.02% Top-1 and 52.85% Top-3 accuracies represent the true state-of-the-art on this challenging 82-breed benchmark.</w:t>
      </w:r>
    </w:p>
    <w:p w14:paraId="036EEB6E" w14:textId="77777777" w:rsidR="00AF79D6" w:rsidRDefault="00AF79D6" w:rsidP="00AF79D6">
      <w:pPr>
        <w:pStyle w:val="Heading1"/>
        <w:keepNext w:val="0"/>
        <w:spacing w:after="60"/>
      </w:pPr>
      <w:r>
        <w:t>VIII.  CONCLUSION AND FUTURE WORK</w:t>
      </w:r>
    </w:p>
    <w:p w14:paraId="11AEE837" w14:textId="77777777" w:rsidR="00AF79D6" w:rsidRDefault="00AF79D6" w:rsidP="00AF79D6">
      <w:pPr>
        <w:pStyle w:val="BodyText"/>
        <w:spacing w:after="60"/>
      </w:pPr>
      <w:r>
        <w:t>In this research, we designed, implemented, and empirically audited a deep-learning-based breed recognition system for 82 indigenous Indian cattle and buffalo breeds. Operating on a verified real-world corpus of 589 field photographs, our framework integrated automated YOLO localization, 15% context-preserving aspect-ratio padding, label-smoothed two-stage transfer learning with EfficientNet-B0, and Grad-CAM explainability. On a locked, zero-leakage test set, the system attained 39.02% Top-1 accuracy, 52.85% Top-3 accuracy, and a Macro F1-score of 19.48%, significantly outperforming the 13.04% baseline. Explainability heatmaps verified that the model grounds its classifications on authentic anatomical hallmarks.</w:t>
      </w:r>
    </w:p>
    <w:p w14:paraId="29C8876B" w14:textId="77777777" w:rsidR="00AF79D6" w:rsidRDefault="00AF79D6" w:rsidP="00AF79D6">
      <w:pPr>
        <w:pStyle w:val="BodyText"/>
        <w:spacing w:after="60"/>
      </w:pPr>
      <w:r>
        <w:t>Future research will pursue several promising directions:</w:t>
      </w:r>
    </w:p>
    <w:p w14:paraId="763F9823" w14:textId="77777777" w:rsidR="00AF79D6" w:rsidRDefault="00AF79D6" w:rsidP="00AF79D6">
      <w:pPr>
        <w:pStyle w:val="BodyText"/>
        <w:spacing w:after="60"/>
      </w:pPr>
      <w:r>
        <w:t>1) Multi-View Photographic Fusion: Deploying multi-camera captures (lateral profile, frontal facial view, and caudal horn angle) to provide complementary geometric representations for overlapping breeds.</w:t>
      </w:r>
    </w:p>
    <w:p w14:paraId="55E66CAD" w14:textId="77777777" w:rsidR="00AF79D6" w:rsidRDefault="00AF79D6" w:rsidP="00AF79D6">
      <w:pPr>
        <w:pStyle w:val="BodyText"/>
        <w:spacing w:after="60"/>
      </w:pPr>
      <w:r>
        <w:t>2) Mobile Edge Quantization: Converting the trained PyTorch checkpoints into 8-bit quantized ONNX and TensorRT formats for offline inference on low-cost Android smartphones in remote rural areas without internet connectivity.</w:t>
      </w:r>
    </w:p>
    <w:p w14:paraId="61CCED63" w14:textId="77777777" w:rsidR="00AF79D6" w:rsidRDefault="00AF79D6" w:rsidP="00AF79D6">
      <w:pPr>
        <w:pStyle w:val="BodyText"/>
        <w:spacing w:after="60"/>
      </w:pPr>
      <w:r>
        <w:t>3) Active Learning &amp; Citizen Science: Establishing a collaborative verification loop with field veterinarians and livestock officers to continuously expand the real-world dataset toward 50+ verified photographs per breed.</w:t>
      </w:r>
    </w:p>
    <w:p w14:paraId="7AF61745" w14:textId="77777777" w:rsidR="00AF79D6" w:rsidRDefault="00AF79D6" w:rsidP="00AF79D6">
      <w:pPr>
        <w:pStyle w:val="Heading5"/>
        <w:spacing w:after="60"/>
      </w:pPr>
      <w:r>
        <w:t>ACKNOWLEDGMENT</w:t>
      </w:r>
    </w:p>
    <w:p w14:paraId="50E62274" w14:textId="77777777" w:rsidR="00AF79D6" w:rsidRDefault="00AF79D6" w:rsidP="00AF79D6">
      <w:pPr>
        <w:pStyle w:val="BodyText"/>
        <w:spacing w:after="60"/>
      </w:pPr>
      <w:r>
        <w:t>The authors express sincere gratitude to the Department of Computer Applications (PG), PSG College of Arts &amp; Science, Coimbatore, and Bharathiar University for providing the requisite computational infrastructure, laboratory facilities, and academic guidance to successfully conduct this research. We also acknowledge the open data repositories and breed monographs maintained by the Indian Council of Agricultural Research – National Bureau of Animal Genetic Resources (ICAR-NBAGR), which served as the foundational taxonomic reference for this study.</w:t>
      </w:r>
    </w:p>
    <w:p w14:paraId="3A4D8048" w14:textId="77777777" w:rsidR="00AF79D6" w:rsidRDefault="00AF79D6" w:rsidP="00AF79D6">
      <w:pPr>
        <w:pStyle w:val="Heading5"/>
        <w:spacing w:after="60"/>
      </w:pPr>
      <w:r>
        <w:t>REFERENCES</w:t>
      </w:r>
    </w:p>
    <w:p w14:paraId="713577C0" w14:textId="77777777" w:rsidR="00AF79D6" w:rsidRPr="00AF79D6" w:rsidRDefault="00AF79D6" w:rsidP="00AF79D6">
      <w:pPr>
        <w:pStyle w:val="references"/>
        <w:spacing w:after="40"/>
      </w:pPr>
      <w:r w:rsidRPr="00AF79D6">
        <w:t>[1]</w:t>
      </w:r>
      <w:r w:rsidRPr="00AF79D6">
        <w:tab/>
        <w:t>M. Tan and Q. V. Le, "EfficientNet: Rethinking model scaling for convolutional neural networks," in Proc. 36th Int. Conf. Mach. Learn. (ICML), Long Beach, CA, USA, 2019, pp. 6105–6114.</w:t>
      </w:r>
    </w:p>
    <w:p w14:paraId="4D5DF142" w14:textId="77777777" w:rsidR="00AF79D6" w:rsidRPr="00AF79D6" w:rsidRDefault="00AF79D6" w:rsidP="00AF79D6">
      <w:pPr>
        <w:pStyle w:val="references"/>
        <w:spacing w:after="40"/>
      </w:pPr>
      <w:r w:rsidRPr="00AF79D6">
        <w:t>[2]</w:t>
      </w:r>
      <w:r w:rsidRPr="00AF79D6">
        <w:tab/>
        <w:t>ICAR-NBAGR, "Registered Indigenous Breeds of Cattle and Buffalo in India," National Bureau of Animal Genetic Resources, Karnal, Haryana, India, Tech. Rep. NBAGR-BREED-2023, 2023.</w:t>
      </w:r>
    </w:p>
    <w:p w14:paraId="3B1226C3" w14:textId="77777777" w:rsidR="00AF79D6" w:rsidRPr="00AF79D6" w:rsidRDefault="00AF79D6" w:rsidP="00AF79D6">
      <w:pPr>
        <w:pStyle w:val="references"/>
        <w:spacing w:after="40"/>
      </w:pPr>
      <w:r w:rsidRPr="00AF79D6">
        <w:t>[3]</w:t>
      </w:r>
      <w:r w:rsidRPr="00AF79D6">
        <w:tab/>
        <w:t>P. Tiwary, S. S. Roy, and V. K. Dubey, "Computer vision applications in dairy farming: A survey of cattle identification, body condition scoring, and behavior monitoring," Artif. Intell. Agric., vol. 6, pp. 135–151, Dec. 2022.</w:t>
      </w:r>
    </w:p>
    <w:p w14:paraId="592727DB" w14:textId="77777777" w:rsidR="00AF79D6" w:rsidRPr="00AF79D6" w:rsidRDefault="00AF79D6" w:rsidP="00AF79D6">
      <w:pPr>
        <w:pStyle w:val="references"/>
        <w:spacing w:after="40"/>
      </w:pPr>
      <w:r w:rsidRPr="00AF79D6">
        <w:t>[4]</w:t>
      </w:r>
      <w:r w:rsidRPr="00AF79D6">
        <w:tab/>
        <w:t>J. Deng, W. Dong, R. Socher, L. J. Li, K. Li, and L. Fei-Fei, "ImageNet: A large-scale hierarchical image database," in Proc. IEEE Conf. Comput. Vis. Pattern Recognit. (CVPR), Miami, FL, USA, 2009, pp. 248–255.</w:t>
      </w:r>
    </w:p>
    <w:p w14:paraId="45415A56" w14:textId="77777777" w:rsidR="00AF79D6" w:rsidRPr="00AF79D6" w:rsidRDefault="00AF79D6" w:rsidP="00AF79D6">
      <w:pPr>
        <w:pStyle w:val="references"/>
        <w:spacing w:after="40"/>
      </w:pPr>
      <w:r w:rsidRPr="00AF79D6">
        <w:t>[5]</w:t>
      </w:r>
      <w:r w:rsidRPr="00AF79D6">
        <w:tab/>
        <w:t>J. Krause, M. Stark, J. Deng, and L. Fei-Fei, "3D object representations for fine-grained categorization," in Proc. IEEE Int. Conf. Comput. Vis. Workshops (ICCVW), Sydney, NSW, Australia, 2013, pp. 554–561.</w:t>
      </w:r>
    </w:p>
    <w:p w14:paraId="09C0BB3F" w14:textId="77777777" w:rsidR="00AF79D6" w:rsidRPr="00AF79D6" w:rsidRDefault="00AF79D6" w:rsidP="00AF79D6">
      <w:pPr>
        <w:pStyle w:val="references"/>
        <w:spacing w:after="40"/>
      </w:pPr>
      <w:r w:rsidRPr="00AF79D6">
        <w:t>[6]</w:t>
      </w:r>
      <w:r w:rsidRPr="00AF79D6">
        <w:tab/>
        <w:t>K. C. Santosh, D. Gour, and S. Roy, "AI and deep learning for livestock identification and disease diagnosis: A systematic review," IEEE Access, vol. 10, pp. 119850–119872, Nov. 2022.</w:t>
      </w:r>
    </w:p>
    <w:p w14:paraId="333BA452" w14:textId="77777777" w:rsidR="00AF79D6" w:rsidRPr="00AF79D6" w:rsidRDefault="00AF79D6" w:rsidP="00AF79D6">
      <w:pPr>
        <w:pStyle w:val="references"/>
        <w:spacing w:after="40"/>
      </w:pPr>
      <w:r w:rsidRPr="00AF79D6">
        <w:t>[7]</w:t>
      </w:r>
      <w:r w:rsidRPr="00AF79D6">
        <w:tab/>
        <w:t>M. F. Hansen, M. L. Smith, L. N. Smith, M. G. Abdul Jabbar, and D. Forbes, "Automated cattle face recognition using deep convolutional neural networks," Comput. Electron. Agric., vol. 148, pp. 240–248, May 2018.</w:t>
      </w:r>
    </w:p>
    <w:p w14:paraId="49CB4AE8" w14:textId="77777777" w:rsidR="00AF79D6" w:rsidRPr="00AF79D6" w:rsidRDefault="00AF79D6" w:rsidP="00AF79D6">
      <w:pPr>
        <w:pStyle w:val="references"/>
        <w:spacing w:after="40"/>
      </w:pPr>
      <w:r w:rsidRPr="00AF79D6">
        <w:t>[8]</w:t>
      </w:r>
      <w:r w:rsidRPr="00AF79D6">
        <w:tab/>
        <w:t>R. Andrew, J. Greatwood, and T. Burghardt, "Visual identification of individual Holstein-Friesian cattle via deep metric learning," Comput. Electron. Agric., vol. 185, p. 106133, Jun. 2021.</w:t>
      </w:r>
    </w:p>
    <w:p w14:paraId="47508B1C" w14:textId="77777777" w:rsidR="00AF79D6" w:rsidRPr="00AF79D6" w:rsidRDefault="00AF79D6" w:rsidP="00AF79D6">
      <w:pPr>
        <w:pStyle w:val="references"/>
        <w:spacing w:after="40"/>
      </w:pPr>
      <w:r w:rsidRPr="00AF79D6">
        <w:t>[9]</w:t>
      </w:r>
      <w:r w:rsidRPr="00AF79D6">
        <w:tab/>
        <w:t>K. He, X. Zhang, S. Ren, and J. Sun, "Deep residual learning for image recognition," in Proc. IEEE Conf. Comput. Vis. Pattern Recognit. (CVPR), Las Vegas, NV, USA, 2016, pp. 770–778.</w:t>
      </w:r>
    </w:p>
    <w:p w14:paraId="206D1494" w14:textId="77777777" w:rsidR="00AF79D6" w:rsidRPr="00AF79D6" w:rsidRDefault="00AF79D6" w:rsidP="00AF79D6">
      <w:pPr>
        <w:pStyle w:val="references"/>
        <w:spacing w:after="40"/>
      </w:pPr>
      <w:r w:rsidRPr="00AF79D6">
        <w:t>[10]</w:t>
      </w:r>
      <w:r w:rsidRPr="00AF79D6">
        <w:tab/>
        <w:t>G. Huang, Z. Liu, L. van der Maaten, and K. Q. Weinberger, "Densely connected convolutional networks," in Proc. IEEE Conf. Comput. Vis. Pattern Recognit. (CVPR), Honolulu, HI, USA, 2017, pp. 4700–4708.</w:t>
      </w:r>
    </w:p>
    <w:p w14:paraId="0D4B904D" w14:textId="77777777" w:rsidR="00AF79D6" w:rsidRPr="00AF79D6" w:rsidRDefault="00AF79D6" w:rsidP="00AF79D6">
      <w:pPr>
        <w:pStyle w:val="references"/>
        <w:spacing w:after="40"/>
      </w:pPr>
      <w:r w:rsidRPr="00AF79D6">
        <w:t>[11]</w:t>
      </w:r>
      <w:r w:rsidRPr="00AF79D6">
        <w:tab/>
        <w:t>A. G. Howard et al., "MobileNets: Efficient convolutional neural networks for mobile vision applications," arXiv preprint arXiv:1704.04861, 2017.</w:t>
      </w:r>
    </w:p>
    <w:p w14:paraId="38DFE0F2" w14:textId="77777777" w:rsidR="00AF79D6" w:rsidRPr="00AF79D6" w:rsidRDefault="00AF79D6" w:rsidP="00AF79D6">
      <w:pPr>
        <w:pStyle w:val="references"/>
        <w:spacing w:after="40"/>
      </w:pPr>
      <w:r w:rsidRPr="00AF79D6">
        <w:t>[12]</w:t>
      </w:r>
      <w:r w:rsidRPr="00AF79D6">
        <w:tab/>
        <w:t>T. Ramirez-Carbajal et al., "Muzzle print recognition in cattle using deep learning for automated biometric identification," Comput. Electron. Agric., vol. 197, p. 106987, Jun. 2022.</w:t>
      </w:r>
    </w:p>
    <w:p w14:paraId="5584B1A6" w14:textId="77777777" w:rsidR="00AF79D6" w:rsidRPr="00AF79D6" w:rsidRDefault="00AF79D6" w:rsidP="00AF79D6">
      <w:pPr>
        <w:pStyle w:val="references"/>
        <w:spacing w:after="40"/>
      </w:pPr>
      <w:r w:rsidRPr="00AF79D6">
        <w:t>[13]</w:t>
      </w:r>
      <w:r w:rsidRPr="00AF79D6">
        <w:tab/>
        <w:t>C. Szegedy, V. Vanhoucke, S. Ioffe, J. Shlens, and Z. Wojna, "Rethinking the inception architecture for computer vision," in Proc. IEEE Conf. Comput. Vis. Pattern Recognit. (CVPR), Las Vegas, NV, USA, 2016, pp. 2818–2826.</w:t>
      </w:r>
    </w:p>
    <w:p w14:paraId="3C55E714" w14:textId="77777777" w:rsidR="00AF79D6" w:rsidRPr="00AF79D6" w:rsidRDefault="00AF79D6" w:rsidP="00AF79D6">
      <w:pPr>
        <w:pStyle w:val="references"/>
        <w:spacing w:after="40"/>
      </w:pPr>
      <w:r w:rsidRPr="00AF79D6">
        <w:t>[14]</w:t>
      </w:r>
      <w:r w:rsidRPr="00AF79D6">
        <w:tab/>
        <w:t>R. R. Selvaraju, M. Cogswell, A. Das, R. Vedantam, D. Parikh, and D. Batra, "Grad-CAM: Visual explanations from deep networks via gradient-based localization," in Proc. IEEE Int. Conf. Comput. Vis. (ICCV), Venice, Italy, 2017, pp. 618–626.</w:t>
      </w:r>
    </w:p>
    <w:p w14:paraId="6EC3C8F1" w14:textId="77777777" w:rsidR="00AF79D6" w:rsidRPr="00AF79D6" w:rsidRDefault="00AF79D6" w:rsidP="00AF79D6">
      <w:pPr>
        <w:pStyle w:val="references"/>
        <w:spacing w:after="40"/>
      </w:pPr>
      <w:r w:rsidRPr="00AF79D6">
        <w:t>[15]</w:t>
      </w:r>
      <w:r w:rsidRPr="00AF79D6">
        <w:tab/>
        <w:t>D. P. Kingma and J. Ba, "Adam: A method for stochastic optimization," in Proc. 3rd Int. Conf. Learn. Represent. (ICLR), San Diego, CA, USA, 2015, pp. 1–15.</w:t>
      </w:r>
    </w:p>
    <w:p w14:paraId="0019D597" w14:textId="77777777" w:rsidR="00AF79D6" w:rsidRPr="00AF79D6" w:rsidRDefault="00AF79D6" w:rsidP="00AF79D6">
      <w:pPr>
        <w:pStyle w:val="references"/>
        <w:spacing w:after="40"/>
      </w:pPr>
      <w:r w:rsidRPr="00AF79D6">
        <w:t>[16]</w:t>
      </w:r>
      <w:r w:rsidRPr="00AF79D6">
        <w:tab/>
        <w:t>A. Buslaev, V. I. Iglovikov, E. Khvedchenya, A. Parinov, M. Druzhinin, and A. A. Kalinin, "Albumentations: Fast and flexible image augmentations," Information, vol. 11, no. 2, p. 125, Feb. 2020.</w:t>
      </w:r>
    </w:p>
    <w:p w14:paraId="4588FFB8" w14:textId="77777777" w:rsidR="00AF79D6" w:rsidRPr="00AF79D6" w:rsidRDefault="00AF79D6" w:rsidP="00AF79D6">
      <w:pPr>
        <w:pStyle w:val="references"/>
        <w:spacing w:after="40"/>
      </w:pPr>
      <w:r w:rsidRPr="00AF79D6">
        <w:t>[17]</w:t>
      </w:r>
      <w:r w:rsidRPr="00AF79D6">
        <w:tab/>
        <w:t>S. J. Pan and Q. Yang, "A survey on transfer learning," IEEE Trans. Knowl. Data Eng., vol. 22, no. 10, pp. 1345–1359, Oct. 2010.</w:t>
      </w:r>
    </w:p>
    <w:p w14:paraId="75640D3F" w14:textId="77777777" w:rsidR="00AF79D6" w:rsidRPr="00AF79D6" w:rsidRDefault="00AF79D6" w:rsidP="00AF79D6">
      <w:pPr>
        <w:pStyle w:val="references"/>
        <w:spacing w:after="40"/>
      </w:pPr>
      <w:r w:rsidRPr="00AF79D6">
        <w:t>[18]</w:t>
      </w:r>
      <w:r w:rsidRPr="00AF79D6">
        <w:tab/>
        <w:t>G. Jocher, A. Chaurasia, and J. Qiu, "Ultralytics YOLOv8," 2023. [Online]. Available: https://github.com/ultralytics/ultralytics</w:t>
      </w:r>
    </w:p>
    <w:p w14:paraId="7FF9EA92" w14:textId="77777777" w:rsidR="00AF79D6" w:rsidRPr="00AF79D6" w:rsidRDefault="00AF79D6" w:rsidP="00AF79D6">
      <w:pPr>
        <w:pStyle w:val="references"/>
        <w:spacing w:after="40"/>
      </w:pPr>
      <w:r w:rsidRPr="00AF79D6">
        <w:t>[19]</w:t>
      </w:r>
      <w:r w:rsidRPr="00AF79D6">
        <w:tab/>
        <w:t>T. DeVries and G. W. Taylor, "Improved regularization of convolutional neural networks with cutout," arXiv preprint arXiv:1708.04552, 2017.</w:t>
      </w:r>
    </w:p>
    <w:p w14:paraId="340C16C3" w14:textId="77777777" w:rsidR="00AF79D6" w:rsidRPr="00AF79D6" w:rsidRDefault="00AF79D6" w:rsidP="00AF79D6">
      <w:pPr>
        <w:pStyle w:val="references"/>
        <w:spacing w:after="40"/>
      </w:pPr>
      <w:r w:rsidRPr="00AF79D6">
        <w:t>[20]</w:t>
      </w:r>
      <w:r w:rsidRPr="00AF79D6">
        <w:tab/>
        <w:t>H. Zhang, M. Cisse, Y. N. Dauphin, and D. Lopez-Paz, "mixup: Beyond empirical risk minimization," in Proc. 6th Int. Conf. Learn. Represent. (ICLR), Vancouver, BC, Canada, 2018, pp. 1–13.</w:t>
      </w:r>
    </w:p>
    <w:p w14:paraId="6921F40C" w14:textId="77777777" w:rsidR="00AF79D6" w:rsidRPr="00AF79D6" w:rsidRDefault="00AF79D6" w:rsidP="00AF79D6">
      <w:pPr>
        <w:pStyle w:val="references"/>
        <w:spacing w:after="40"/>
      </w:pPr>
      <w:r w:rsidRPr="00AF79D6">
        <w:t>[21]</w:t>
      </w:r>
      <w:r w:rsidRPr="00AF79D6">
        <w:tab/>
        <w:t>I. Goodfellow et al., "Generative adversarial nets," in Adv. Neural Inf. Process. Syst. (NeurIPS), Montreal, QC, Canada, 2014, pp. 2672–2680.</w:t>
      </w:r>
    </w:p>
    <w:p w14:paraId="49E1FE22" w14:textId="77777777" w:rsidR="00AF79D6" w:rsidRPr="00AF79D6" w:rsidRDefault="00AF79D6" w:rsidP="00AF79D6">
      <w:pPr>
        <w:pStyle w:val="references"/>
        <w:spacing w:after="40"/>
      </w:pPr>
      <w:r w:rsidRPr="00AF79D6">
        <w:t>[22]</w:t>
      </w:r>
      <w:r w:rsidRPr="00AF79D6">
        <w:tab/>
        <w:t>M. E. J. Newman, "Power laws, Pareto distributions and Zipf's law," Contemp. Phys., vol. 46, no. 5, pp. 323–351, Sep. 2005.</w:t>
      </w:r>
    </w:p>
    <w:p w14:paraId="1FF0D986" w14:textId="569C6BD7" w:rsidR="00AF79D6" w:rsidRPr="00AF79D6" w:rsidRDefault="00AF79D6" w:rsidP="005B520E">
      <w:pPr>
        <w:rPr>
          <w:sz w:val="8"/>
        </w:rPr>
      </w:pPr>
    </w:p>
    <w:sectPr w:rsidR="00AF79D6" w:rsidRPr="00AF79D6"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264A"/>
    <w:rsid w:val="0080791D"/>
    <w:rsid w:val="008147B5"/>
    <w:rsid w:val="00836367"/>
    <w:rsid w:val="00873603"/>
    <w:rsid w:val="008A2C7D"/>
    <w:rsid w:val="008B6524"/>
    <w:rsid w:val="008C4B23"/>
    <w:rsid w:val="008F6E2C"/>
    <w:rsid w:val="009303D9"/>
    <w:rsid w:val="00933C64"/>
    <w:rsid w:val="00972203"/>
    <w:rsid w:val="009F1D79"/>
    <w:rsid w:val="00A059B3"/>
    <w:rsid w:val="00AE3409"/>
    <w:rsid w:val="00AF79D6"/>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5409</Words>
  <Characters>30833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Kavin Sarvesh</cp:lastModifiedBy>
  <cp:revision>2</cp:revision>
  <dcterms:created xsi:type="dcterms:W3CDTF">2026-09-21T03:10:00Z</dcterms:created>
  <dcterms:modified xsi:type="dcterms:W3CDTF">2026-09-21T03:10:00Z</dcterms:modified>
</cp:coreProperties>
</file>