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spacing w:after="360"/>
        <w:jc w:val="center"/>
      </w:pPr>
      <w:r>
        <w:rPr>
          <w:rFonts w:ascii="Noto Sans CJK JP" w:hAnsi="Noto Sans CJK JP" w:eastAsia="Noto Sans CJK JP"/>
          <w:b/>
          <w:color w:val="A67820"/>
          <w:sz w:val="21"/>
        </w:rPr>
        <w:t>SIMULATOR MANUAL</w:t>
      </w:r>
    </w:p>
    <w:p>
      <w:pPr>
        <w:spacing w:after="200"/>
        <w:jc w:val="center"/>
      </w:pPr>
      <w:r>
        <w:rPr>
          <w:rFonts w:ascii="Noto Sans CJK JP" w:hAnsi="Noto Sans CJK JP" w:eastAsia="Noto Sans CJK JP"/>
          <w:b/>
          <w:color w:val="203748"/>
          <w:sz w:val="56"/>
        </w:rPr>
        <w:t>量子テレパシー・シミュレータ</w:t>
      </w:r>
    </w:p>
    <w:p>
      <w:pPr>
        <w:spacing w:after="60"/>
        <w:jc w:val="center"/>
      </w:pPr>
      <w:r>
        <w:rPr>
          <w:rFonts w:ascii="Noto Sans CJK JP" w:hAnsi="Noto Sans CJK JP" w:eastAsia="Noto Sans CJK JP"/>
          <w:color w:val="1F4D78"/>
          <w:sz w:val="28"/>
        </w:rPr>
        <w:t>操作・再現・検証マニュアル</w:t>
      </w:r>
    </w:p>
    <w:p>
      <w:pPr>
        <w:spacing w:after="60"/>
        <w:jc w:val="center"/>
      </w:pPr>
      <w:r>
        <w:rPr>
          <w:rFonts w:ascii="Noto Sans CJK JP" w:hAnsi="Noto Sans CJK JP" w:eastAsia="Noto Sans CJK JP"/>
          <w:color w:val="1F4D78"/>
          <w:sz w:val="28"/>
        </w:rPr>
        <w:t>Ding–Jiang v3 / Li et al. v1</w:t>
      </w:r>
    </w:p>
    <w:p>
      <w:pPr>
        <w:spacing w:before="480" w:after="1440"/>
        <w:jc w:val="center"/>
      </w:pPr>
      <w:r>
        <w:rPr>
          <w:rFonts w:ascii="Noto Sans CJK JP" w:hAnsi="Noto Sans CJK JP" w:eastAsia="Noto Sans CJK JP"/>
          <w:i/>
          <w:color w:val="666F78"/>
          <w:sz w:val="21"/>
        </w:rPr>
        <w:t>研究者・検証担当者・研究ソフトウェア開発者向け</w:t>
      </w:r>
    </w:p>
    <w:p>
      <w:pPr>
        <w:spacing w:after="80"/>
        <w:jc w:val="center"/>
      </w:pPr>
      <w:r>
        <w:rPr>
          <w:rFonts w:ascii="Noto Sans CJK JP" w:hAnsi="Noto Sans CJK JP" w:eastAsia="Noto Sans CJK JP"/>
          <w:b/>
          <w:color w:val="203748"/>
          <w:sz w:val="22"/>
        </w:rPr>
        <w:t>2026年9月3日 | Version 1.0</w:t>
      </w:r>
    </w:p>
    <w:p>
      <w:pPr>
        <w:jc w:val="center"/>
      </w:pPr>
      <w:r>
        <w:rPr>
          <w:rFonts w:ascii="Noto Sans CJK JP" w:hAnsi="Noto Sans CJK JP" w:eastAsia="Noto Sans CJK JP"/>
          <w:color w:val="666F78"/>
          <w:sz w:val="19"/>
        </w:rPr>
        <w:t>Quantum Network Simulator R&amp;D Project</w:t>
      </w:r>
    </w:p>
    <w:p>
      <w:r>
        <w:br w:type="page"/>
      </w:r>
    </w:p>
    <w:p>
      <w:pPr>
        <w:keepLines/>
        <w:spacing w:before="80" w:after="200"/>
        <w:ind w:left="173" w:right="173"/>
        <w:shd w:fill="E8F2EA"/>
      </w:pPr>
      <w:r>
        <w:rPr>
          <w:rFonts w:ascii="Noto Sans CJK JP" w:hAnsi="Noto Sans CJK JP" w:eastAsia="Noto Sans CJK JP"/>
          <w:b/>
          <w:color w:val="203748"/>
          <w:sz w:val="21"/>
        </w:rPr>
        <w:t>検証状態: Phase 15 PASS | 再現ジョブ 12/12 PASS | 既存テスト 592 件 PASS</w:t>
      </w:r>
    </w:p>
    <w:p>
      <w:r>
        <w:rPr>
          <w:rFonts w:ascii="Noto Sans CJK JP" w:hAnsi="Noto Sans CJK JP" w:eastAsia="Noto Sans CJK JP"/>
        </w:rPr>
        <w:t>本書は、理論上の非局所ゲーム利得から、忠実度・有限統計・局所判断遅延・エンタングルメント供給率を同時に満たす運用上の量子優位までを評価するための利用手順をまとめたものです。数値結果の意味、再現コマンド、設定変更、判定の読み方、再検証方法を対象とします。</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cantSplit/>
        </w:trPr>
        <w:tc>
          <w:tcPr>
            <w:tcW w:type="dxa" w:w="208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項目</w:t>
            </w:r>
          </w:p>
        </w:tc>
        <w:tc>
          <w:tcPr>
            <w:tcW w:type="dxa" w:w="727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固定内容</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対象論文</w:t>
            </w:r>
          </w:p>
        </w:tc>
        <w:tc>
          <w:tcPr>
            <w:tcW w:type="dxa" w:w="7272"/>
            <w:vAlign w:val="center"/>
            <w:tcMar>
              <w:top w:w="80" w:type="dxa"/>
              <w:bottom w:w="80" w:type="dxa"/>
              <w:start w:w="120" w:type="dxa"/>
              <w:end w:w="120" w:type="dxa"/>
            </w:tcMar>
          </w:tcPr>
          <w:p>
            <w:pPr>
              <w:spacing w:after="0"/>
            </w:pPr>
            <w:r>
              <w:rPr>
                <w:rFonts w:ascii="Noto Sans CJK JP" w:hAnsi="Noto Sans CJK JP" w:eastAsia="Noto Sans CJK JP"/>
                <w:color w:val="203748"/>
                <w:sz w:val="17"/>
              </w:rPr>
              <w:t>Ding and Jiang, arXiv:2407.21723v3</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運用モデル</w:t>
            </w:r>
          </w:p>
        </w:tc>
        <w:tc>
          <w:tcPr>
            <w:tcW w:type="dxa" w:w="7272"/>
            <w:vAlign w:val="center"/>
            <w:tcMar>
              <w:top w:w="80" w:type="dxa"/>
              <w:bottom w:w="80" w:type="dxa"/>
              <w:start w:w="120" w:type="dxa"/>
              <w:end w:w="120" w:type="dxa"/>
            </w:tcMar>
          </w:tcPr>
          <w:p>
            <w:pPr>
              <w:spacing w:after="0"/>
            </w:pPr>
            <w:r>
              <w:rPr>
                <w:rFonts w:ascii="Noto Sans CJK JP" w:hAnsi="Noto Sans CJK JP" w:eastAsia="Noto Sans CJK JP"/>
                <w:color w:val="203748"/>
                <w:sz w:val="17"/>
              </w:rPr>
              <w:t>Li et al., arXiv:2604.07451v1</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Python</w:t>
            </w:r>
          </w:p>
        </w:tc>
        <w:tc>
          <w:tcPr>
            <w:tcW w:type="dxa" w:w="7272"/>
            <w:vAlign w:val="center"/>
            <w:tcMar>
              <w:top w:w="80" w:type="dxa"/>
              <w:bottom w:w="80" w:type="dxa"/>
              <w:start w:w="120" w:type="dxa"/>
              <w:end w:w="120" w:type="dxa"/>
            </w:tcMar>
          </w:tcPr>
          <w:p>
            <w:pPr>
              <w:spacing w:after="0"/>
            </w:pPr>
            <w:r>
              <w:rPr>
                <w:rFonts w:ascii="Noto Sans CJK JP" w:hAnsi="Noto Sans CJK JP" w:eastAsia="Noto Sans CJK JP"/>
                <w:color w:val="203748"/>
                <w:sz w:val="17"/>
              </w:rPr>
              <w:t>&gt;= 3.11</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最終検証日</w:t>
            </w:r>
          </w:p>
        </w:tc>
        <w:tc>
          <w:tcPr>
            <w:tcW w:type="dxa" w:w="7272"/>
            <w:vAlign w:val="center"/>
            <w:tcMar>
              <w:top w:w="80" w:type="dxa"/>
              <w:bottom w:w="80" w:type="dxa"/>
              <w:start w:w="120" w:type="dxa"/>
              <w:end w:w="120" w:type="dxa"/>
            </w:tcMar>
          </w:tcPr>
          <w:p>
            <w:pPr>
              <w:spacing w:after="0"/>
            </w:pPr>
            <w:r>
              <w:rPr>
                <w:rFonts w:ascii="Noto Sans CJK JP" w:hAnsi="Noto Sans CJK JP" w:eastAsia="Noto Sans CJK JP"/>
                <w:color w:val="203748"/>
                <w:sz w:val="17"/>
              </w:rPr>
              <w:t>2026-09-03</w:t>
            </w:r>
          </w:p>
        </w:tc>
      </w:tr>
      <w:tr>
        <w:trPr>
          <w:cantSplit/>
        </w:trPr>
        <w:tc>
          <w:tcPr>
            <w:tcW w:type="dxa" w:w="2088"/>
            <w:vAlign w:val="center"/>
            <w:tcMar>
              <w:top w:w="80" w:type="dxa"/>
              <w:bottom w:w="80" w:type="dxa"/>
              <w:start w:w="120" w:type="dxa"/>
              <w:end w:w="120" w:type="dxa"/>
            </w:tcMar>
          </w:tcPr>
          <w:p>
            <w:pPr>
              <w:spacing w:after="0"/>
            </w:pPr>
            <w:r>
              <w:rPr>
                <w:rFonts w:ascii="Noto Sans CJK JP" w:hAnsi="Noto Sans CJK JP" w:eastAsia="Noto Sans CJK JP"/>
                <w:color w:val="203748"/>
                <w:sz w:val="17"/>
              </w:rPr>
              <w:t>成果物ハッシュ</w:t>
            </w:r>
          </w:p>
        </w:tc>
        <w:tc>
          <w:tcPr>
            <w:tcW w:type="dxa" w:w="7272"/>
            <w:vAlign w:val="center"/>
            <w:tcMar>
              <w:top w:w="80" w:type="dxa"/>
              <w:bottom w:w="80" w:type="dxa"/>
              <w:start w:w="120" w:type="dxa"/>
              <w:end w:w="120" w:type="dxa"/>
            </w:tcMar>
          </w:tcPr>
          <w:p>
            <w:pPr>
              <w:spacing w:after="0"/>
            </w:pPr>
            <w:r>
              <w:rPr>
                <w:rFonts w:ascii="Noto Sans CJK JP" w:hAnsi="Noto Sans CJK JP" w:eastAsia="Noto Sans CJK JP"/>
                <w:color w:val="203748"/>
                <w:sz w:val="17"/>
              </w:rPr>
              <w:t>efcdb1d91de1a7570072…</w:t>
            </w:r>
          </w:p>
        </w:tc>
      </w:tr>
    </w:tbl>
    <w:p>
      <w:pPr>
        <w:spacing w:after="20"/>
      </w:pPr>
    </w:p>
    <w:p>
      <w:pPr>
        <w:pStyle w:val="Heading1"/>
        <w:keepNext/>
      </w:pPr>
      <w:r>
        <w:t>目次</w:t>
      </w:r>
    </w:p>
    <w:p>
      <w:r>
        <w:rPr>
          <w:rFonts w:ascii="Noto Sans CJK JP" w:hAnsi="Noto Sans CJK JP" w:eastAsia="Noto Sans CJK JP"/>
        </w:rPr>
        <w:t>本版の目次は章構成を固定表示しています。Wordの見出しナビゲーションから各章へ移動できます。</w:t>
      </w:r>
    </w:p>
    <w:p>
      <w:pPr>
        <w:pStyle w:val="ListNumber"/>
      </w:pPr>
      <w:r>
        <w:rPr>
          <w:rFonts w:ascii="Noto Sans CJK JP" w:hAnsi="Noto Sans CJK JP" w:eastAsia="Noto Sans CJK JP"/>
          <w:color w:val="203748"/>
        </w:rPr>
        <w:t>目的と判定境界</w:t>
      </w:r>
    </w:p>
    <w:p>
      <w:pPr>
        <w:pStyle w:val="ListNumber"/>
      </w:pPr>
      <w:r>
        <w:rPr>
          <w:rFonts w:ascii="Noto Sans CJK JP" w:hAnsi="Noto Sans CJK JP" w:eastAsia="Noto Sans CJK JP"/>
          <w:color w:val="203748"/>
        </w:rPr>
        <w:t>セットアップとクイックスタート</w:t>
      </w:r>
    </w:p>
    <w:p>
      <w:pPr>
        <w:pStyle w:val="ListNumber"/>
      </w:pPr>
      <w:r>
        <w:rPr>
          <w:rFonts w:ascii="Noto Sans CJK JP" w:hAnsi="Noto Sans CJK JP" w:eastAsia="Noto Sans CJK JP"/>
          <w:color w:val="203748"/>
        </w:rPr>
        <w:t>リポジトリ構成</w:t>
      </w:r>
    </w:p>
    <w:p>
      <w:pPr>
        <w:pStyle w:val="ListNumber"/>
      </w:pPr>
      <w:r>
        <w:rPr>
          <w:rFonts w:ascii="Noto Sans CJK JP" w:hAnsi="Noto Sans CJK JP" w:eastAsia="Noto Sans CJK JP"/>
          <w:color w:val="203748"/>
        </w:rPr>
        <w:t>科学モデルと時間尺度</w:t>
      </w:r>
    </w:p>
    <w:p>
      <w:pPr>
        <w:pStyle w:val="ListNumber"/>
      </w:pPr>
      <w:r>
        <w:rPr>
          <w:rFonts w:ascii="Noto Sans CJK JP" w:hAnsi="Noto Sans CJK JP" w:eastAsia="Noto Sans CJK JP"/>
          <w:color w:val="203748"/>
        </w:rPr>
        <w:t>設定ファイル</w:t>
      </w:r>
    </w:p>
    <w:p>
      <w:pPr>
        <w:pStyle w:val="ListNumber"/>
      </w:pPr>
      <w:r>
        <w:rPr>
          <w:rFonts w:ascii="Noto Sans CJK JP" w:hAnsi="Noto Sans CJK JP" w:eastAsia="Noto Sans CJK JP"/>
          <w:color w:val="203748"/>
        </w:rPr>
        <w:t>Ding–Jiang再現手順</w:t>
      </w:r>
    </w:p>
    <w:p>
      <w:pPr>
        <w:pStyle w:val="ListNumber"/>
      </w:pPr>
      <w:r>
        <w:rPr>
          <w:rFonts w:ascii="Noto Sans CJK JP" w:hAnsi="Noto Sans CJK JP" w:eastAsia="Noto Sans CJK JP"/>
          <w:color w:val="203748"/>
        </w:rPr>
        <w:t>Li et al.再現手順</w:t>
      </w:r>
    </w:p>
    <w:p>
      <w:pPr>
        <w:pStyle w:val="ListNumber"/>
      </w:pPr>
      <w:r>
        <w:rPr>
          <w:rFonts w:ascii="Noto Sans CJK JP" w:hAnsi="Noto Sans CJK JP" w:eastAsia="Noto Sans CJK JP"/>
          <w:color w:val="203748"/>
        </w:rPr>
        <w:t>運用上の量子優位判定</w:t>
      </w:r>
    </w:p>
    <w:p>
      <w:pPr>
        <w:pStyle w:val="ListNumber"/>
      </w:pPr>
      <w:r>
        <w:rPr>
          <w:rFonts w:ascii="Noto Sans CJK JP" w:hAnsi="Noto Sans CJK JP" w:eastAsia="Noto Sans CJK JP"/>
          <w:color w:val="203748"/>
        </w:rPr>
        <w:t>ハードウェア・M2イベント駆動モデル</w:t>
      </w:r>
    </w:p>
    <w:p>
      <w:pPr>
        <w:pStyle w:val="ListNumber"/>
      </w:pPr>
      <w:r>
        <w:rPr>
          <w:rFonts w:ascii="Noto Sans CJK JP" w:hAnsi="Noto Sans CJK JP" w:eastAsia="Noto Sans CJK JP"/>
          <w:color w:val="203748"/>
        </w:rPr>
        <w:t>結果の読み方</w:t>
      </w:r>
    </w:p>
    <w:p>
      <w:pPr>
        <w:pStyle w:val="ListNumber"/>
      </w:pPr>
      <w:r>
        <w:rPr>
          <w:rFonts w:ascii="Noto Sans CJK JP" w:hAnsi="Noto Sans CJK JP" w:eastAsia="Noto Sans CJK JP"/>
          <w:color w:val="203748"/>
        </w:rPr>
        <w:t>検証・回帰・拡張</w:t>
      </w:r>
    </w:p>
    <w:p>
      <w:pPr>
        <w:pStyle w:val="ListNumber"/>
      </w:pPr>
      <w:r>
        <w:rPr>
          <w:rFonts w:ascii="Noto Sans CJK JP" w:hAnsi="Noto Sans CJK JP" w:eastAsia="Noto Sans CJK JP"/>
          <w:color w:val="203748"/>
        </w:rPr>
        <w:t>トラブルシューティング</w:t>
      </w:r>
    </w:p>
    <w:p>
      <w:pPr>
        <w:pStyle w:val="Heading1"/>
        <w:keepNext/>
      </w:pPr>
      <w:r>
        <w:t>1. 目的と判定境界</w:t>
      </w:r>
    </w:p>
    <w:p>
      <w:r>
        <w:rPr>
          <w:rFonts w:ascii="Noto Sans CJK JP" w:hAnsi="Noto Sans CJK JP" w:eastAsia="Noto Sans CJK JP"/>
        </w:rPr>
        <w:t>このシミュレータは、入力分布 P(x,y)、効用 u(a,b|x,y)、局所古典戦略、量子相関、物理誤差、有限統計、ネットワーク供給能力を分離して扱います。単に Δω&gt;0 を得ただけでは「運用上の量子優位」と報告しません。</w:t>
      </w:r>
    </w:p>
    <w:p>
      <w:pPr>
        <w:pStyle w:val="ListBullet"/>
      </w:pPr>
      <w:r>
        <w:rPr>
          <w:rFonts w:ascii="Noto Sans CJK JP" w:hAnsi="Noto Sans CJK JP" w:eastAsia="Noto Sans CJK JP"/>
        </w:rPr>
        <w:t>theoretical_advantage: 物理誤差を含めた量子効用が古典最適値を上回るか。</w:t>
      </w:r>
    </w:p>
    <w:p>
      <w:pPr>
        <w:pStyle w:val="ListBullet"/>
      </w:pPr>
      <w:r>
        <w:rPr>
          <w:rFonts w:ascii="Noto Sans CJK JP" w:hAnsi="Noto Sans CJK JP" w:eastAsia="Noto Sans CJK JP"/>
        </w:rPr>
        <w:t>fidelity_criterion: 結合インフィデリティ ε が ε_th=1-C/Q 未満か。</w:t>
      </w:r>
    </w:p>
    <w:p>
      <w:pPr>
        <w:pStyle w:val="ListBullet"/>
      </w:pPr>
      <w:r>
        <w:rPr>
          <w:rFonts w:ascii="Noto Sans CJK JP" w:hAnsi="Noto Sans CJK JP" w:eastAsia="Noto Sans CJK JP"/>
        </w:rPr>
        <w:t>rate_criterion: R_HEG が n_req/T_env を厳密に上回るか。</w:t>
      </w:r>
    </w:p>
    <w:p>
      <w:pPr>
        <w:pStyle w:val="ListBullet"/>
      </w:pPr>
      <w:r>
        <w:rPr>
          <w:rFonts w:ascii="Noto Sans CJK JP" w:hAnsi="Noto Sans CJK JP" w:eastAsia="Noto Sans CJK JP"/>
        </w:rPr>
        <w:t>decision_criterion: τ_dec=τ_rot+τ_meas が T_loc 未満か。</w:t>
      </w:r>
    </w:p>
    <w:p>
      <w:pPr>
        <w:pStyle w:val="ListBullet"/>
      </w:pPr>
      <w:r>
        <w:rPr>
          <w:rFonts w:ascii="Noto Sans CJK JP" w:hAnsi="Noto Sans CJK JP" w:eastAsia="Noto Sans CJK JP"/>
        </w:rPr>
        <w:t>latency_constrained_regime: T_loc&lt;T_comm が成立し、観測後通信なしの前提が有効か。</w:t>
      </w:r>
    </w:p>
    <w:p>
      <w:pPr>
        <w:pStyle w:val="ListBullet"/>
      </w:pPr>
      <w:r>
        <w:rPr>
          <w:rFonts w:ascii="Noto Sans CJK JP" w:hAnsi="Noto Sans CJK JP" w:eastAsia="Noto Sans CJK JP"/>
        </w:rPr>
        <w:t>overall_operational_quantum_advantage: 必要な全条件がPASSしたときのみPASS。</w:t>
      </w:r>
    </w:p>
    <w:p>
      <w:pPr>
        <w:keepLines/>
        <w:spacing w:before="80" w:after="200"/>
        <w:ind w:left="173" w:right="173"/>
        <w:shd w:fill="FFF4D8"/>
      </w:pPr>
      <w:r>
        <w:rPr>
          <w:rFonts w:ascii="Noto Sans CJK JP" w:hAnsi="Noto Sans CJK JP" w:eastAsia="Noto Sans CJK JP"/>
          <w:b/>
          <w:color w:val="203748"/>
          <w:sz w:val="21"/>
        </w:rPr>
        <w:t>重要: PASSは実装済み・設定済みの範囲に対する判定です。論文点データが未公開の図や、微視的デバイス情報が不足する項目のPARTIALを上書きしません。</w:t>
      </w:r>
    </w:p>
    <w:p>
      <w:pPr>
        <w:pStyle w:val="Heading1"/>
        <w:keepNext/>
      </w:pPr>
      <w:r>
        <w:t>2. セットアップとクイックスタート</w:t>
      </w:r>
    </w:p>
    <w:p>
      <w:pPr>
        <w:pStyle w:val="Heading2"/>
        <w:keepNext/>
      </w:pPr>
      <w:r>
        <w:t>2.1 前提環境</w:t>
      </w:r>
    </w:p>
    <w:p>
      <w:pPr>
        <w:pStyle w:val="ListBullet"/>
      </w:pPr>
      <w:r>
        <w:rPr>
          <w:rFonts w:ascii="Noto Sans CJK JP" w:hAnsi="Noto Sans CJK JP" w:eastAsia="Noto Sans CJK JP"/>
        </w:rPr>
        <w:t>Python 3.11以上。Phase 15記録環境はPython 3.13.5 / macOS 15.5 arm64。</w:t>
      </w:r>
    </w:p>
    <w:p>
      <w:pPr>
        <w:pStyle w:val="ListBullet"/>
      </w:pPr>
      <w:r>
        <w:rPr>
          <w:rFonts w:ascii="Noto Sans CJK JP" w:hAnsi="Noto Sans CJK JP" w:eastAsia="Noto Sans CJK JP"/>
        </w:rPr>
        <w:t>必須依存: NumPy、SciPy、CVXPY。図生成にはMatplotlib。</w:t>
      </w:r>
    </w:p>
    <w:p>
      <w:pPr>
        <w:pStyle w:val="ListBullet"/>
      </w:pPr>
      <w:r>
        <w:rPr>
          <w:rFonts w:ascii="Noto Sans CJK JP" w:hAnsi="Noto Sans CJK JP" w:eastAsia="Noto Sans CJK JP"/>
        </w:rPr>
        <w:t>実験スクリプトはリポジトリルートから実行する。</w:t>
      </w:r>
    </w:p>
    <w:p>
      <w:pPr>
        <w:keepLines/>
        <w:spacing w:before="60" w:after="140"/>
        <w:ind w:left="259" w:right="259"/>
        <w:shd w:fill="EFF3F6"/>
      </w:pPr>
      <w:r>
        <w:rPr>
          <w:rFonts w:ascii="Courier New" w:hAnsi="Courier New" w:eastAsia="Noto Sans CJK JP"/>
          <w:color w:val="203748"/>
          <w:sz w:val="17"/>
        </w:rPr>
        <w:t>python3 -m venv .venv</w:t>
        <w:br/>
        <w:t>source .venv/bin/activate</w:t>
        <w:br/>
        <w:t>python3 -m pip install -e '.[plots]'</w:t>
        <w:br/>
        <w:t>python3 -m pytest</w:t>
      </w:r>
    </w:p>
    <w:p>
      <w:pPr>
        <w:pStyle w:val="Heading2"/>
        <w:keepNext/>
      </w:pPr>
      <w:r>
        <w:t>2.2 最短の科学確認</w:t>
      </w:r>
    </w:p>
    <w:p>
      <w:pPr>
        <w:pStyle w:val="ListNumber"/>
      </w:pPr>
      <w:r>
        <w:rPr>
          <w:rFonts w:ascii="Noto Sans CJK JP" w:hAnsi="Noto Sans CJK JP" w:eastAsia="Noto Sans CJK JP"/>
        </w:rPr>
        <w:t>CHSH単体テストを実行し、古典値0.75、量子値0.8535533906、ギャップ0.1035533906を確認する。</w:t>
      </w:r>
    </w:p>
    <w:p>
      <w:pPr>
        <w:pStyle w:val="ListNumber"/>
      </w:pPr>
      <w:r>
        <w:rPr>
          <w:rFonts w:ascii="Noto Sans CJK JP" w:hAnsi="Noto Sans CJK JP" w:eastAsia="Noto Sans CJK JP"/>
        </w:rPr>
        <w:t>Ding–Jiang Figure 3を再生成し、最大ギャップと古典決定論戦略列挙の一致を確認する。</w:t>
      </w:r>
    </w:p>
    <w:p>
      <w:pPr>
        <w:pStyle w:val="ListNumber"/>
      </w:pPr>
      <w:r>
        <w:rPr>
          <w:rFonts w:ascii="Noto Sans CJK JP" w:hAnsi="Noto Sans CJK JP" w:eastAsia="Noto Sans CJK JP"/>
        </w:rPr>
        <w:t>Li Figure 2、Figure 3、Table IIIの順に実行し、理論・統計・ハードウェアの各層を確認する。</w:t>
      </w:r>
    </w:p>
    <w:p>
      <w:pPr>
        <w:pStyle w:val="ListNumber"/>
      </w:pPr>
      <w:r>
        <w:rPr>
          <w:rFonts w:ascii="Noto Sans CJK JP" w:hAnsi="Noto Sans CJK JP" w:eastAsia="Noto Sans CJK JP"/>
        </w:rPr>
        <w:t>最後にPhase 15ランナーを実行し、全回帰をまとめて監査する。</w:t>
      </w:r>
    </w:p>
    <w:p>
      <w:pPr>
        <w:keepLines/>
        <w:spacing w:before="60" w:after="140"/>
        <w:ind w:left="259" w:right="259"/>
        <w:shd w:fill="EFF3F6"/>
      </w:pPr>
      <w:r>
        <w:rPr>
          <w:rFonts w:ascii="Courier New" w:hAnsi="Courier New" w:eastAsia="Noto Sans CJK JP"/>
          <w:color w:val="203748"/>
          <w:sz w:val="17"/>
        </w:rPr>
        <w:t>python3 -m pytest tests/scientific/test_chsh_oracles.py -q</w:t>
        <w:br/>
        <w:t>PYTHONPATH=src python3 experiments/ding_jiang/reproduce_fig3.py</w:t>
        <w:br/>
        <w:t>PYTHONPATH=src python3 -m experiments.li2026.reproduce_fig2</w:t>
        <w:br/>
        <w:t>python3 experiments/final_validation/run_phase15.py</w:t>
      </w:r>
    </w:p>
    <w:p>
      <w:pPr>
        <w:pStyle w:val="Heading1"/>
        <w:keepNext/>
      </w:pPr>
      <w:r>
        <w:t>3. リポジトリ構成</w:t>
      </w:r>
    </w:p>
    <w:tbl>
      <w:tblPr>
        <w:tblStyle w:val="TableGrid"/>
        <w:tblW w:type="dxa" w:w="9360"/>
        <w:jc w:val="center"/>
        <w:tblLayout w:type="fixed"/>
        <w:tblLook w:firstColumn="1" w:firstRow="1" w:lastColumn="0" w:lastRow="0" w:noHBand="0" w:noVBand="1" w:val="04A0"/>
        <w:tblInd w:w="120" w:type="dxa"/>
      </w:tblPr>
      <w:tblGrid>
        <w:gridCol w:w="3240"/>
        <w:gridCol w:w="6120"/>
      </w:tblGrid>
      <w:tr>
        <w:trPr>
          <w:tblHeader w:val="true"/>
          <w:cantSplit/>
        </w:trPr>
        <w:tc>
          <w:tcPr>
            <w:tcW w:type="dxa" w:w="324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6"/>
              </w:rPr>
              <w:t>パス</w:t>
            </w:r>
          </w:p>
        </w:tc>
        <w:tc>
          <w:tcPr>
            <w:tcW w:type="dxa" w:w="612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6"/>
              </w:rPr>
              <w:t>役割</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src/quantum_telepathy/core</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一般非局所ゲーム、XORゲーム、古典戦略列挙</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src/quantum_telepathy/ding_jiang</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HFT効用、損失、v3 Type IIメモリ、ノイズ</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src/quantum_telepathy/li2026</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一般化LCTC、忠実度、統計、運用判定、三者拡張</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src/quantum_telepathy/hardware</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M0/M1/M2、HEG、Ybシステム、イベント駆動</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src/quantum_telepathy/optimization</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有限格子ハードウェア探索とPareto解析</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experiments/*/configs</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追跡可能な入力パラメータ</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experiments/*/oracles</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論文値・解析値・許容差</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experiments/*/results</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JSON、CSV、PNGの再現成果物</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docs/research</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モデル対応、仮定、検証境界、再現行列</w:t>
            </w:r>
          </w:p>
        </w:tc>
      </w:tr>
      <w:tr>
        <w:trPr>
          <w:cantSplit/>
        </w:trPr>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6"/>
              </w:rPr>
              <w:t>tests/scientific</w:t>
            </w:r>
          </w:p>
        </w:tc>
        <w:tc>
          <w:tcPr>
            <w:tcW w:type="dxa" w:w="6120"/>
            <w:vAlign w:val="center"/>
            <w:tcMar>
              <w:top w:w="80" w:type="dxa"/>
              <w:bottom w:w="80" w:type="dxa"/>
              <w:start w:w="120" w:type="dxa"/>
              <w:end w:w="120" w:type="dxa"/>
            </w:tcMar>
          </w:tcPr>
          <w:p>
            <w:pPr>
              <w:spacing w:after="0"/>
            </w:pPr>
            <w:r>
              <w:rPr>
                <w:rFonts w:ascii="Noto Sans CJK JP" w:hAnsi="Noto Sans CJK JP" w:eastAsia="Noto Sans CJK JP"/>
                <w:color w:val="203748"/>
                <w:sz w:val="16"/>
              </w:rPr>
              <w:t>独立オラクルと回帰テスト</w:t>
            </w:r>
          </w:p>
        </w:tc>
      </w:tr>
    </w:tbl>
    <w:p>
      <w:pPr>
        <w:spacing w:after="20"/>
      </w:pPr>
    </w:p>
    <w:p>
      <w:pPr>
        <w:pStyle w:val="Heading1"/>
        <w:keepNext/>
      </w:pPr>
      <w:r>
        <w:t>4. 科学モデルと時間尺度</w:t>
      </w:r>
    </w:p>
    <w:p>
      <w:pPr>
        <w:pStyle w:val="Heading2"/>
        <w:keepNext/>
      </w:pPr>
      <w:r>
        <w:t>4.1 層構造</w:t>
      </w:r>
    </w:p>
    <w:p>
      <w:pPr>
        <w:pStyle w:val="ListNumber"/>
      </w:pPr>
      <w:r>
        <w:rPr>
          <w:rFonts w:ascii="Noto Sans CJK JP" w:hAnsi="Noto Sans CJK JP" w:eastAsia="Noto Sans CJK JP"/>
        </w:rPr>
        <w:t>Layer 0: P(x,y)、u(a,b|x,y)、P(a,b|x,y)と期待効用。</w:t>
      </w:r>
    </w:p>
    <w:p>
      <w:pPr>
        <w:pStyle w:val="ListNumber"/>
      </w:pPr>
      <w:r>
        <w:rPr>
          <w:rFonts w:ascii="Noto Sans CJK JP" w:hAnsi="Noto Sans CJK JP" w:eastAsia="Noto Sans CJK JP"/>
        </w:rPr>
        <w:t>Layer 1: 二値入出力XORゲーム、行列M、C(M)、Q(M)、Δω。</w:t>
      </w:r>
    </w:p>
    <w:p>
      <w:pPr>
        <w:pStyle w:val="ListNumber"/>
      </w:pPr>
      <w:r>
        <w:rPr>
          <w:rFonts w:ascii="Noto Sans CJK JP" w:hAnsi="Noto Sans CJK JP" w:eastAsia="Noto Sans CJK JP"/>
        </w:rPr>
        <w:t>Layer 2: Ding–Jiangの理想化HFT/LCTCモデル。</w:t>
      </w:r>
    </w:p>
    <w:p>
      <w:pPr>
        <w:pStyle w:val="ListNumber"/>
      </w:pPr>
      <w:r>
        <w:rPr>
          <w:rFonts w:ascii="Noto Sans CJK JP" w:hAnsi="Noto Sans CJK JP" w:eastAsia="Noto Sans CJK JP"/>
        </w:rPr>
        <w:t>Layer 3: Liの非対称効用、相関入力、T_loc、T_comm、T_env。</w:t>
      </w:r>
    </w:p>
    <w:p>
      <w:pPr>
        <w:pStyle w:val="ListNumber"/>
      </w:pPr>
      <w:r>
        <w:rPr>
          <w:rFonts w:ascii="Noto Sans CJK JP" w:hAnsi="Noto Sans CJK JP" w:eastAsia="Noto Sans CJK JP"/>
        </w:rPr>
        <w:t>Layer 4: ε_s、ε_meas、結合ε、メモリデコヒーレンス。</w:t>
      </w:r>
    </w:p>
    <w:p>
      <w:pPr>
        <w:pStyle w:val="ListNumber"/>
      </w:pPr>
      <w:r>
        <w:rPr>
          <w:rFonts w:ascii="Noto Sans CJK JP" w:hAnsi="Noto Sans CJK JP" w:eastAsia="Noto Sans CJK JP"/>
        </w:rPr>
        <w:t>運用層: 有限統計、HEG率、判断遅延、M2メモリ制約。</w:t>
      </w:r>
    </w:p>
    <w:p>
      <w:pPr>
        <w:pStyle w:val="Heading2"/>
        <w:keepNext/>
      </w:pPr>
      <w:r>
        <w:t>4.2 混同してはいけない時間</w:t>
      </w:r>
    </w:p>
    <w:tbl>
      <w:tblPr>
        <w:tblStyle w:val="TableGrid"/>
        <w:tblW w:type="dxa" w:w="9360"/>
        <w:jc w:val="center"/>
        <w:tblLayout w:type="fixed"/>
        <w:tblLook w:firstColumn="1" w:firstRow="1" w:lastColumn="0" w:lastRow="0" w:noHBand="0" w:noVBand="1" w:val="04A0"/>
        <w:tblInd w:w="120" w:type="dxa"/>
      </w:tblPr>
      <w:tblGrid>
        <w:gridCol w:w="1152"/>
        <w:gridCol w:w="5400"/>
        <w:gridCol w:w="2808"/>
      </w:tblGrid>
      <w:tr>
        <w:trPr>
          <w:tblHeader w:val="true"/>
          <w:cantSplit/>
        </w:trPr>
        <w:tc>
          <w:tcPr>
            <w:tcW w:type="dxa" w:w="115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記号</w:t>
            </w:r>
          </w:p>
        </w:tc>
        <w:tc>
          <w:tcPr>
            <w:tcW w:type="dxa" w:w="540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意味</w:t>
            </w:r>
          </w:p>
        </w:tc>
        <w:tc>
          <w:tcPr>
            <w:tcW w:type="dxa" w:w="280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判定</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T_loc</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アプリケーションが許す局所判断窓</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τ_dec&lt;T_loc</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T_comm</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拠点間通信時間</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T_loc&lt;T_comm</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T_env</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市場・環境が定常とみなせる窓</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n_req/T_env</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τ_dec</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基底回転と測定の合計</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τ_rot+τ_meas</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τ_occ</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M2メモリ占有時間</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供給率・必要メモリ数</w:t>
            </w:r>
          </w:p>
        </w:tc>
      </w:tr>
      <w:tr>
        <w:trPr>
          <w:cantSplit/>
        </w:trPr>
        <w:tc>
          <w:tcPr>
            <w:tcW w:type="dxa" w:w="1152"/>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τ_mem</w:t>
            </w:r>
          </w:p>
        </w:tc>
        <w:tc>
          <w:tcPr>
            <w:tcW w:type="dxa" w:w="5400"/>
            <w:vAlign w:val="center"/>
            <w:tcMar>
              <w:top w:w="80" w:type="dxa"/>
              <w:bottom w:w="80" w:type="dxa"/>
              <w:start w:w="120" w:type="dxa"/>
              <w:end w:w="120" w:type="dxa"/>
            </w:tcMar>
          </w:tcPr>
          <w:p>
            <w:pPr>
              <w:spacing w:after="0"/>
            </w:pPr>
            <w:r>
              <w:rPr>
                <w:rFonts w:ascii="Noto Sans CJK JP" w:hAnsi="Noto Sans CJK JP" w:eastAsia="Noto Sans CJK JP"/>
                <w:color w:val="203748"/>
                <w:sz w:val="17"/>
              </w:rPr>
              <w:t>量子メモリ寿命</w:t>
            </w:r>
          </w:p>
        </w:tc>
        <w:tc>
          <w:tcPr>
            <w:tcW w:type="dxa" w:w="2808"/>
            <w:vAlign w:val="center"/>
            <w:tcMar>
              <w:top w:w="80" w:type="dxa"/>
              <w:bottom w:w="80" w:type="dxa"/>
              <w:start w:w="120" w:type="dxa"/>
              <w:end w:w="120" w:type="dxa"/>
            </w:tcMar>
          </w:tcPr>
          <w:p>
            <w:pPr>
              <w:spacing w:after="0"/>
            </w:pPr>
            <w:r>
              <w:rPr>
                <w:rFonts w:ascii="Noto Sans CJK JP" w:hAnsi="Noto Sans CJK JP" w:eastAsia="Noto Sans CJK JP"/>
                <w:color w:val="203748"/>
                <w:sz w:val="17"/>
              </w:rPr>
              <w:t>デコヒーレンス後ε&lt;ε_th</w:t>
            </w:r>
          </w:p>
        </w:tc>
      </w:tr>
    </w:tbl>
    <w:p>
      <w:pPr>
        <w:spacing w:after="20"/>
      </w:pPr>
    </w:p>
    <w:p>
      <w:pPr>
        <w:pStyle w:val="Heading1"/>
        <w:keepNext/>
      </w:pPr>
      <w:r>
        <w:t>5. 設定ファイル</w:t>
      </w:r>
    </w:p>
    <w:p>
      <w:r>
        <w:rPr>
          <w:rFonts w:ascii="Noto Sans CJK JP" w:hAnsi="Noto Sans CJK JP" w:eastAsia="Noto Sans CJK JP"/>
        </w:rPr>
        <w:t>全実験パラメータはJSON設定に記録します。既存設定を変更する代わりに、新しい識別子と出力先を持つ設定を追加してください。論文値はoraclesへ、シミュレータ入力はconfigsへ分離します。</w:t>
      </w:r>
    </w:p>
    <w:tbl>
      <w:tblPr>
        <w:tblStyle w:val="TableGrid"/>
        <w:tblW w:type="dxa" w:w="9360"/>
        <w:jc w:val="center"/>
        <w:tblLayout w:type="fixed"/>
        <w:tblLook w:firstColumn="1" w:firstRow="1" w:lastColumn="0" w:lastRow="0" w:noHBand="0" w:noVBand="1" w:val="04A0"/>
        <w:tblInd w:w="120" w:type="dxa"/>
      </w:tblPr>
      <w:tblGrid>
        <w:gridCol w:w="1728"/>
        <w:gridCol w:w="3888"/>
        <w:gridCol w:w="3744"/>
      </w:tblGrid>
      <w:tr>
        <w:trPr>
          <w:tblHeader w:val="true"/>
          <w:cantSplit/>
        </w:trPr>
        <w:tc>
          <w:tcPr>
            <w:tcW w:type="dxa" w:w="172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分類</w:t>
            </w:r>
          </w:p>
        </w:tc>
        <w:tc>
          <w:tcPr>
            <w:tcW w:type="dxa" w:w="388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代表パラメータ</w:t>
            </w:r>
          </w:p>
        </w:tc>
        <w:tc>
          <w:tcPr>
            <w:tcW w:type="dxa" w:w="3744"/>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単位・制約</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ゲーム/市場</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P(x,y), beta1, beta2, utility</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確率和=1、betaは設定範囲内</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LCTC時間</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T_loc, T_comm, T_env</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秒、T_loc&lt;T_comm</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統計</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alpha, n_req, R_req</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0&lt;alpha&lt;1、R_req=n_req/T_env</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量子誤差</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epsilon_s, epsilon_meas, epsilon</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Liの厳密結合式を使用</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ネットワーク</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distance, loss, N_channels</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km、dB/km、正整数</w:t>
            </w:r>
          </w:p>
        </w:tc>
      </w:tr>
      <w:tr>
        <w:trPr>
          <w:cantSplit/>
        </w:trPr>
        <w:tc>
          <w:tcPr>
            <w:tcW w:type="dxa" w:w="1728"/>
            <w:vAlign w:val="center"/>
            <w:tcMar>
              <w:top w:w="80" w:type="dxa"/>
              <w:bottom w:w="80" w:type="dxa"/>
              <w:start w:w="120" w:type="dxa"/>
              <w:end w:w="120" w:type="dxa"/>
            </w:tcMar>
          </w:tcPr>
          <w:p>
            <w:pPr>
              <w:spacing w:after="0"/>
            </w:pPr>
            <w:r>
              <w:rPr>
                <w:rFonts w:ascii="Noto Sans CJK JP" w:hAnsi="Noto Sans CJK JP" w:eastAsia="Noto Sans CJK JP"/>
                <w:color w:val="203748"/>
                <w:sz w:val="17"/>
              </w:rPr>
              <w:t>デバイス</w:t>
            </w:r>
          </w:p>
        </w:tc>
        <w:tc>
          <w:tcPr>
            <w:tcW w:type="dxa" w:w="3888"/>
            <w:vAlign w:val="center"/>
            <w:tcMar>
              <w:top w:w="80" w:type="dxa"/>
              <w:bottom w:w="80" w:type="dxa"/>
              <w:start w:w="120" w:type="dxa"/>
              <w:end w:w="120" w:type="dxa"/>
            </w:tcMar>
          </w:tcPr>
          <w:p>
            <w:pPr>
              <w:spacing w:after="0"/>
            </w:pPr>
            <w:r>
              <w:rPr>
                <w:rFonts w:ascii="Noto Sans CJK JP" w:hAnsi="Noto Sans CJK JP" w:eastAsia="Noto Sans CJK JP"/>
                <w:color w:val="203748"/>
                <w:sz w:val="17"/>
              </w:rPr>
              <w:t>eta_det, eta_opt, tau_mem</w:t>
            </w:r>
          </w:p>
        </w:tc>
        <w:tc>
          <w:tcPr>
            <w:tcW w:type="dxa" w:w="3744"/>
            <w:vAlign w:val="center"/>
            <w:tcMar>
              <w:top w:w="80" w:type="dxa"/>
              <w:bottom w:w="80" w:type="dxa"/>
              <w:start w:w="120" w:type="dxa"/>
              <w:end w:w="120" w:type="dxa"/>
            </w:tcMar>
          </w:tcPr>
          <w:p>
            <w:pPr>
              <w:spacing w:after="0"/>
            </w:pPr>
            <w:r>
              <w:rPr>
                <w:rFonts w:ascii="Noto Sans CJK JP" w:hAnsi="Noto Sans CJK JP" w:eastAsia="Noto Sans CJK JP"/>
                <w:color w:val="203748"/>
                <w:sz w:val="17"/>
              </w:rPr>
              <w:t>効率0–1、寿命は秒</w:t>
            </w:r>
          </w:p>
        </w:tc>
      </w:tr>
    </w:tbl>
    <w:p>
      <w:pPr>
        <w:spacing w:after="20"/>
      </w:pPr>
    </w:p>
    <w:p>
      <w:pPr>
        <w:pStyle w:val="Heading2"/>
        <w:keepNext/>
      </w:pPr>
      <w:r>
        <w:t>5.1 新規シナリオの作り方</w:t>
      </w:r>
    </w:p>
    <w:p>
      <w:pPr>
        <w:pStyle w:val="ListNumber"/>
      </w:pPr>
      <w:r>
        <w:rPr>
          <w:rFonts w:ascii="Noto Sans CJK JP" w:hAnsi="Noto Sans CJK JP" w:eastAsia="Noto Sans CJK JP"/>
        </w:rPr>
        <w:t>最も近いconfigs JSONを複製し、reference/versionとprovenanceを保持する。</w:t>
      </w:r>
    </w:p>
    <w:p>
      <w:pPr>
        <w:pStyle w:val="ListNumber"/>
      </w:pPr>
      <w:r>
        <w:rPr>
          <w:rFonts w:ascii="Noto Sans CJK JP" w:hAnsi="Noto Sans CJK JP" w:eastAsia="Noto Sans CJK JP"/>
        </w:rPr>
        <w:t>変更したパラメータと単位を明示し、論文値を入力へ逆算して合わせない。</w:t>
      </w:r>
    </w:p>
    <w:p>
      <w:pPr>
        <w:pStyle w:val="ListNumber"/>
      </w:pPr>
      <w:r>
        <w:rPr>
          <w:rFonts w:ascii="Noto Sans CJK JP" w:hAnsi="Noto Sans CJK JP" w:eastAsia="Noto Sans CJK JP"/>
        </w:rPr>
        <w:t>別のoutputディレクトリへ実行し、既存回帰成果物を上書きしない。</w:t>
      </w:r>
    </w:p>
    <w:p>
      <w:pPr>
        <w:pStyle w:val="ListNumber"/>
      </w:pPr>
      <w:r>
        <w:rPr>
          <w:rFonts w:ascii="Noto Sans CJK JP" w:hAnsi="Noto Sans CJK JP" w:eastAsia="Noto Sans CJK JP"/>
        </w:rPr>
        <w:t>解析解、独立列挙、Decimal直計算、公開値の順でオラクルを追加する。</w:t>
      </w:r>
    </w:p>
    <w:p>
      <w:pPr>
        <w:pStyle w:val="ListNumber"/>
      </w:pPr>
      <w:r>
        <w:rPr>
          <w:rFonts w:ascii="Noto Sans CJK JP" w:hAnsi="Noto Sans CJK JP" w:eastAsia="Noto Sans CJK JP"/>
        </w:rPr>
        <w:t>差異はFAIL/PARTIAL/INSUFFICIENT_INFORMATIONのまま記録する。</w:t>
      </w:r>
    </w:p>
    <w:p>
      <w:pPr>
        <w:pStyle w:val="Heading1"/>
        <w:keepNext/>
      </w:pPr>
      <w:r>
        <w:t>6. Ding–Jiang再現手順</w:t>
      </w:r>
    </w:p>
    <w:tbl>
      <w:tblPr>
        <w:tblStyle w:val="TableGrid"/>
        <w:tblW w:type="dxa" w:w="9360"/>
        <w:jc w:val="center"/>
        <w:tblLayout w:type="fixed"/>
        <w:tblLook w:firstColumn="1" w:firstRow="1" w:lastColumn="0" w:lastRow="0" w:noHBand="0" w:noVBand="1" w:val="04A0"/>
        <w:tblInd w:w="120" w:type="dxa"/>
      </w:tblPr>
      <w:tblGrid>
        <w:gridCol w:w="1440"/>
        <w:gridCol w:w="3816"/>
        <w:gridCol w:w="4104"/>
      </w:tblGrid>
      <w:tr>
        <w:trPr>
          <w:tblHeader w:val="true"/>
          <w:cantSplit/>
        </w:trPr>
        <w:tc>
          <w:tcPr>
            <w:tcW w:type="dxa" w:w="144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対象</w:t>
            </w:r>
          </w:p>
        </w:tc>
        <w:tc>
          <w:tcPr>
            <w:tcW w:type="dxa" w:w="3816"/>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コマンド</w:t>
            </w:r>
          </w:p>
        </w:tc>
        <w:tc>
          <w:tcPr>
            <w:tcW w:type="dxa" w:w="4104"/>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主オラクル</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Fig. 3</w:t>
            </w:r>
          </w:p>
        </w:tc>
        <w:tc>
          <w:tcPr>
            <w:tcW w:type="dxa" w:w="3816"/>
            <w:vAlign w:val="center"/>
            <w:tcMar>
              <w:top w:w="80" w:type="dxa"/>
              <w:bottom w:w="80" w:type="dxa"/>
              <w:start w:w="120" w:type="dxa"/>
              <w:end w:w="120" w:type="dxa"/>
            </w:tcMar>
          </w:tcPr>
          <w:p>
            <w:pPr>
              <w:spacing w:after="0"/>
            </w:pPr>
            <w:r>
              <w:rPr>
                <w:rFonts w:ascii="Noto Sans CJK JP" w:hAnsi="Noto Sans CJK JP" w:eastAsia="Noto Sans CJK JP"/>
                <w:color w:val="203748"/>
                <w:sz w:val="17"/>
              </w:rPr>
              <w:t>reproduce_fig3.py</w:t>
            </w:r>
          </w:p>
        </w:tc>
        <w:tc>
          <w:tcPr>
            <w:tcW w:type="dxa" w:w="4104"/>
            <w:vAlign w:val="center"/>
            <w:tcMar>
              <w:top w:w="80" w:type="dxa"/>
              <w:bottom w:w="80" w:type="dxa"/>
              <w:start w:w="120" w:type="dxa"/>
              <w:end w:w="120" w:type="dxa"/>
            </w:tcMar>
          </w:tcPr>
          <w:p>
            <w:pPr>
              <w:spacing w:after="0"/>
            </w:pPr>
            <w:r>
              <w:rPr>
                <w:rFonts w:ascii="Noto Sans CJK JP" w:hAnsi="Noto Sans CJK JP" w:eastAsia="Noto Sans CJK JP"/>
                <w:color w:val="203748"/>
                <w:sz w:val="17"/>
              </w:rPr>
              <w:t>Theorem 10、16戦略列挙、CHSH</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Sec. 4.1</w:t>
            </w:r>
          </w:p>
        </w:tc>
        <w:tc>
          <w:tcPr>
            <w:tcW w:type="dxa" w:w="3816"/>
            <w:vAlign w:val="center"/>
            <w:tcMar>
              <w:top w:w="80" w:type="dxa"/>
              <w:bottom w:w="80" w:type="dxa"/>
              <w:start w:w="120" w:type="dxa"/>
              <w:end w:w="120" w:type="dxa"/>
            </w:tcMar>
          </w:tcPr>
          <w:p>
            <w:pPr>
              <w:spacing w:after="0"/>
            </w:pPr>
            <w:r>
              <w:rPr>
                <w:rFonts w:ascii="Noto Sans CJK JP" w:hAnsi="Noto Sans CJK JP" w:eastAsia="Noto Sans CJK JP"/>
                <w:color w:val="203748"/>
                <w:sz w:val="17"/>
              </w:rPr>
              <w:t>reproduce_loss_example.py</w:t>
            </w:r>
          </w:p>
        </w:tc>
        <w:tc>
          <w:tcPr>
            <w:tcW w:type="dxa" w:w="4104"/>
            <w:vAlign w:val="center"/>
            <w:tcMar>
              <w:top w:w="80" w:type="dxa"/>
              <w:bottom w:w="80" w:type="dxa"/>
              <w:start w:w="120" w:type="dxa"/>
              <w:end w:w="120" w:type="dxa"/>
            </w:tcMar>
          </w:tcPr>
          <w:p>
            <w:pPr>
              <w:spacing w:after="0"/>
            </w:pPr>
            <w:r>
              <w:rPr>
                <w:rFonts w:ascii="Noto Sans CJK JP" w:hAnsi="Noto Sans CJK JP" w:eastAsia="Noto Sans CJK JP"/>
                <w:color w:val="203748"/>
                <w:sz w:val="17"/>
              </w:rPr>
              <w:t>Eq. A.11/A.12</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Fig. 5</w:t>
            </w:r>
          </w:p>
        </w:tc>
        <w:tc>
          <w:tcPr>
            <w:tcW w:type="dxa" w:w="3816"/>
            <w:vAlign w:val="center"/>
            <w:tcMar>
              <w:top w:w="80" w:type="dxa"/>
              <w:bottom w:w="80" w:type="dxa"/>
              <w:start w:w="120" w:type="dxa"/>
              <w:end w:w="120" w:type="dxa"/>
            </w:tcMar>
          </w:tcPr>
          <w:p>
            <w:pPr>
              <w:spacing w:after="0"/>
            </w:pPr>
            <w:r>
              <w:rPr>
                <w:rFonts w:ascii="Noto Sans CJK JP" w:hAnsi="Noto Sans CJK JP" w:eastAsia="Noto Sans CJK JP"/>
                <w:color w:val="203748"/>
                <w:sz w:val="17"/>
              </w:rPr>
              <w:t>reproduce_fig5_cross_sections.py</w:t>
            </w:r>
          </w:p>
        </w:tc>
        <w:tc>
          <w:tcPr>
            <w:tcW w:type="dxa" w:w="4104"/>
            <w:vAlign w:val="center"/>
            <w:tcMar>
              <w:top w:w="80" w:type="dxa"/>
              <w:bottom w:w="80" w:type="dxa"/>
              <w:start w:w="120" w:type="dxa"/>
              <w:end w:w="120" w:type="dxa"/>
            </w:tcMar>
          </w:tcPr>
          <w:p>
            <w:pPr>
              <w:spacing w:after="0"/>
            </w:pPr>
            <w:r>
              <w:rPr>
                <w:rFonts w:ascii="Noto Sans CJK JP" w:hAnsi="Noto Sans CJK JP" w:eastAsia="Noto Sans CJK JP"/>
                <w:color w:val="203748"/>
                <w:sz w:val="17"/>
              </w:rPr>
              <w:t>明示量子戦略、Q1+AB上界</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Type II</w:t>
            </w:r>
          </w:p>
        </w:tc>
        <w:tc>
          <w:tcPr>
            <w:tcW w:type="dxa" w:w="3816"/>
            <w:vAlign w:val="center"/>
            <w:tcMar>
              <w:top w:w="80" w:type="dxa"/>
              <w:bottom w:w="80" w:type="dxa"/>
              <w:start w:w="120" w:type="dxa"/>
              <w:end w:w="120" w:type="dxa"/>
            </w:tcMar>
          </w:tcPr>
          <w:p>
            <w:pPr>
              <w:spacing w:after="0"/>
            </w:pPr>
            <w:r>
              <w:rPr>
                <w:rFonts w:ascii="Noto Sans CJK JP" w:hAnsi="Noto Sans CJK JP" w:eastAsia="Noto Sans CJK JP"/>
                <w:color w:val="203748"/>
                <w:sz w:val="17"/>
              </w:rPr>
              <w:t>reproduce_type_ii_memory.py</w:t>
            </w:r>
          </w:p>
        </w:tc>
        <w:tc>
          <w:tcPr>
            <w:tcW w:type="dxa" w:w="4104"/>
            <w:vAlign w:val="center"/>
            <w:tcMar>
              <w:top w:w="80" w:type="dxa"/>
              <w:bottom w:w="80" w:type="dxa"/>
              <w:start w:w="120" w:type="dxa"/>
              <w:end w:w="120" w:type="dxa"/>
            </w:tcMar>
          </w:tcPr>
          <w:p>
            <w:pPr>
              <w:spacing w:after="0"/>
            </w:pPr>
            <w:r>
              <w:rPr>
                <w:rFonts w:ascii="Noto Sans CJK JP" w:hAnsi="Noto Sans CJK JP" w:eastAsia="Noto Sans CJK JP"/>
                <w:color w:val="203748"/>
                <w:sz w:val="17"/>
              </w:rPr>
              <w:t>v3二腕伝送、Decimal式</w:t>
            </w:r>
          </w:p>
        </w:tc>
      </w:tr>
      <w:tr>
        <w:trPr>
          <w:cantSplit/>
        </w:trPr>
        <w:tc>
          <w:tcPr>
            <w:tcW w:type="dxa" w:w="1440"/>
            <w:vAlign w:val="center"/>
            <w:tcMar>
              <w:top w:w="80" w:type="dxa"/>
              <w:bottom w:w="80" w:type="dxa"/>
              <w:start w:w="120" w:type="dxa"/>
              <w:end w:w="120" w:type="dxa"/>
            </w:tcMar>
          </w:tcPr>
          <w:p>
            <w:pPr>
              <w:spacing w:after="0"/>
            </w:pPr>
            <w:r>
              <w:rPr>
                <w:rFonts w:ascii="Noto Sans CJK JP" w:hAnsi="Noto Sans CJK JP" w:eastAsia="Noto Sans CJK JP"/>
                <w:color w:val="203748"/>
                <w:sz w:val="17"/>
              </w:rPr>
              <w:t>Fig. 7–8</w:t>
            </w:r>
          </w:p>
        </w:tc>
        <w:tc>
          <w:tcPr>
            <w:tcW w:type="dxa" w:w="3816"/>
            <w:vAlign w:val="center"/>
            <w:tcMar>
              <w:top w:w="80" w:type="dxa"/>
              <w:bottom w:w="80" w:type="dxa"/>
              <w:start w:w="120" w:type="dxa"/>
              <w:end w:w="120" w:type="dxa"/>
            </w:tcMar>
          </w:tcPr>
          <w:p>
            <w:pPr>
              <w:spacing w:after="0"/>
            </w:pPr>
            <w:r>
              <w:rPr>
                <w:rFonts w:ascii="Noto Sans CJK JP" w:hAnsi="Noto Sans CJK JP" w:eastAsia="Noto Sans CJK JP"/>
                <w:color w:val="203748"/>
                <w:sz w:val="17"/>
              </w:rPr>
              <w:t>reproduce_noise_robustness.py</w:t>
            </w:r>
          </w:p>
        </w:tc>
        <w:tc>
          <w:tcPr>
            <w:tcW w:type="dxa" w:w="4104"/>
            <w:vAlign w:val="center"/>
            <w:tcMar>
              <w:top w:w="80" w:type="dxa"/>
              <w:bottom w:w="80" w:type="dxa"/>
              <w:start w:w="120" w:type="dxa"/>
              <w:end w:w="120" w:type="dxa"/>
            </w:tcMar>
          </w:tcPr>
          <w:p>
            <w:pPr>
              <w:spacing w:after="0"/>
            </w:pPr>
            <w:r>
              <w:rPr>
                <w:rFonts w:ascii="Noto Sans CJK JP" w:hAnsi="Noto Sans CJK JP" w:eastAsia="Noto Sans CJK JP"/>
                <w:color w:val="203748"/>
                <w:sz w:val="17"/>
              </w:rPr>
              <w:t>脱分極厳密式、CHSH閾値</w:t>
            </w:r>
          </w:p>
        </w:tc>
      </w:tr>
    </w:tbl>
    <w:p>
      <w:pPr>
        <w:spacing w:after="20"/>
      </w:pPr>
    </w:p>
    <w:p>
      <w:pPr>
        <w:keepLines/>
        <w:jc w:val="center"/>
      </w:pPr>
      <w:r>
        <w:drawing>
          <wp:inline xmlns:a="http://schemas.openxmlformats.org/drawingml/2006/main" xmlns:pic="http://schemas.openxmlformats.org/drawingml/2006/picture">
            <wp:extent cx="5532120" cy="4478383"/>
            <wp:docPr id="1" name="Picture 1" descr="Ding-Jiang HFT quantum-classical gap heatmap and cross-sections" title="図1 Ding–Jiang v3 Figure 3再現。最大ギャップはp=0.5, beta=0で0.1035533906。"/>
            <wp:cNvGraphicFramePr>
              <a:graphicFrameLocks noChangeAspect="1"/>
            </wp:cNvGraphicFramePr>
            <a:graphic>
              <a:graphicData uri="http://schemas.openxmlformats.org/drawingml/2006/picture">
                <pic:pic>
                  <pic:nvPicPr>
                    <pic:cNvPr id="0" name="fig3_reproduction.png"/>
                    <pic:cNvPicPr/>
                  </pic:nvPicPr>
                  <pic:blipFill>
                    <a:blip r:embed="rId11"/>
                    <a:stretch>
                      <a:fillRect/>
                    </a:stretch>
                  </pic:blipFill>
                  <pic:spPr>
                    <a:xfrm>
                      <a:off x="0" y="0"/>
                      <a:ext cx="5532120" cy="4478383"/>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図1 Ding–Jiang v3 Figure 3再現。最大ギャップはp=0.5, beta=0で0.1035533906。</w:t>
      </w:r>
    </w:p>
    <w:p>
      <w:r>
        <w:rPr>
          <w:rFonts w:ascii="Noto Sans CJK JP" w:hAnsi="Noto Sans CJK JP" w:eastAsia="Noto Sans CJK JP"/>
        </w:rPr>
        <w:t>Figure 3の101×101格子では最大Δω=0.1035533906です。beta=0.5でギャップ0、beta対称性、独立な16決定論戦略列挙がすべて許容差内で一致します。</w:t>
      </w:r>
    </w:p>
    <w:tbl>
      <w:tblPr>
        <w:tblStyle w:val="TableGrid"/>
        <w:tblW w:type="dxa" w:w="9360"/>
        <w:jc w:val="center"/>
        <w:tblLayout w:type="fixed"/>
        <w:tblLook w:firstColumn="1" w:firstRow="1" w:lastColumn="0" w:lastRow="0" w:noHBand="0" w:noVBand="1" w:val="04A0"/>
        <w:tblInd w:w="120" w:type="dxa"/>
      </w:tblPr>
      <w:tblGrid>
        <w:gridCol w:w="2880"/>
        <w:gridCol w:w="3312"/>
        <w:gridCol w:w="3168"/>
      </w:tblGrid>
      <w:tr>
        <w:trPr>
          <w:tblHeader w:val="true"/>
          <w:cantSplit/>
        </w:trPr>
        <w:tc>
          <w:tcPr>
            <w:tcW w:type="dxa" w:w="288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Type II量</w:t>
            </w:r>
          </w:p>
        </w:tc>
        <w:tc>
          <w:tcPr>
            <w:tcW w:type="dxa" w:w="331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計算値</w:t>
            </w:r>
          </w:p>
        </w:tc>
        <w:tc>
          <w:tcPr>
            <w:tcW w:type="dxa" w:w="316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論文丸め値</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試行時間 t_a</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7"/>
              </w:rPr>
              <w:t>234.583333 us</w:t>
            </w:r>
          </w:p>
        </w:tc>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約230 us</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成功確率 p_s</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0.0248360496</w:t>
            </w:r>
          </w:p>
        </w:tc>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約0.0248</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メモリ当たり率</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7"/>
              </w:rPr>
              <w:t>105.873035 Hz</w:t>
            </w:r>
          </w:p>
        </w:tc>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約106 Hz</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100 Hzに必要なM</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7"/>
              </w:rPr>
              <w:t>1</w:t>
            </w:r>
          </w:p>
        </w:tc>
        <w:tc>
          <w:tcPr>
            <w:tcW w:type="dxa" w:w="3168"/>
            <w:vAlign w:val="center"/>
            <w:tcMar>
              <w:top w:w="80" w:type="dxa"/>
              <w:bottom w:w="80" w:type="dxa"/>
              <w:start w:w="120" w:type="dxa"/>
              <w:end w:w="120" w:type="dxa"/>
            </w:tcMar>
          </w:tcPr>
          <w:p>
            <w:pPr>
              <w:spacing w:after="0"/>
            </w:pPr>
            <w:r>
              <w:rPr>
                <w:rFonts w:ascii="Noto Sans CJK JP" w:hAnsi="Noto Sans CJK JP" w:eastAsia="Noto Sans CJK JP"/>
                <w:color w:val="203748"/>
                <w:sz w:val="17"/>
              </w:rPr>
              <w:t>1</w:t>
            </w:r>
          </w:p>
        </w:tc>
      </w:tr>
    </w:tbl>
    <w:p>
      <w:pPr>
        <w:spacing w:after="20"/>
      </w:pPr>
    </w:p>
    <w:p>
      <w:pPr>
        <w:pStyle w:val="Heading1"/>
        <w:keepNext/>
      </w:pPr>
      <w:r>
        <w:t>7. Li et al.再現手順</w:t>
      </w:r>
    </w:p>
    <w:p>
      <w:pPr>
        <w:keepLines/>
        <w:spacing w:before="60" w:after="140"/>
        <w:ind w:left="259" w:right="259"/>
        <w:shd w:fill="EFF3F6"/>
      </w:pPr>
      <w:r>
        <w:rPr>
          <w:rFonts w:ascii="Courier New" w:hAnsi="Courier New" w:eastAsia="Noto Sans CJK JP"/>
          <w:color w:val="203748"/>
          <w:sz w:val="17"/>
        </w:rPr>
        <w:t>PYTHONPATH=src python3 -m experiments.li2026.reproduce_fig2</w:t>
        <w:br/>
        <w:t>PYTHONPATH=src python3 -m experiments.li2026.reproduce_fig3</w:t>
        <w:br/>
        <w:t>PYTHONPATH=src python3 experiments/li2026/reproduce_table3_50km.py</w:t>
        <w:br/>
        <w:t>PYTHONPATH=src python3 -m experiments.li2026.reproduce_fig7b</w:t>
      </w:r>
    </w:p>
    <w:p>
      <w:pPr>
        <w:pStyle w:val="ListBullet"/>
      </w:pPr>
      <w:r>
        <w:rPr>
          <w:rFonts w:ascii="Noto Sans CJK JP" w:hAnsi="Noto Sans CJK JP" w:eastAsia="Noto Sans CJK JP"/>
        </w:rPr>
        <w:t>Figure 2: 独立Bernoulli入力、相関入力、対称/非対称効用、結合誤差と閾値。</w:t>
      </w:r>
    </w:p>
    <w:p>
      <w:pPr>
        <w:pStyle w:val="ListBullet"/>
      </w:pPr>
      <w:r>
        <w:rPr>
          <w:rFonts w:ascii="Noto Sans CJK JP" w:hAnsi="Noto Sans CJK JP" w:eastAsia="Noto Sans CJK JP"/>
        </w:rPr>
        <w:t>Figure 3: 厳密二項上側確率、最小n_req、T_envごとのR_req。</w:t>
      </w:r>
    </w:p>
    <w:p>
      <w:pPr>
        <w:pStyle w:val="ListBullet"/>
      </w:pPr>
      <w:r>
        <w:rPr>
          <w:rFonts w:ascii="Noto Sans CJK JP" w:hAnsi="Noto Sans CJK JP" w:eastAsia="Noto Sans CJK JP"/>
        </w:rPr>
        <w:t>Table III: 50 kmシステム値を下位パラメータから導出し、表示値との差も保持。</w:t>
      </w:r>
    </w:p>
    <w:p>
      <w:pPr>
        <w:pStyle w:val="ListBullet"/>
      </w:pPr>
      <w:r>
        <w:rPr>
          <w:rFonts w:ascii="Noto Sans CJK JP" w:hAnsi="Noto Sans CJK JP" w:eastAsia="Noto Sans CJK JP"/>
        </w:rPr>
        <w:t>Figure 7(b): 三者多数決パリティゲームとGHZ戦略の方程式レベル再現。</w:t>
      </w:r>
    </w:p>
    <w:p>
      <w:pPr>
        <w:keepLines/>
        <w:jc w:val="center"/>
      </w:pPr>
      <w:r>
        <w:drawing>
          <wp:inline xmlns:a="http://schemas.openxmlformats.org/drawingml/2006/main" xmlns:pic="http://schemas.openxmlformats.org/drawingml/2006/picture">
            <wp:extent cx="5532120" cy="1831054"/>
            <wp:docPr id="2" name="Picture 2" descr="Li Figure 2 generalized LCTC gap reproduction" title="図2 Li et al. Figure 2再現。入力相関、効用非対称、誤差がギャップへ与える影響。"/>
            <wp:cNvGraphicFramePr>
              <a:graphicFrameLocks noChangeAspect="1"/>
            </wp:cNvGraphicFramePr>
            <a:graphic>
              <a:graphicData uri="http://schemas.openxmlformats.org/drawingml/2006/picture">
                <pic:pic>
                  <pic:nvPicPr>
                    <pic:cNvPr id="0" name="fig2_reproduction.png"/>
                    <pic:cNvPicPr/>
                  </pic:nvPicPr>
                  <pic:blipFill>
                    <a:blip r:embed="rId12"/>
                    <a:stretch>
                      <a:fillRect/>
                    </a:stretch>
                  </pic:blipFill>
                  <pic:spPr>
                    <a:xfrm>
                      <a:off x="0" y="0"/>
                      <a:ext cx="5532120" cy="1831054"/>
                    </a:xfrm>
                    <a:prstGeom prst="rect"/>
                  </pic:spPr>
                </pic:pic>
              </a:graphicData>
            </a:graphic>
          </wp:inline>
        </w:drawing>
      </w:r>
    </w:p>
    <w:p>
      <w:pPr>
        <w:keepNext w:val="0"/>
        <w:spacing w:before="40" w:after="180"/>
        <w:jc w:val="center"/>
      </w:pPr>
      <w:r>
        <w:rPr>
          <w:rFonts w:ascii="Noto Sans CJK JP" w:hAnsi="Noto Sans CJK JP" w:eastAsia="Noto Sans CJK JP"/>
          <w:i/>
          <w:color w:val="666F78"/>
          <w:sz w:val="17"/>
        </w:rPr>
        <w:t>図2 Li et al. Figure 2再現。入力相関、効用非対称、誤差がギャップへ与える影響。</w:t>
      </w:r>
    </w:p>
    <w:p>
      <w:pPr>
        <w:pStyle w:val="Heading1"/>
        <w:keepNext/>
      </w:pPr>
      <w:r>
        <w:t>8. 運用上の量子優位判定</w:t>
      </w:r>
    </w:p>
    <w:p>
      <w:pPr>
        <w:pStyle w:val="Heading2"/>
        <w:keepNext/>
      </w:pPr>
      <w:r>
        <w:t>8.1 忠実度</w:t>
      </w:r>
    </w:p>
    <w:p>
      <w:r>
        <w:rPr>
          <w:rFonts w:ascii="Noto Sans CJK JP" w:hAnsi="Noto Sans CJK JP" w:eastAsia="Noto Sans CJK JP"/>
        </w:rPr>
        <w:t>厳密結合式 ε=1-(1-4ε_s/3)(1-2ε_meas)^2 を用います。メモリを使う場合はτ_occに応じて状態誤差を更新した後、ε&lt;ε_th=1-C/Qを判定します。</w:t>
      </w:r>
    </w:p>
    <w:p>
      <w:pPr>
        <w:pStyle w:val="Heading2"/>
        <w:keepNext/>
      </w:pPr>
      <w:r>
        <w:t>8.2 有限統計</w:t>
      </w:r>
    </w:p>
    <w:p>
      <w:r>
        <w:rPr>
          <w:rFonts w:ascii="Noto Sans CJK JP" w:hAnsi="Noto Sans CJK JP" w:eastAsia="Noto Sans CJK JP"/>
        </w:rPr>
        <w:t>勝敗効用には二項上側確率を用い、p&lt;alphaとなる最小整数n_reqを探索します。一般得点にはLi Eq. 20の保守的境界を対数空間で評価します。探索上限到達と数学的に有限解がない場合は区別されます。</w:t>
      </w:r>
    </w:p>
    <w:p>
      <w:pPr>
        <w:pStyle w:val="Heading2"/>
        <w:keepNext/>
      </w:pPr>
      <w:r>
        <w:t>8.3 判断遅延</w:t>
      </w:r>
    </w:p>
    <w:p>
      <w:r>
        <w:rPr>
          <w:rFonts w:ascii="Noto Sans CJK JP" w:hAnsi="Noto Sans CJK JP" w:eastAsia="Noto Sans CJK JP"/>
        </w:rPr>
        <w:t>τ_decは基底選択/回転時間と測定時間の和です。等号は不合格であり、τ_dec&lt;T_loc&lt;T_commをそれぞれ独立に確認します。</w:t>
      </w:r>
    </w:p>
    <w:tbl>
      <w:tblPr>
        <w:tblStyle w:val="TableGrid"/>
        <w:tblW w:type="dxa" w:w="9360"/>
        <w:jc w:val="center"/>
        <w:tblLayout w:type="fixed"/>
        <w:tblLook w:firstColumn="1" w:firstRow="1" w:lastColumn="0" w:lastRow="0" w:noHBand="0" w:noVBand="1" w:val="04A0"/>
        <w:tblInd w:w="120" w:type="dxa"/>
      </w:tblPr>
      <w:tblGrid>
        <w:gridCol w:w="3528"/>
        <w:gridCol w:w="3672"/>
        <w:gridCol w:w="2160"/>
      </w:tblGrid>
      <w:tr>
        <w:trPr>
          <w:tblHeader w:val="true"/>
          <w:cantSplit/>
        </w:trPr>
        <w:tc>
          <w:tcPr>
            <w:tcW w:type="dxa" w:w="3528"/>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50 km / T_env=10 ms</w:t>
            </w:r>
          </w:p>
        </w:tc>
        <w:tc>
          <w:tcPr>
            <w:tcW w:type="dxa" w:w="367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値</w:t>
            </w:r>
          </w:p>
        </w:tc>
        <w:tc>
          <w:tcPr>
            <w:tcW w:type="dxa" w:w="216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状態</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理論ギャップ</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0.103553391</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誤差後ギャップ</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0.081996272</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必要試行数</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65</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R_HEG / R_req</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 / 6500.0 s^-1</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τ_dec / T_loc</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0.970 / 10.0 us</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r>
        <w:trPr>
          <w:cantSplit/>
        </w:trPr>
        <w:tc>
          <w:tcPr>
            <w:tcW w:type="dxa" w:w="3528"/>
            <w:vAlign w:val="center"/>
            <w:tcMar>
              <w:top w:w="80" w:type="dxa"/>
              <w:bottom w:w="80" w:type="dxa"/>
              <w:start w:w="120" w:type="dxa"/>
              <w:end w:w="120" w:type="dxa"/>
            </w:tcMar>
          </w:tcPr>
          <w:p>
            <w:pPr>
              <w:spacing w:after="0"/>
            </w:pPr>
            <w:r>
              <w:rPr>
                <w:rFonts w:ascii="Noto Sans CJK JP" w:hAnsi="Noto Sans CJK JP" w:eastAsia="Noto Sans CJK JP"/>
                <w:color w:val="203748"/>
                <w:sz w:val="17"/>
              </w:rPr>
              <w:t>総合</w:t>
            </w:r>
          </w:p>
        </w:tc>
        <w:tc>
          <w:tcPr>
            <w:tcW w:type="dxa" w:w="3672"/>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c>
          <w:tcPr>
            <w:tcW w:type="dxa" w:w="2160"/>
            <w:vAlign w:val="center"/>
            <w:tcMar>
              <w:top w:w="80" w:type="dxa"/>
              <w:bottom w:w="80" w:type="dxa"/>
              <w:start w:w="120" w:type="dxa"/>
              <w:end w:w="120" w:type="dxa"/>
            </w:tcMar>
          </w:tcPr>
          <w:p>
            <w:pPr>
              <w:spacing w:after="0"/>
            </w:pPr>
            <w:r>
              <w:rPr>
                <w:rFonts w:ascii="Noto Sans CJK JP" w:hAnsi="Noto Sans CJK JP" w:eastAsia="Noto Sans CJK JP"/>
                <w:color w:val="203748"/>
                <w:sz w:val="17"/>
              </w:rPr>
              <w:t>PASS</w:t>
            </w:r>
          </w:p>
        </w:tc>
      </w:tr>
    </w:tbl>
    <w:p>
      <w:pPr>
        <w:spacing w:after="20"/>
      </w:pPr>
    </w:p>
    <w:p>
      <w:pPr>
        <w:pStyle w:val="Heading1"/>
        <w:keepNext/>
      </w:pPr>
      <w:r>
        <w:t>9. ハードウェア・M2イベント駆動モデル</w:t>
      </w:r>
    </w:p>
    <w:p>
      <w:r>
        <w:rPr>
          <w:rFonts w:ascii="Noto Sans CJK JP" w:hAnsi="Noto Sans CJK JP" w:eastAsia="Noto Sans CJK JP"/>
        </w:rPr>
        <w:t>M0はメモリなし、M1はDing–Jiang型の一般メモリ、M2はLiのイベント準備型時間多重化です。M2では試行周期、リンク待ち、局所判断、リセット、有限メモリ数、チャネル数、寿命、デコヒーレンスを別々に保持します。</w:t>
      </w:r>
    </w:p>
    <w:tbl>
      <w:tblPr>
        <w:tblStyle w:val="TableGrid"/>
        <w:tblW w:type="dxa" w:w="9360"/>
        <w:jc w:val="center"/>
        <w:tblLayout w:type="fixed"/>
        <w:tblLook w:firstColumn="1" w:firstRow="1" w:lastColumn="0" w:lastRow="0" w:noHBand="0" w:noVBand="1" w:val="04A0"/>
        <w:tblInd w:w="120" w:type="dxa"/>
      </w:tblPr>
      <w:tblGrid>
        <w:gridCol w:w="2880"/>
        <w:gridCol w:w="3240"/>
        <w:gridCol w:w="3240"/>
      </w:tblGrid>
      <w:tr>
        <w:trPr>
          <w:tblHeader w:val="true"/>
          <w:cantSplit/>
        </w:trPr>
        <w:tc>
          <w:tcPr>
            <w:tcW w:type="dxa" w:w="288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50 kmシステム量</w:t>
            </w:r>
          </w:p>
        </w:tc>
        <w:tc>
          <w:tcPr>
            <w:tcW w:type="dxa" w:w="324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導出値</w:t>
            </w:r>
          </w:p>
        </w:tc>
        <w:tc>
          <w:tcPr>
            <w:tcW w:type="dxa" w:w="3240"/>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7"/>
              </w:rPr>
              <w:t>注意</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τ_dec</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0.970 us</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100 ns + 870 ns</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τ_occ</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242.550 us</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表示244 usとの差を記録</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p_ent</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0.00762048</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Eq. 56から導出</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R_HEG</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7854.545 s^-1</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最終値は非ハードコード</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メモリ調整後ε</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0.060972738</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τ_mem=7.9 s</w:t>
            </w:r>
          </w:p>
        </w:tc>
      </w:tr>
      <w:tr>
        <w:trPr>
          <w:cantSplit/>
        </w:trPr>
        <w:tc>
          <w:tcPr>
            <w:tcW w:type="dxa" w:w="2880"/>
            <w:vAlign w:val="center"/>
            <w:tcMar>
              <w:top w:w="80" w:type="dxa"/>
              <w:bottom w:w="80" w:type="dxa"/>
              <w:start w:w="120" w:type="dxa"/>
              <w:end w:w="120" w:type="dxa"/>
            </w:tcMar>
          </w:tcPr>
          <w:p>
            <w:pPr>
              <w:spacing w:after="0"/>
            </w:pPr>
            <w:r>
              <w:rPr>
                <w:rFonts w:ascii="Noto Sans CJK JP" w:hAnsi="Noto Sans CJK JP" w:eastAsia="Noto Sans CJK JP"/>
                <w:color w:val="203748"/>
                <w:sz w:val="17"/>
              </w:rPr>
              <w:t>必要メモリ深さ</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419</w:t>
            </w:r>
          </w:p>
        </w:tc>
        <w:tc>
          <w:tcPr>
            <w:tcW w:type="dxa" w:w="3240"/>
            <w:vAlign w:val="center"/>
            <w:tcMar>
              <w:top w:w="80" w:type="dxa"/>
              <w:bottom w:w="80" w:type="dxa"/>
              <w:start w:w="120" w:type="dxa"/>
              <w:end w:w="120" w:type="dxa"/>
            </w:tcMar>
          </w:tcPr>
          <w:p>
            <w:pPr>
              <w:spacing w:after="0"/>
            </w:pPr>
            <w:r>
              <w:rPr>
                <w:rFonts w:ascii="Noto Sans CJK JP" w:hAnsi="Noto Sans CJK JP" w:eastAsia="Noto Sans CJK JP"/>
                <w:color w:val="203748"/>
                <w:sz w:val="17"/>
              </w:rPr>
              <w:t>250個ではメモリ制限</w:t>
            </w:r>
          </w:p>
        </w:tc>
      </w:tr>
    </w:tbl>
    <w:p>
      <w:pPr>
        <w:spacing w:after="20"/>
      </w:pPr>
    </w:p>
    <w:p>
      <w:pPr>
        <w:keepLines/>
        <w:spacing w:before="60" w:after="140"/>
        <w:ind w:left="259" w:right="259"/>
        <w:shd w:fill="EFF3F6"/>
      </w:pPr>
      <w:r>
        <w:rPr>
          <w:rFonts w:ascii="Courier New" w:hAnsi="Courier New" w:eastAsia="Noto Sans CJK JP"/>
          <w:color w:val="203748"/>
          <w:sz w:val="17"/>
        </w:rPr>
        <w:t>PYTHONPATH=src python3 experiments/li2026/cross_validate_m2_event_simulation.py</w:t>
      </w:r>
    </w:p>
    <w:p>
      <w:r>
        <w:rPr>
          <w:rFonts w:ascii="Noto Sans CJK JP" w:hAnsi="Noto Sans CJK JP" w:eastAsia="Noto Sans CJK JP"/>
        </w:rPr>
        <w:t>イベント駆動結果では、256 seed、26,368,000試行の平均Bell対生成率7863.867 s^-1、標準偏差301.451 s^-1、95%信頼区間[7826.764, 7900.970] s^-1となり、解析値7854.545 s^-1と整合しました。</w:t>
      </w:r>
    </w:p>
    <w:p>
      <w:pPr>
        <w:pStyle w:val="Heading1"/>
        <w:keepNext/>
      </w:pPr>
      <w:r>
        <w:t>10. 結果の読み方</w:t>
      </w:r>
    </w:p>
    <w:p>
      <w:pPr>
        <w:pStyle w:val="Heading2"/>
        <w:keepNext/>
      </w:pPr>
      <w:r>
        <w:t>10.1 JSONサマリー</w:t>
      </w:r>
    </w:p>
    <w:p>
      <w:pPr>
        <w:pStyle w:val="ListBullet"/>
      </w:pPr>
      <w:r>
        <w:rPr>
          <w:rFonts w:ascii="Noto Sans CJK JP" w:hAnsi="Noto Sans CJK JP" w:eastAsia="Noto Sans CJK JP"/>
        </w:rPr>
        <w:t>overall_statusは計算・内部検証ゲートの結果。</w:t>
      </w:r>
    </w:p>
    <w:p>
      <w:pPr>
        <w:pStyle w:val="ListBullet"/>
      </w:pPr>
      <w:r>
        <w:rPr>
          <w:rFonts w:ascii="Noto Sans CJK JP" w:hAnsi="Noto Sans CJK JP" w:eastAsia="Noto Sans CJK JP"/>
        </w:rPr>
        <w:t>paper_reproduction_statusは論文そのものに対するPASS/PARTIAL等。両者を混同しない。</w:t>
      </w:r>
    </w:p>
    <w:p>
      <w:pPr>
        <w:pStyle w:val="ListBullet"/>
      </w:pPr>
      <w:r>
        <w:rPr>
          <w:rFonts w:ascii="Noto Sans CJK JP" w:hAnsi="Noto Sans CJK JP" w:eastAsia="Noto Sans CJK JP"/>
        </w:rPr>
        <w:t>reference/versionで論文版を確認する。</w:t>
      </w:r>
    </w:p>
    <w:p>
      <w:pPr>
        <w:pStyle w:val="ListBullet"/>
      </w:pPr>
      <w:r>
        <w:rPr>
          <w:rFonts w:ascii="Noto Sans CJK JP" w:hAnsi="Noto Sans CJK JP" w:eastAsia="Noto Sans CJK JP"/>
        </w:rPr>
        <w:t>validationsにはactual、expected、誤差、許容差、provenanceを記録する。</w:t>
      </w:r>
    </w:p>
    <w:p>
      <w:pPr>
        <w:pStyle w:val="ListBullet"/>
      </w:pPr>
      <w:r>
        <w:rPr>
          <w:rFonts w:ascii="Noto Sans CJK JP" w:hAnsi="Noto Sans CJK JP" w:eastAsia="Noto Sans CJK JP"/>
        </w:rPr>
        <w:t>documented_discrepanciesは調整せず、そのまま研究上の差異として扱う。</w:t>
      </w:r>
    </w:p>
    <w:p>
      <w:pPr>
        <w:pStyle w:val="Heading2"/>
        <w:keepNext/>
      </w:pPr>
      <w:r>
        <w:t>10.2 CSVとPNG</w:t>
      </w:r>
    </w:p>
    <w:p>
      <w:r>
        <w:rPr>
          <w:rFonts w:ascii="Noto Sans CJK JP" w:hAnsi="Noto Sans CJK JP" w:eastAsia="Noto Sans CJK JP"/>
        </w:rPr>
        <w:t>CSVは図の再描画・二次解析用であり、PNGは視覚比較用です。図だけをオラクルにせず、可能な限り式、列挙、公開数値を優先してください。Monte Carloではseed、標本数、平均、標準偏差、信頼区間を必ず併記します。</w:t>
      </w:r>
    </w:p>
    <w:p>
      <w:pPr>
        <w:pStyle w:val="Heading1"/>
        <w:keepNext/>
      </w:pPr>
      <w:r>
        <w:t>11. 検証・回帰・拡張</w:t>
      </w:r>
    </w:p>
    <w:p>
      <w:pPr>
        <w:pStyle w:val="Heading2"/>
        <w:keepNext/>
      </w:pPr>
      <w:r>
        <w:t>11.1 最終検証</w:t>
      </w:r>
    </w:p>
    <w:p>
      <w:pPr>
        <w:keepLines/>
        <w:spacing w:before="60" w:after="140"/>
        <w:ind w:left="259" w:right="259"/>
        <w:shd w:fill="EFF3F6"/>
      </w:pPr>
      <w:r>
        <w:rPr>
          <w:rFonts w:ascii="Courier New" w:hAnsi="Courier New" w:eastAsia="Noto Sans CJK JP"/>
          <w:color w:val="203748"/>
          <w:sz w:val="17"/>
        </w:rPr>
        <w:t>python3 experiments/final_validation/run_phase15.py</w:t>
        <w:br/>
        <w:t>python3 -m pytest tests/scientific/test_phase15_final_validation_artifacts.py -q</w:t>
      </w:r>
    </w:p>
    <w:p>
      <w:r>
        <w:rPr>
          <w:rFonts w:ascii="Noto Sans CJK JP" w:hAnsi="Noto Sans CJK JP" w:eastAsia="Noto Sans CJK JP"/>
        </w:rPr>
        <w:t>ランナーは全再生成を一時ディレクトリで行い、コミット済み成果物をオラクルとして比較します。結果ディレクトリが実行前後で同一ハッシュであることも確認します。</w:t>
      </w:r>
    </w:p>
    <w:p>
      <w:pPr>
        <w:pStyle w:val="Heading2"/>
        <w:keepNext/>
      </w:pPr>
      <w:r>
        <w:t>11.2 新規モデル追加の最低条件</w:t>
      </w:r>
    </w:p>
    <w:p>
      <w:pPr>
        <w:pStyle w:val="ListBullet"/>
      </w:pPr>
      <w:r>
        <w:rPr>
          <w:rFonts w:ascii="Noto Sans CJK JP" w:hAnsi="Noto Sans CJK JP" w:eastAsia="Noto Sans CJK JP"/>
        </w:rPr>
        <w:t>既存の層境界と設定駆動方式を維持する。</w:t>
      </w:r>
    </w:p>
    <w:p>
      <w:pPr>
        <w:pStyle w:val="ListBullet"/>
      </w:pPr>
      <w:r>
        <w:rPr>
          <w:rFonts w:ascii="Noto Sans CJK JP" w:hAnsi="Noto Sans CJK JP" w:eastAsia="Noto Sans CJK JP"/>
        </w:rPr>
        <w:t>古典基準を決定論戦略列挙など独立経路で確認する。</w:t>
      </w:r>
    </w:p>
    <w:p>
      <w:pPr>
        <w:pStyle w:val="ListBullet"/>
      </w:pPr>
      <w:r>
        <w:rPr>
          <w:rFonts w:ascii="Noto Sans CJK JP" w:hAnsi="Noto Sans CJK JP" w:eastAsia="Noto Sans CJK JP"/>
        </w:rPr>
        <w:t>解析モデルを先に実装し、イベント駆動モデルと比較する。</w:t>
      </w:r>
    </w:p>
    <w:p>
      <w:pPr>
        <w:pStyle w:val="ListBullet"/>
      </w:pPr>
      <w:r>
        <w:rPr>
          <w:rFonts w:ascii="Noto Sans CJK JP" w:hAnsi="Noto Sans CJK JP" w:eastAsia="Noto Sans CJK JP"/>
        </w:rPr>
        <w:t>Ding–Jiang回帰を毎回実行し、値が変化した場合は原因分類を記録する。</w:t>
      </w:r>
    </w:p>
    <w:p>
      <w:pPr>
        <w:pStyle w:val="ListBullet"/>
      </w:pPr>
      <w:r>
        <w:rPr>
          <w:rFonts w:ascii="Noto Sans CJK JP" w:hAnsi="Noto Sans CJK JP" w:eastAsia="Noto Sans CJK JP"/>
        </w:rPr>
        <w:t>新しい論文版は既存版の結果を上書きせず、別設定・別成果物として保存する。</w:t>
      </w:r>
    </w:p>
    <w:p>
      <w:pPr>
        <w:pStyle w:val="Heading1"/>
        <w:keepNext/>
      </w:pPr>
      <w:r>
        <w:t>12. トラブルシューティング</w:t>
      </w:r>
    </w:p>
    <w:tbl>
      <w:tblPr>
        <w:tblStyle w:val="TableGrid"/>
        <w:tblW w:type="dxa" w:w="9360"/>
        <w:jc w:val="center"/>
        <w:tblLayout w:type="fixed"/>
        <w:tblLook w:firstColumn="1" w:firstRow="1" w:lastColumn="0" w:lastRow="0" w:noHBand="0" w:noVBand="1" w:val="04A0"/>
        <w:tblInd w:w="120" w:type="dxa"/>
      </w:tblPr>
      <w:tblGrid>
        <w:gridCol w:w="1872"/>
        <w:gridCol w:w="3312"/>
        <w:gridCol w:w="4176"/>
      </w:tblGrid>
      <w:tr>
        <w:trPr>
          <w:tblHeader w:val="true"/>
          <w:cantSplit/>
        </w:trPr>
        <w:tc>
          <w:tcPr>
            <w:tcW w:type="dxa" w:w="187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6"/>
              </w:rPr>
              <w:t>症状</w:t>
            </w:r>
          </w:p>
        </w:tc>
        <w:tc>
          <w:tcPr>
            <w:tcW w:type="dxa" w:w="3312"/>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6"/>
              </w:rPr>
              <w:t>確認事項</w:t>
            </w:r>
          </w:p>
        </w:tc>
        <w:tc>
          <w:tcPr>
            <w:tcW w:type="dxa" w:w="4176"/>
            <w:shd w:fill="E8EEF5"/>
            <w:vAlign w:val="center"/>
            <w:tcMar>
              <w:top w:w="80" w:type="dxa"/>
              <w:bottom w:w="80" w:type="dxa"/>
              <w:start w:w="120" w:type="dxa"/>
              <w:end w:w="120" w:type="dxa"/>
            </w:tcMar>
          </w:tcPr>
          <w:p>
            <w:pPr>
              <w:spacing w:after="0"/>
            </w:pPr>
            <w:r>
              <w:rPr>
                <w:rFonts w:ascii="Noto Sans CJK JP" w:hAnsi="Noto Sans CJK JP" w:eastAsia="Noto Sans CJK JP"/>
                <w:b/>
                <w:color w:val="203748"/>
                <w:sz w:val="16"/>
              </w:rPr>
              <w:t>対応</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import失敗</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実行場所、PYTHONPATH、editable install</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リポジトリルートでpip install -eを実行</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CVXPY solver差</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solver/version、許容差、bracket</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解析上下界を確認し、期待値を安易に更新しない</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n_req未決定</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ε&gt;=ε_thか探索上限か</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no-finite-solutionとsearch-limitを区別</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rateだけFAIL</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T_env、N_channels、p_ent</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R_reqとR_HEGを別々に出力して律速を特定</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decisionだけFAIL</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τ_rot、τ_meas、T_loc</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通信時間ではなく局所判断時間を改善</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Table III表示差</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式入力と丸め順</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documented_discrepanciesを参照し、隠れ調整しない</w:t>
            </w:r>
          </w:p>
        </w:tc>
      </w:tr>
      <w:tr>
        <w:trPr>
          <w:cantSplit/>
        </w:trPr>
        <w:tc>
          <w:tcPr>
            <w:tcW w:type="dxa" w:w="1872"/>
            <w:vAlign w:val="center"/>
            <w:tcMar>
              <w:top w:w="80" w:type="dxa"/>
              <w:bottom w:w="80" w:type="dxa"/>
              <w:start w:w="120" w:type="dxa"/>
              <w:end w:w="120" w:type="dxa"/>
            </w:tcMar>
          </w:tcPr>
          <w:p>
            <w:pPr>
              <w:spacing w:after="0"/>
            </w:pPr>
            <w:r>
              <w:rPr>
                <w:rFonts w:ascii="Noto Sans CJK JP" w:hAnsi="Noto Sans CJK JP" w:eastAsia="Noto Sans CJK JP"/>
                <w:color w:val="203748"/>
                <w:sz w:val="16"/>
              </w:rPr>
              <w:t>Monte Carlo差</w:t>
            </w:r>
          </w:p>
        </w:tc>
        <w:tc>
          <w:tcPr>
            <w:tcW w:type="dxa" w:w="3312"/>
            <w:vAlign w:val="center"/>
            <w:tcMar>
              <w:top w:w="80" w:type="dxa"/>
              <w:bottom w:w="80" w:type="dxa"/>
              <w:start w:w="120" w:type="dxa"/>
              <w:end w:w="120" w:type="dxa"/>
            </w:tcMar>
          </w:tcPr>
          <w:p>
            <w:pPr>
              <w:spacing w:after="0"/>
            </w:pPr>
            <w:r>
              <w:rPr>
                <w:rFonts w:ascii="Noto Sans CJK JP" w:hAnsi="Noto Sans CJK JP" w:eastAsia="Noto Sans CJK JP"/>
                <w:color w:val="203748"/>
                <w:sz w:val="16"/>
              </w:rPr>
              <w:t>seed、試行数、CI、z値</w:t>
            </w:r>
          </w:p>
        </w:tc>
        <w:tc>
          <w:tcPr>
            <w:tcW w:type="dxa" w:w="4176"/>
            <w:vAlign w:val="center"/>
            <w:tcMar>
              <w:top w:w="80" w:type="dxa"/>
              <w:bottom w:w="80" w:type="dxa"/>
              <w:start w:w="120" w:type="dxa"/>
              <w:end w:w="120" w:type="dxa"/>
            </w:tcMar>
          </w:tcPr>
          <w:p>
            <w:pPr>
              <w:spacing w:after="0"/>
            </w:pPr>
            <w:r>
              <w:rPr>
                <w:rFonts w:ascii="Noto Sans CJK JP" w:hAnsi="Noto Sans CJK JP" w:eastAsia="Noto Sans CJK JP"/>
                <w:color w:val="203748"/>
                <w:sz w:val="16"/>
              </w:rPr>
              <w:t>CIと解析値の両方で判定</w:t>
            </w:r>
          </w:p>
        </w:tc>
      </w:tr>
    </w:tbl>
    <w:p>
      <w:pPr>
        <w:spacing w:after="20"/>
      </w:pPr>
    </w:p>
    <w:p>
      <w:pPr>
        <w:pStyle w:val="Heading1"/>
        <w:keepNext/>
      </w:pPr>
      <w:r>
        <w:t>付録A. 主要コマンド一覧</w:t>
      </w:r>
    </w:p>
    <w:p>
      <w:pPr>
        <w:keepLines/>
        <w:spacing w:before="60" w:after="140"/>
        <w:ind w:left="259" w:right="259"/>
        <w:shd w:fill="EFF3F6"/>
      </w:pPr>
      <w:r>
        <w:rPr>
          <w:rFonts w:ascii="Courier New" w:hAnsi="Courier New" w:eastAsia="Noto Sans CJK JP"/>
          <w:color w:val="203748"/>
          <w:sz w:val="17"/>
        </w:rPr>
        <w:t>python3 -m pytest</w:t>
        <w:br/>
        <w:t>PYTHONPATH=src python3 experiments/ding_jiang/reproduce_fig5_cross_sections.py</w:t>
        <w:br/>
        <w:t>PYTHONPATH=src python3 -m experiments.li2026.analyze_hft_waterfall</w:t>
        <w:br/>
        <w:t>PYTHONPATH=src python3 -m experiments.li2026.optimize_hardware_resources</w:t>
        <w:br/>
        <w:t>python3 experiments/performance/benchmark_phase14.py</w:t>
        <w:br/>
        <w:t>python3 experiments/final_validation/run_phase15.py</w:t>
      </w:r>
    </w:p>
    <w:p>
      <w:pPr>
        <w:pStyle w:val="Heading1"/>
        <w:keepNext/>
      </w:pPr>
      <w:r>
        <w:t>付録B. 科学的制約</w:t>
      </w:r>
    </w:p>
    <w:p>
      <w:pPr>
        <w:pStyle w:val="ListBullet"/>
      </w:pPr>
      <w:r>
        <w:rPr>
          <w:rFonts w:ascii="Noto Sans CJK JP" w:hAnsi="Noto Sans CJK JP" w:eastAsia="Noto Sans CJK JP"/>
        </w:rPr>
        <w:t>一般の非二値ゲームに対する汎用量子最適化器は未実装。</w:t>
      </w:r>
    </w:p>
    <w:p>
      <w:pPr>
        <w:pStyle w:val="ListBullet"/>
      </w:pPr>
      <w:r>
        <w:rPr>
          <w:rFonts w:ascii="Noto Sans CJK JP" w:hAnsi="Noto Sans CJK JP" w:eastAsia="Noto Sans CJK JP"/>
        </w:rPr>
        <w:t>Figure 5の全面101×101明示戦略探索は最終ゲートで再実行せず、検証済み断面を再利用。</w:t>
      </w:r>
    </w:p>
    <w:p>
      <w:pPr>
        <w:pStyle w:val="ListBullet"/>
      </w:pPr>
      <w:r>
        <w:rPr>
          <w:rFonts w:ascii="Noto Sans CJK JP" w:hAnsi="Noto Sans CJK JP" w:eastAsia="Noto Sans CJK JP"/>
        </w:rPr>
        <w:t>Li Figure 2/3/7(b)は著者点データがないため方程式・形状レベルのPARTIAL。</w:t>
      </w:r>
    </w:p>
    <w:p>
      <w:pPr>
        <w:pStyle w:val="ListBullet"/>
      </w:pPr>
      <w:r>
        <w:rPr>
          <w:rFonts w:ascii="Noto Sans CJK JP" w:hAnsi="Noto Sans CJK JP" w:eastAsia="Noto Sans CJK JP"/>
        </w:rPr>
        <w:t>微視的TPI、測定、CAPSモデルは必要データ不足のためINSUFFICIENT_INFORMATION。</w:t>
      </w:r>
    </w:p>
    <w:p>
      <w:pPr>
        <w:pStyle w:val="ListBullet"/>
      </w:pPr>
      <w:r>
        <w:rPr>
          <w:rFonts w:ascii="Noto Sans CJK JP" w:hAnsi="Noto Sans CJK JP" w:eastAsia="Noto Sans CJK JP"/>
        </w:rPr>
        <w:t>ハードウェア最適化は設定済み有限格子上でのみ厳密で、連続大域最適性を主張しない。</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Noto Sans CJK JP" w:hAnsi="Noto Sans CJK JP" w:eastAsia="Noto Sans CJK JP"/>
        <w:color w:val="666F78"/>
        <w:sz w:val="17"/>
      </w:rPr>
      <w:t xml:space="preserve">Quantum Network Simulator R&amp;D Project | </w:t>
    </w:r>
    <w:r>
      <w:rPr>
        <w:rFonts w:ascii="Noto Sans CJK JP" w:hAnsi="Noto Sans CJK JP" w:eastAsia="Noto Sans CJK JP"/>
        <w:color w:val="666F78"/>
        <w:sz w:val="17"/>
      </w:rPr>
      <w:fldChar w:fldCharType="begin"/>
      <w:instrText xml:space="preserve">PAGE</w:instrText>
      <w:fldChar w:fldCharType="separate"/>
      <w:t>1</w:t>
      <w:fldChar w:fldCharType="end"/>
    </w:r>
    <w:r>
      <w:rPr>
        <w:rFonts w:ascii="Noto Sans CJK JP" w:hAnsi="Noto Sans CJK JP" w:eastAsia="Noto Sans CJK JP"/>
        <w:color w:val="666F78"/>
        <w:sz w:val="17"/>
      </w:rPr>
      <w:t xml:space="preserve"> / </w:t>
    </w:r>
    <w:r>
      <w:rPr>
        <w:rFonts w:ascii="Noto Sans CJK JP" w:hAnsi="Noto Sans CJK JP" w:eastAsia="Noto Sans CJK JP"/>
        <w:color w:val="666F7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88" w:val="left"/>
      </w:tabs>
      <w:spacing w:after="0"/>
      <w:jc w:val="left"/>
      <w:pBdr>
        <w:bottom w:val="single" w:sz="4" w:space="3" w:color="B7C9D6"/>
      </w:pBdr>
    </w:pPr>
    <w:r>
      <w:rPr>
        <w:rFonts w:ascii="Noto Sans CJK JP" w:hAnsi="Noto Sans CJK JP" w:eastAsia="Noto Sans CJK JP"/>
        <w:b/>
        <w:color w:val="666F78"/>
        <w:sz w:val="17"/>
      </w:rPr>
      <w:t>量子テレパシー・シミュレータ 操作マニュアル</w:t>
    </w:r>
    <w:r>
      <w:rPr>
        <w:rFonts w:ascii="Noto Sans CJK JP" w:hAnsi="Noto Sans CJK JP" w:eastAsia="Noto Sans CJK JP"/>
        <w:color w:val="666F78"/>
        <w:sz w:val="17"/>
      </w:rPr>
      <w:tab/>
      <w:t>Version 1.0 | 2026-09-03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ja-JP"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Noto Sans CJK JP" w:hAnsi="Noto Sans CJK JP" w:eastAsia="Noto Sans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JP" w:hAnsi="Noto Sans CJK JP" w:eastAsia="Noto Sans CJK JP"/>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JP" w:hAnsi="Noto Sans CJK JP" w:eastAsia="Noto Sans CJK JP"/>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JP" w:hAnsi="Noto Sans CJK JP" w:eastAsia="Noto Sans CJK JP"/>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oto Sans CJK JP" w:hAnsi="Noto Sans CJK JP" w:eastAsia="Noto Sans CJK JP"/>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oto Sans CJK JP" w:hAnsi="Noto Sans CJK JP" w:eastAsia="Noto Sans CJK JP"/>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量子テレパシー・シミュレータ 操作マニュアル</dc:title>
  <dc:subject>Ding-Jiang v3 / Li et al. v1 reproduction simulator manual</dc:subject>
  <dc:creator>Quantum Network Simulator R&amp;D Project</dc:creator>
  <cp:keywords>LCTC, CHSH, HFT, quantum network, Ding-Jiang, Li et al.</cp:keywords>
  <dc:description>Generated from Phase 15 validated artifacts.</dc:description>
  <cp:lastModifiedBy/>
  <cp:revision>1</cp:revision>
  <dcterms:created xsi:type="dcterms:W3CDTF">2013-12-23T23:15:00Z</dcterms:created>
  <dcterms:modified xsi:type="dcterms:W3CDTF">2013-12-23T23:15:00Z</dcterms:modified>
  <cp:category/>
</cp:coreProperties>
</file>