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 w:rsidTr="00421D42">
        <w:trPr>
          <w:trHeight w:val="1101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A5181" w14:textId="3A06D4B1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421D42">
              <w:rPr>
                <w:rFonts w:ascii="Times New Roman" w:eastAsia="Times New Roman" w:hAnsi="Times New Roman" w:cs="Times New Roman"/>
                <w:b/>
              </w:rPr>
              <w:t>4</w:t>
            </w:r>
            <w:r w:rsidR="001335DB">
              <w:rPr>
                <w:rFonts w:ascii="Times New Roman" w:eastAsia="Times New Roman" w:hAnsi="Times New Roman" w:cs="Times New Roman"/>
                <w:b/>
              </w:rPr>
              <w:t>0667</w:t>
            </w:r>
          </w:p>
          <w:p w14:paraId="35758EE4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0B49704" w14:textId="77777777" w:rsidTr="002A4EF2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62250787" w:rsidR="00EE598D" w:rsidRDefault="00EE598D">
            <w:pPr>
              <w:spacing w:after="27" w:line="259" w:lineRule="auto"/>
              <w:ind w:left="238" w:right="0" w:firstLine="0"/>
              <w:jc w:val="left"/>
            </w:pPr>
          </w:p>
          <w:p w14:paraId="1711C2D2" w14:textId="3062FF77" w:rsidR="00EE598D" w:rsidRPr="00CD2EE0" w:rsidRDefault="00065DFB">
            <w:pPr>
              <w:spacing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D2EE0">
              <w:rPr>
                <w:rFonts w:ascii="Times New Roman" w:eastAsia="Times New Roman" w:hAnsi="Times New Roman" w:cs="Times New Roman"/>
                <w:szCs w:val="24"/>
              </w:rPr>
              <w:t>Travel Insurance Prediction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 w:rsidTr="002A4EF2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1335DB"/>
    <w:rsid w:val="002A4EF2"/>
    <w:rsid w:val="00421D42"/>
    <w:rsid w:val="006B17DB"/>
    <w:rsid w:val="00890FE9"/>
    <w:rsid w:val="00C01B82"/>
    <w:rsid w:val="00CD2EE0"/>
    <w:rsid w:val="00D8308D"/>
    <w:rsid w:val="00E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eega samatha</cp:lastModifiedBy>
  <cp:revision>6</cp:revision>
  <dcterms:created xsi:type="dcterms:W3CDTF">2024-07-13T15:48:00Z</dcterms:created>
  <dcterms:modified xsi:type="dcterms:W3CDTF">2024-08-02T08:37:00Z</dcterms:modified>
</cp:coreProperties>
</file>