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4"/>
        </w:rPr>
        <w:t>EXPLAINABLE DEEP LEARNING FOR POST-COVID LUNG FIBROSIS SCREENING USING CHEST X-RAYS</w:t>
      </w:r>
    </w:p>
    <w:p>
      <w:pPr>
        <w:spacing w:after="720"/>
        <w:jc w:val="center"/>
      </w:pPr>
      <w:r>
        <w:rPr>
          <w:b/>
          <w:color w:val="555555"/>
          <w:sz w:val="32"/>
        </w:rPr>
        <w:t>PROJECT REPORT</w:t>
      </w:r>
    </w:p>
    <w:p>
      <w:pPr>
        <w:spacing w:after="480" w:line="312" w:lineRule="auto"/>
        <w:jc w:val="center"/>
      </w:pPr>
      <w:r>
        <w:rPr>
          <w:b/>
        </w:rPr>
        <w:t>Submitted by</w:t>
        <w:br/>
      </w:r>
      <w:r>
        <w:rPr>
          <w:sz w:val="26"/>
        </w:rPr>
        <w:t>Shaik Thaslim</w:t>
        <w:br/>
      </w:r>
      <w:r>
        <w:rPr>
          <w:sz w:val="22"/>
        </w:rPr>
        <w:t>AV.SC.U4AIE23138</w:t>
        <w:br/>
        <w:br/>
      </w:r>
      <w:r>
        <w:rPr>
          <w:b/>
        </w:rPr>
        <w:t>Department of Computer Science and Engineering – Artificial Intelligence</w:t>
        <w:br/>
      </w:r>
      <w:r>
        <w:rPr>
          <w:sz w:val="24"/>
        </w:rPr>
        <w:t>Amrita Vishwa Vidyapeetham – Amaravati</w:t>
        <w:br/>
        <w:br/>
      </w:r>
      <w:r>
        <w:rPr>
          <w:b/>
        </w:rPr>
        <w:t>Under the Guidance of</w:t>
        <w:br/>
      </w:r>
      <w:r>
        <w:rPr>
          <w:sz w:val="26"/>
        </w:rPr>
        <w:t>Dr. Satya Rajendra Singh</w:t>
        <w:br/>
        <w:br/>
      </w:r>
      <w:r>
        <w:rPr>
          <w:b/>
        </w:rPr>
        <w:t>Academic Year: 2026</w:t>
      </w:r>
    </w:p>
    <w:p>
      <w:pPr>
        <w:pageBreakBefore/>
        <w:spacing w:before="360" w:after="160"/>
      </w:pPr>
      <w:r>
        <w:rPr>
          <w:rFonts w:ascii="Calibri" w:hAnsi="Calibri"/>
          <w:b/>
          <w:color w:val="003366"/>
          <w:sz w:val="36"/>
        </w:rPr>
        <w:t>CERTIFICATE</w:t>
      </w:r>
    </w:p>
    <w:p>
      <w:pPr>
        <w:spacing w:after="120" w:line="276" w:lineRule="auto"/>
      </w:pPr>
      <w:r>
        <w:rPr>
          <w:i w:val="0"/>
        </w:rPr>
        <w:t>This is to certify that the project entitled “Explainable Deep Learning for Post-COVID Lung Fibrosis Screening Using Chest X-rays” has been carried out by Shaik Thaslim (AV.SC.U4AIE23138), Department of Computer Science and Engineering – Artificial Intelligence, Amrita Vishwa Vidyapeetham – Amaravati, under the guidance of Dr. Satya Rajendra Singh.</w:t>
      </w:r>
    </w:p>
    <w:p>
      <w:pPr>
        <w:spacing w:after="120" w:line="276" w:lineRule="auto"/>
      </w:pPr>
      <w:r>
        <w:rPr>
          <w:i w:val="0"/>
        </w:rPr>
        <w:t>The project presents the design and implementation of an explainable deep-learning framework for screening fibrosis-related patterns from chest X-ray images. The work includes dataset preparation, deep-learning model development, transfer learning, fine-tuning, performance evaluation, Grad-CAM-based explainability, and Streamlit deployment.</w:t>
      </w:r>
    </w:p>
    <w:p>
      <w:pPr>
        <w:spacing w:after="120" w:line="276" w:lineRule="auto"/>
      </w:pPr>
      <w:r>
        <w:rPr>
          <w:i w:val="0"/>
        </w:rPr>
        <w:t>The work documented in this report is submitted in partial fulfillment of the academic requirements of the program.</w:t>
      </w:r>
    </w:p>
    <w:p>
      <w:pPr>
        <w:pageBreakBefore/>
        <w:spacing w:before="360" w:after="160"/>
      </w:pPr>
      <w:r>
        <w:rPr>
          <w:rFonts w:ascii="Calibri" w:hAnsi="Calibri"/>
          <w:b/>
          <w:color w:val="003366"/>
          <w:sz w:val="36"/>
        </w:rPr>
        <w:t>DECLARATION</w:t>
      </w:r>
    </w:p>
    <w:p>
      <w:pPr>
        <w:spacing w:after="120" w:line="276" w:lineRule="auto"/>
      </w:pPr>
      <w:r>
        <w:rPr>
          <w:i w:val="0"/>
        </w:rPr>
        <w:t>I hereby declare that the project entitled “Explainable Deep Learning for Post-COVID Lung Fibrosis Screening Using Chest X-rays” is my academic project work carried out as part of the requirements of the Department of Computer Science and Engineering – Artificial Intelligence, Amrita Vishwa Vidyapeetham – Amaravati.</w:t>
      </w:r>
    </w:p>
    <w:p>
      <w:pPr>
        <w:spacing w:after="120" w:line="276" w:lineRule="auto"/>
      </w:pPr>
      <w:r>
        <w:rPr>
          <w:i w:val="0"/>
        </w:rPr>
        <w:t>The implementation, experiments, evaluation results, model architecture, explainability workflow, and deployment details presented in this report are based on the supplied project implementation and documentation. Wherever exact experimental information was not available in the project artifacts, no unsupported numerical result has been introduced.</w:t>
      </w:r>
    </w:p>
    <w:p>
      <w:pPr>
        <w:pageBreakBefore/>
        <w:spacing w:before="360" w:after="160"/>
      </w:pPr>
      <w:r>
        <w:rPr>
          <w:rFonts w:ascii="Calibri" w:hAnsi="Calibri"/>
          <w:b/>
          <w:color w:val="003366"/>
          <w:sz w:val="36"/>
        </w:rPr>
        <w:t>ACKNOWLEDGEMENT</w:t>
      </w:r>
    </w:p>
    <w:p>
      <w:pPr>
        <w:spacing w:after="120" w:line="276" w:lineRule="auto"/>
      </w:pPr>
      <w:r>
        <w:rPr>
          <w:i w:val="0"/>
        </w:rPr>
        <w:t>I express my sincere gratitude to my project guide, Dr. Satya Rajendra Singh, for his guidance, technical suggestions, encouragement, and continuous support throughout the development of this project.</w:t>
      </w:r>
    </w:p>
    <w:p>
      <w:pPr>
        <w:spacing w:after="120" w:line="276" w:lineRule="auto"/>
      </w:pPr>
      <w:r>
        <w:rPr>
          <w:i w:val="0"/>
        </w:rPr>
        <w:t>I would also like to thank the Department of Computer Science and Engineering – Artificial Intelligence, Amrita Vishwa Vidyapeetham – Amaravati, for providing the academic environment and resources required to carry out this work.</w:t>
      </w:r>
    </w:p>
    <w:p>
      <w:pPr>
        <w:spacing w:after="120" w:line="276" w:lineRule="auto"/>
      </w:pPr>
      <w:r>
        <w:rPr>
          <w:i w:val="0"/>
        </w:rPr>
        <w:t>I acknowledge the researchers and organizations responsible for making medical imaging datasets, research papers, and deep-learning resources available to the research community. These resources provided the foundation for investigating chest X-ray-based fibrosis screening, transfer learning, and explainable artificial intelligence.</w:t>
      </w:r>
    </w:p>
    <w:p>
      <w:pPr>
        <w:pageBreakBefore/>
        <w:spacing w:before="360" w:after="160"/>
      </w:pPr>
      <w:r>
        <w:rPr>
          <w:rFonts w:ascii="Calibri" w:hAnsi="Calibri"/>
          <w:b/>
          <w:color w:val="003366"/>
          <w:sz w:val="36"/>
        </w:rPr>
        <w:t>ABSTRACT</w:t>
      </w:r>
    </w:p>
    <w:p>
      <w:pPr>
        <w:spacing w:after="120" w:line="276" w:lineRule="auto"/>
      </w:pPr>
      <w:r>
        <w:rPr>
          <w:i w:val="0"/>
        </w:rPr>
        <w:t>Post-COVID pulmonary complications can persist after recovery from the acute infection and may include structural abnormalities associated with fibrotic changes. Detecting such abnormalities using chest X-rays is challenging because fibrosis-related patterns can be subtle and may overlap with normal pulmonary textures. Computed Tomography (CT) generally provides more detailed structural information, but chest X-rays remain more accessible, inexpensive, and widely available.</w:t>
      </w:r>
    </w:p>
    <w:p>
      <w:pPr>
        <w:spacing w:after="120" w:line="276" w:lineRule="auto"/>
      </w:pPr>
      <w:r>
        <w:rPr>
          <w:i w:val="0"/>
        </w:rPr>
        <w:t>This project proposes an explainable deep-learning-based screening system for post-COVID lung fibrosis using chest X-ray images. The problem is formulated as a binary image-classification task involving two classes: Fibrosis and Normal.</w:t>
      </w:r>
    </w:p>
    <w:p>
      <w:pPr>
        <w:spacing w:after="120" w:line="276" w:lineRule="auto"/>
      </w:pPr>
      <w:r>
        <w:rPr>
          <w:i w:val="0"/>
        </w:rPr>
        <w:t>The project uses the NIH Chest X-ray Dataset as the main training dataset, while the Kaggle Lung Disease Dataset (Fibrosis) and the Post-COVID Lung Fibrosis Dataset are maintained as independent external testing datasets. The dataset pipeline standardizes images to 224 × 224 pixels, converts them to RGB format, normalizes pixel values, and uses memory-mapped storage for efficient processing.</w:t>
      </w:r>
    </w:p>
    <w:p>
      <w:pPr>
        <w:spacing w:after="120" w:line="276" w:lineRule="auto"/>
      </w:pPr>
      <w:r>
        <w:rPr>
          <w:i w:val="0"/>
        </w:rPr>
        <w:t>Several convolutional neural-network approaches were investigated, including a baseline CNN, ResNet50 transfer learning, fine-tuned ResNet50, DenseNet121, EfficientNet-B0, and DenseNet121 with attention. The final deployed model is a fine-tuned ResNet50 pretrained on ImageNet. The final architecture consists of the ResNet50 backbone, Global Average Pooling, a 256-unit fully connected layer, dropout, and a sigmoid output layer.</w:t>
      </w:r>
    </w:p>
    <w:p>
      <w:pPr>
        <w:spacing w:after="120" w:line="276" w:lineRule="auto"/>
      </w:pPr>
      <w:r>
        <w:rPr>
          <w:i w:val="0"/>
        </w:rPr>
        <w:t>The final fine-tuning stage unfreezes the last 40 layers of ResNet50 while retaining the earlier pretrained layers. A learning rate of 1 × 10⁻⁵, batch size of 16, dropout of 0.4, binary cross-entropy loss, Adam optimization, and early stopping are used in the final configuration.</w:t>
      </w:r>
    </w:p>
    <w:p>
      <w:pPr>
        <w:spacing w:after="120" w:line="276" w:lineRule="auto"/>
      </w:pPr>
      <w:r>
        <w:rPr>
          <w:i w:val="0"/>
        </w:rPr>
        <w:t>The final notebook evaluation uses a classification threshold of 0.4 and reports an accuracy of approximately 73% and a ROC-AUC of 0.69099. The fibrosis class obtains a recall of 0.38 in this final evaluation. These results demonstrate that the model learns useful visual representations but also highlight the difficulty of detecting subtle fibrosis from chest X-rays.</w:t>
      </w:r>
    </w:p>
    <w:p>
      <w:pPr>
        <w:spacing w:after="120" w:line="276" w:lineRule="auto"/>
      </w:pPr>
      <w:r>
        <w:rPr>
          <w:i w:val="0"/>
        </w:rPr>
        <w:t>To improve interpretability, Grad-CAM is incorporated into the system. The final model is deployed using Streamlit, allowing users to upload a chest X-ray and obtain a predicted probability, risk level, original image, Grad-CAM heatmap, and heatmap overlay.</w:t>
      </w:r>
    </w:p>
    <w:p>
      <w:pPr>
        <w:spacing w:after="120" w:line="276" w:lineRule="auto"/>
      </w:pPr>
      <w:r>
        <w:rPr>
          <w:i w:val="0"/>
        </w:rPr>
        <w:t>The proposed system is intended as an AI-assisted screening and decision-support tool, not as a replacement for radiologists, CT imaging, or clinical diagnosis.</w:t>
      </w:r>
    </w:p>
    <w:p>
      <w:pPr>
        <w:pageBreakBefore/>
        <w:spacing w:before="360" w:after="160"/>
      </w:pPr>
      <w:r>
        <w:rPr>
          <w:rFonts w:ascii="Calibri" w:hAnsi="Calibri"/>
          <w:b/>
          <w:color w:val="003366"/>
          <w:sz w:val="36"/>
        </w:rPr>
        <w:t>TABLE OF CONTENTS</w:t>
      </w:r>
    </w:p>
    <w:p>
      <w:pPr>
        <w:spacing w:after="120" w:line="276" w:lineRule="auto"/>
      </w:pPr>
      <w:r>
        <w:rPr>
          <w:i w:val="0"/>
        </w:rPr>
        <w:t>1. Introduction</w:t>
      </w:r>
    </w:p>
    <w:p>
      <w:pPr>
        <w:spacing w:after="120" w:line="276" w:lineRule="auto"/>
      </w:pPr>
      <w:r>
        <w:rPr>
          <w:i w:val="0"/>
        </w:rPr>
        <w:t>2. Literature Review</w:t>
      </w:r>
    </w:p>
    <w:p>
      <w:pPr>
        <w:spacing w:after="120" w:line="276" w:lineRule="auto"/>
      </w:pPr>
      <w:r>
        <w:rPr>
          <w:i w:val="0"/>
        </w:rPr>
        <w:t>3. Dataset and Data Preparation</w:t>
      </w:r>
    </w:p>
    <w:p>
      <w:pPr>
        <w:spacing w:after="120" w:line="276" w:lineRule="auto"/>
      </w:pPr>
      <w:r>
        <w:rPr>
          <w:i w:val="0"/>
        </w:rPr>
        <w:t>4. Proposed Methodology</w:t>
      </w:r>
    </w:p>
    <w:p>
      <w:pPr>
        <w:spacing w:after="120" w:line="276" w:lineRule="auto"/>
      </w:pPr>
      <w:r>
        <w:rPr>
          <w:i w:val="0"/>
        </w:rPr>
        <w:t>5. Implementation</w:t>
      </w:r>
    </w:p>
    <w:p>
      <w:pPr>
        <w:spacing w:after="120" w:line="276" w:lineRule="auto"/>
      </w:pPr>
      <w:r>
        <w:rPr>
          <w:i w:val="0"/>
        </w:rPr>
        <w:t>6. Experimental Results</w:t>
      </w:r>
    </w:p>
    <w:p>
      <w:pPr>
        <w:spacing w:after="120" w:line="276" w:lineRule="auto"/>
      </w:pPr>
      <w:r>
        <w:rPr>
          <w:i w:val="0"/>
        </w:rPr>
        <w:t>7. Discussion</w:t>
      </w:r>
    </w:p>
    <w:p>
      <w:pPr>
        <w:spacing w:after="120" w:line="276" w:lineRule="auto"/>
      </w:pPr>
      <w:r>
        <w:rPr>
          <w:i w:val="0"/>
        </w:rPr>
        <w:t>8. Application and Deployment</w:t>
      </w:r>
    </w:p>
    <w:p>
      <w:pPr>
        <w:spacing w:after="120" w:line="276" w:lineRule="auto"/>
      </w:pPr>
      <w:r>
        <w:rPr>
          <w:i w:val="0"/>
        </w:rPr>
        <w:t>9. Conclusion and Future Work</w:t>
      </w:r>
    </w:p>
    <w:p>
      <w:pPr>
        <w:spacing w:after="120" w:line="276" w:lineRule="auto"/>
      </w:pPr>
      <w:r>
        <w:rPr>
          <w:i w:val="0"/>
        </w:rPr>
        <w:t>10. References</w:t>
      </w:r>
    </w:p>
    <w:p>
      <w:pPr>
        <w:spacing w:after="120" w:line="276" w:lineRule="auto"/>
      </w:pPr>
      <w:r>
        <w:rPr>
          <w:i w:val="0"/>
        </w:rPr>
        <w:t>11. Appendices</w:t>
      </w:r>
    </w:p>
    <w:p>
      <w:pPr>
        <w:pageBreakBefore/>
        <w:spacing w:before="360" w:after="160"/>
      </w:pPr>
      <w:r>
        <w:rPr>
          <w:rFonts w:ascii="Calibri" w:hAnsi="Calibri"/>
          <w:b/>
          <w:color w:val="003366"/>
          <w:sz w:val="36"/>
        </w:rPr>
        <w:t>LIST OF ABBREVIATIONS</w:t>
      </w:r>
    </w:p>
    <w:tbl>
      <w:tblPr>
        <w:tblW w:type="auto" w:w="0"/>
        <w:jc w:val="center"/>
        <w:tblLayout w:type="fixed"/>
        <w:tblLook w:firstColumn="1" w:firstRow="1" w:lastColumn="0" w:lastRow="0" w:noHBand="0" w:noVBand="1" w:val="04A0"/>
      </w:tblPr>
      <w:tblGrid>
        <w:gridCol w:w="4680"/>
        <w:gridCol w:w="4680"/>
      </w:tblGrid>
      <w:tr>
        <w:tc>
          <w:tcPr>
            <w:tcW w:type="dxa" w:w="2880"/>
            <w:shd w:fill="003366"/>
            <w:tcMar>
              <w:top w:w="120" w:type="dxa"/>
              <w:bottom w:w="120" w:type="dxa"/>
              <w:left w:w="150" w:type="dxa"/>
              <w:right w:w="150" w:type="dxa"/>
            </w:tcMar>
          </w:tcPr>
          <w:p>
            <w:pPr>
              <w:jc w:val="left"/>
            </w:pPr>
            <w:r>
              <w:rPr>
                <w:b/>
                <w:color w:val="FFFFFF"/>
                <w:sz w:val="20"/>
              </w:rPr>
              <w:t>Abbreviation</w:t>
            </w:r>
          </w:p>
        </w:tc>
        <w:tc>
          <w:tcPr>
            <w:tcW w:type="dxa" w:w="5760"/>
            <w:shd w:fill="003366"/>
            <w:tcMar>
              <w:top w:w="120" w:type="dxa"/>
              <w:bottom w:w="120" w:type="dxa"/>
              <w:left w:w="150" w:type="dxa"/>
              <w:right w:w="150" w:type="dxa"/>
            </w:tcMar>
          </w:tcPr>
          <w:p>
            <w:pPr>
              <w:jc w:val="left"/>
            </w:pPr>
            <w:r>
              <w:rPr>
                <w:b/>
                <w:color w:val="FFFFFF"/>
                <w:sz w:val="20"/>
              </w:rPr>
              <w:t>Meaning</w:t>
            </w:r>
          </w:p>
        </w:tc>
      </w:tr>
      <w:tr>
        <w:tc>
          <w:tcPr>
            <w:tcW w:type="dxa" w:w="2880"/>
            <w:shd w:fill="FFFFFF"/>
            <w:tcMar>
              <w:top w:w="100" w:type="dxa"/>
              <w:bottom w:w="100" w:type="dxa"/>
              <w:left w:w="150" w:type="dxa"/>
              <w:right w:w="150" w:type="dxa"/>
            </w:tcMar>
          </w:tcPr>
          <w:p>
            <w:pPr>
              <w:jc w:val="left"/>
            </w:pPr>
            <w:r>
              <w:rPr>
                <w:sz w:val="19"/>
              </w:rPr>
              <w:t>AI</w:t>
            </w:r>
          </w:p>
        </w:tc>
        <w:tc>
          <w:tcPr>
            <w:tcW w:type="dxa" w:w="5760"/>
            <w:shd w:fill="FFFFFF"/>
            <w:tcMar>
              <w:top w:w="100" w:type="dxa"/>
              <w:bottom w:w="100" w:type="dxa"/>
              <w:left w:w="150" w:type="dxa"/>
              <w:right w:w="150" w:type="dxa"/>
            </w:tcMar>
          </w:tcPr>
          <w:p>
            <w:pPr>
              <w:jc w:val="left"/>
            </w:pPr>
            <w:r>
              <w:rPr>
                <w:sz w:val="19"/>
              </w:rPr>
              <w:t>Artificial Intelligence</w:t>
            </w:r>
          </w:p>
        </w:tc>
      </w:tr>
      <w:tr>
        <w:tc>
          <w:tcPr>
            <w:tcW w:type="dxa" w:w="2880"/>
            <w:shd w:fill="F4F6F8"/>
            <w:tcMar>
              <w:top w:w="100" w:type="dxa"/>
              <w:bottom w:w="100" w:type="dxa"/>
              <w:left w:w="150" w:type="dxa"/>
              <w:right w:w="150" w:type="dxa"/>
            </w:tcMar>
          </w:tcPr>
          <w:p>
            <w:pPr>
              <w:jc w:val="left"/>
            </w:pPr>
            <w:r>
              <w:rPr>
                <w:sz w:val="19"/>
              </w:rPr>
              <w:t>CNN</w:t>
            </w:r>
          </w:p>
        </w:tc>
        <w:tc>
          <w:tcPr>
            <w:tcW w:type="dxa" w:w="5760"/>
            <w:shd w:fill="F4F6F8"/>
            <w:tcMar>
              <w:top w:w="100" w:type="dxa"/>
              <w:bottom w:w="100" w:type="dxa"/>
              <w:left w:w="150" w:type="dxa"/>
              <w:right w:w="150" w:type="dxa"/>
            </w:tcMar>
          </w:tcPr>
          <w:p>
            <w:pPr>
              <w:jc w:val="left"/>
            </w:pPr>
            <w:r>
              <w:rPr>
                <w:sz w:val="19"/>
              </w:rPr>
              <w:t>Convolutional Neural Network</w:t>
            </w:r>
          </w:p>
        </w:tc>
      </w:tr>
      <w:tr>
        <w:tc>
          <w:tcPr>
            <w:tcW w:type="dxa" w:w="2880"/>
            <w:shd w:fill="FFFFFF"/>
            <w:tcMar>
              <w:top w:w="100" w:type="dxa"/>
              <w:bottom w:w="100" w:type="dxa"/>
              <w:left w:w="150" w:type="dxa"/>
              <w:right w:w="150" w:type="dxa"/>
            </w:tcMar>
          </w:tcPr>
          <w:p>
            <w:pPr>
              <w:jc w:val="left"/>
            </w:pPr>
            <w:r>
              <w:rPr>
                <w:sz w:val="19"/>
              </w:rPr>
              <w:t>CXR</w:t>
            </w:r>
          </w:p>
        </w:tc>
        <w:tc>
          <w:tcPr>
            <w:tcW w:type="dxa" w:w="5760"/>
            <w:shd w:fill="FFFFFF"/>
            <w:tcMar>
              <w:top w:w="100" w:type="dxa"/>
              <w:bottom w:w="100" w:type="dxa"/>
              <w:left w:w="150" w:type="dxa"/>
              <w:right w:w="150" w:type="dxa"/>
            </w:tcMar>
          </w:tcPr>
          <w:p>
            <w:pPr>
              <w:jc w:val="left"/>
            </w:pPr>
            <w:r>
              <w:rPr>
                <w:sz w:val="19"/>
              </w:rPr>
              <w:t>Chest X-ray</w:t>
            </w:r>
          </w:p>
        </w:tc>
      </w:tr>
      <w:tr>
        <w:tc>
          <w:tcPr>
            <w:tcW w:type="dxa" w:w="2880"/>
            <w:shd w:fill="F4F6F8"/>
            <w:tcMar>
              <w:top w:w="100" w:type="dxa"/>
              <w:bottom w:w="100" w:type="dxa"/>
              <w:left w:w="150" w:type="dxa"/>
              <w:right w:w="150" w:type="dxa"/>
            </w:tcMar>
          </w:tcPr>
          <w:p>
            <w:pPr>
              <w:jc w:val="left"/>
            </w:pPr>
            <w:r>
              <w:rPr>
                <w:sz w:val="19"/>
              </w:rPr>
              <w:t>CT</w:t>
            </w:r>
          </w:p>
        </w:tc>
        <w:tc>
          <w:tcPr>
            <w:tcW w:type="dxa" w:w="5760"/>
            <w:shd w:fill="F4F6F8"/>
            <w:tcMar>
              <w:top w:w="100" w:type="dxa"/>
              <w:bottom w:w="100" w:type="dxa"/>
              <w:left w:w="150" w:type="dxa"/>
              <w:right w:w="150" w:type="dxa"/>
            </w:tcMar>
          </w:tcPr>
          <w:p>
            <w:pPr>
              <w:jc w:val="left"/>
            </w:pPr>
            <w:r>
              <w:rPr>
                <w:sz w:val="19"/>
              </w:rPr>
              <w:t>Computed Tomography</w:t>
            </w:r>
          </w:p>
        </w:tc>
      </w:tr>
      <w:tr>
        <w:tc>
          <w:tcPr>
            <w:tcW w:type="dxa" w:w="2880"/>
            <w:shd w:fill="FFFFFF"/>
            <w:tcMar>
              <w:top w:w="100" w:type="dxa"/>
              <w:bottom w:w="100" w:type="dxa"/>
              <w:left w:w="150" w:type="dxa"/>
              <w:right w:w="150" w:type="dxa"/>
            </w:tcMar>
          </w:tcPr>
          <w:p>
            <w:pPr>
              <w:jc w:val="left"/>
            </w:pPr>
            <w:r>
              <w:rPr>
                <w:sz w:val="19"/>
              </w:rPr>
              <w:t>DL</w:t>
            </w:r>
          </w:p>
        </w:tc>
        <w:tc>
          <w:tcPr>
            <w:tcW w:type="dxa" w:w="5760"/>
            <w:shd w:fill="FFFFFF"/>
            <w:tcMar>
              <w:top w:w="100" w:type="dxa"/>
              <w:bottom w:w="100" w:type="dxa"/>
              <w:left w:w="150" w:type="dxa"/>
              <w:right w:w="150" w:type="dxa"/>
            </w:tcMar>
          </w:tcPr>
          <w:p>
            <w:pPr>
              <w:jc w:val="left"/>
            </w:pPr>
            <w:r>
              <w:rPr>
                <w:sz w:val="19"/>
              </w:rPr>
              <w:t>Deep Learning</w:t>
            </w:r>
          </w:p>
        </w:tc>
      </w:tr>
      <w:tr>
        <w:tc>
          <w:tcPr>
            <w:tcW w:type="dxa" w:w="2880"/>
            <w:shd w:fill="F4F6F8"/>
            <w:tcMar>
              <w:top w:w="100" w:type="dxa"/>
              <w:bottom w:w="100" w:type="dxa"/>
              <w:left w:w="150" w:type="dxa"/>
              <w:right w:w="150" w:type="dxa"/>
            </w:tcMar>
          </w:tcPr>
          <w:p>
            <w:pPr>
              <w:jc w:val="left"/>
            </w:pPr>
            <w:r>
              <w:rPr>
                <w:sz w:val="19"/>
              </w:rPr>
              <w:t>XAI</w:t>
            </w:r>
          </w:p>
        </w:tc>
        <w:tc>
          <w:tcPr>
            <w:tcW w:type="dxa" w:w="5760"/>
            <w:shd w:fill="F4F6F8"/>
            <w:tcMar>
              <w:top w:w="100" w:type="dxa"/>
              <w:bottom w:w="100" w:type="dxa"/>
              <w:left w:w="150" w:type="dxa"/>
              <w:right w:w="150" w:type="dxa"/>
            </w:tcMar>
          </w:tcPr>
          <w:p>
            <w:pPr>
              <w:jc w:val="left"/>
            </w:pPr>
            <w:r>
              <w:rPr>
                <w:sz w:val="19"/>
              </w:rPr>
              <w:t>Explainable Artificial Intelligence</w:t>
            </w:r>
          </w:p>
        </w:tc>
      </w:tr>
      <w:tr>
        <w:tc>
          <w:tcPr>
            <w:tcW w:type="dxa" w:w="2880"/>
            <w:shd w:fill="FFFFFF"/>
            <w:tcMar>
              <w:top w:w="100" w:type="dxa"/>
              <w:bottom w:w="100" w:type="dxa"/>
              <w:left w:w="150" w:type="dxa"/>
              <w:right w:w="150" w:type="dxa"/>
            </w:tcMar>
          </w:tcPr>
          <w:p>
            <w:pPr>
              <w:jc w:val="left"/>
            </w:pPr>
            <w:r>
              <w:rPr>
                <w:sz w:val="19"/>
              </w:rPr>
              <w:t>ROC</w:t>
            </w:r>
          </w:p>
        </w:tc>
        <w:tc>
          <w:tcPr>
            <w:tcW w:type="dxa" w:w="5760"/>
            <w:shd w:fill="FFFFFF"/>
            <w:tcMar>
              <w:top w:w="100" w:type="dxa"/>
              <w:bottom w:w="100" w:type="dxa"/>
              <w:left w:w="150" w:type="dxa"/>
              <w:right w:w="150" w:type="dxa"/>
            </w:tcMar>
          </w:tcPr>
          <w:p>
            <w:pPr>
              <w:jc w:val="left"/>
            </w:pPr>
            <w:r>
              <w:rPr>
                <w:sz w:val="19"/>
              </w:rPr>
              <w:t>Receiver Operating Characteristic</w:t>
            </w:r>
          </w:p>
        </w:tc>
      </w:tr>
      <w:tr>
        <w:tc>
          <w:tcPr>
            <w:tcW w:type="dxa" w:w="2880"/>
            <w:shd w:fill="F4F6F8"/>
            <w:tcMar>
              <w:top w:w="100" w:type="dxa"/>
              <w:bottom w:w="100" w:type="dxa"/>
              <w:left w:w="150" w:type="dxa"/>
              <w:right w:w="150" w:type="dxa"/>
            </w:tcMar>
          </w:tcPr>
          <w:p>
            <w:pPr>
              <w:jc w:val="left"/>
            </w:pPr>
            <w:r>
              <w:rPr>
                <w:sz w:val="19"/>
              </w:rPr>
              <w:t>AUC</w:t>
            </w:r>
          </w:p>
        </w:tc>
        <w:tc>
          <w:tcPr>
            <w:tcW w:type="dxa" w:w="5760"/>
            <w:shd w:fill="F4F6F8"/>
            <w:tcMar>
              <w:top w:w="100" w:type="dxa"/>
              <w:bottom w:w="100" w:type="dxa"/>
              <w:left w:w="150" w:type="dxa"/>
              <w:right w:w="150" w:type="dxa"/>
            </w:tcMar>
          </w:tcPr>
          <w:p>
            <w:pPr>
              <w:jc w:val="left"/>
            </w:pPr>
            <w:r>
              <w:rPr>
                <w:sz w:val="19"/>
              </w:rPr>
              <w:t>Area Under the Curve</w:t>
            </w:r>
          </w:p>
        </w:tc>
      </w:tr>
      <w:tr>
        <w:tc>
          <w:tcPr>
            <w:tcW w:type="dxa" w:w="2880"/>
            <w:shd w:fill="FFFFFF"/>
            <w:tcMar>
              <w:top w:w="100" w:type="dxa"/>
              <w:bottom w:w="100" w:type="dxa"/>
              <w:left w:w="150" w:type="dxa"/>
              <w:right w:w="150" w:type="dxa"/>
            </w:tcMar>
          </w:tcPr>
          <w:p>
            <w:pPr>
              <w:jc w:val="left"/>
            </w:pPr>
            <w:r>
              <w:rPr>
                <w:sz w:val="19"/>
              </w:rPr>
              <w:t>CAM</w:t>
            </w:r>
          </w:p>
        </w:tc>
        <w:tc>
          <w:tcPr>
            <w:tcW w:type="dxa" w:w="5760"/>
            <w:shd w:fill="FFFFFF"/>
            <w:tcMar>
              <w:top w:w="100" w:type="dxa"/>
              <w:bottom w:w="100" w:type="dxa"/>
              <w:left w:w="150" w:type="dxa"/>
              <w:right w:w="150" w:type="dxa"/>
            </w:tcMar>
          </w:tcPr>
          <w:p>
            <w:pPr>
              <w:jc w:val="left"/>
            </w:pPr>
            <w:r>
              <w:rPr>
                <w:sz w:val="19"/>
              </w:rPr>
              <w:t>Class Activation Mapping</w:t>
            </w:r>
          </w:p>
        </w:tc>
      </w:tr>
      <w:tr>
        <w:tc>
          <w:tcPr>
            <w:tcW w:type="dxa" w:w="2880"/>
            <w:shd w:fill="F4F6F8"/>
            <w:tcMar>
              <w:top w:w="100" w:type="dxa"/>
              <w:bottom w:w="100" w:type="dxa"/>
              <w:left w:w="150" w:type="dxa"/>
              <w:right w:w="150" w:type="dxa"/>
            </w:tcMar>
          </w:tcPr>
          <w:p>
            <w:pPr>
              <w:jc w:val="left"/>
            </w:pPr>
            <w:r>
              <w:rPr>
                <w:sz w:val="19"/>
              </w:rPr>
              <w:t>Grad-CAM</w:t>
            </w:r>
          </w:p>
        </w:tc>
        <w:tc>
          <w:tcPr>
            <w:tcW w:type="dxa" w:w="5760"/>
            <w:shd w:fill="F4F6F8"/>
            <w:tcMar>
              <w:top w:w="100" w:type="dxa"/>
              <w:bottom w:w="100" w:type="dxa"/>
              <w:left w:w="150" w:type="dxa"/>
              <w:right w:w="150" w:type="dxa"/>
            </w:tcMar>
          </w:tcPr>
          <w:p>
            <w:pPr>
              <w:jc w:val="left"/>
            </w:pPr>
            <w:r>
              <w:rPr>
                <w:sz w:val="19"/>
              </w:rPr>
              <w:t>Gradient-weighted Class Activation Mapping</w:t>
            </w:r>
          </w:p>
        </w:tc>
      </w:tr>
      <w:tr>
        <w:tc>
          <w:tcPr>
            <w:tcW w:type="dxa" w:w="2880"/>
            <w:shd w:fill="FFFFFF"/>
            <w:tcMar>
              <w:top w:w="100" w:type="dxa"/>
              <w:bottom w:w="100" w:type="dxa"/>
              <w:left w:w="150" w:type="dxa"/>
              <w:right w:w="150" w:type="dxa"/>
            </w:tcMar>
          </w:tcPr>
          <w:p>
            <w:pPr>
              <w:jc w:val="left"/>
            </w:pPr>
            <w:r>
              <w:rPr>
                <w:sz w:val="19"/>
              </w:rPr>
              <w:t>RGB</w:t>
            </w:r>
          </w:p>
        </w:tc>
        <w:tc>
          <w:tcPr>
            <w:tcW w:type="dxa" w:w="5760"/>
            <w:shd w:fill="FFFFFF"/>
            <w:tcMar>
              <w:top w:w="100" w:type="dxa"/>
              <w:bottom w:w="100" w:type="dxa"/>
              <w:left w:w="150" w:type="dxa"/>
              <w:right w:w="150" w:type="dxa"/>
            </w:tcMar>
          </w:tcPr>
          <w:p>
            <w:pPr>
              <w:jc w:val="left"/>
            </w:pPr>
            <w:r>
              <w:rPr>
                <w:sz w:val="19"/>
              </w:rPr>
              <w:t>Red-Green-Blue</w:t>
            </w:r>
          </w:p>
        </w:tc>
      </w:tr>
      <w:tr>
        <w:tc>
          <w:tcPr>
            <w:tcW w:type="dxa" w:w="2880"/>
            <w:shd w:fill="F4F6F8"/>
            <w:tcMar>
              <w:top w:w="100" w:type="dxa"/>
              <w:bottom w:w="100" w:type="dxa"/>
              <w:left w:w="150" w:type="dxa"/>
              <w:right w:w="150" w:type="dxa"/>
            </w:tcMar>
          </w:tcPr>
          <w:p>
            <w:pPr>
              <w:jc w:val="left"/>
            </w:pPr>
            <w:r>
              <w:rPr>
                <w:sz w:val="19"/>
              </w:rPr>
              <w:t>TP</w:t>
            </w:r>
          </w:p>
        </w:tc>
        <w:tc>
          <w:tcPr>
            <w:tcW w:type="dxa" w:w="5760"/>
            <w:shd w:fill="F4F6F8"/>
            <w:tcMar>
              <w:top w:w="100" w:type="dxa"/>
              <w:bottom w:w="100" w:type="dxa"/>
              <w:left w:w="150" w:type="dxa"/>
              <w:right w:w="150" w:type="dxa"/>
            </w:tcMar>
          </w:tcPr>
          <w:p>
            <w:pPr>
              <w:jc w:val="left"/>
            </w:pPr>
            <w:r>
              <w:rPr>
                <w:sz w:val="19"/>
              </w:rPr>
              <w:t>True Positive</w:t>
            </w:r>
          </w:p>
        </w:tc>
      </w:tr>
      <w:tr>
        <w:tc>
          <w:tcPr>
            <w:tcW w:type="dxa" w:w="2880"/>
            <w:shd w:fill="FFFFFF"/>
            <w:tcMar>
              <w:top w:w="100" w:type="dxa"/>
              <w:bottom w:w="100" w:type="dxa"/>
              <w:left w:w="150" w:type="dxa"/>
              <w:right w:w="150" w:type="dxa"/>
            </w:tcMar>
          </w:tcPr>
          <w:p>
            <w:pPr>
              <w:jc w:val="left"/>
            </w:pPr>
            <w:r>
              <w:rPr>
                <w:sz w:val="19"/>
              </w:rPr>
              <w:t>TN</w:t>
            </w:r>
          </w:p>
        </w:tc>
        <w:tc>
          <w:tcPr>
            <w:tcW w:type="dxa" w:w="5760"/>
            <w:shd w:fill="FFFFFF"/>
            <w:tcMar>
              <w:top w:w="100" w:type="dxa"/>
              <w:bottom w:w="100" w:type="dxa"/>
              <w:left w:w="150" w:type="dxa"/>
              <w:right w:w="150" w:type="dxa"/>
            </w:tcMar>
          </w:tcPr>
          <w:p>
            <w:pPr>
              <w:jc w:val="left"/>
            </w:pPr>
            <w:r>
              <w:rPr>
                <w:sz w:val="19"/>
              </w:rPr>
              <w:t>True Negative</w:t>
            </w:r>
          </w:p>
        </w:tc>
      </w:tr>
      <w:tr>
        <w:tc>
          <w:tcPr>
            <w:tcW w:type="dxa" w:w="2880"/>
            <w:shd w:fill="F4F6F8"/>
            <w:tcMar>
              <w:top w:w="100" w:type="dxa"/>
              <w:bottom w:w="100" w:type="dxa"/>
              <w:left w:w="150" w:type="dxa"/>
              <w:right w:w="150" w:type="dxa"/>
            </w:tcMar>
          </w:tcPr>
          <w:p>
            <w:pPr>
              <w:jc w:val="left"/>
            </w:pPr>
            <w:r>
              <w:rPr>
                <w:sz w:val="19"/>
              </w:rPr>
              <w:t>FP</w:t>
            </w:r>
          </w:p>
        </w:tc>
        <w:tc>
          <w:tcPr>
            <w:tcW w:type="dxa" w:w="5760"/>
            <w:shd w:fill="F4F6F8"/>
            <w:tcMar>
              <w:top w:w="100" w:type="dxa"/>
              <w:bottom w:w="100" w:type="dxa"/>
              <w:left w:w="150" w:type="dxa"/>
              <w:right w:w="150" w:type="dxa"/>
            </w:tcMar>
          </w:tcPr>
          <w:p>
            <w:pPr>
              <w:jc w:val="left"/>
            </w:pPr>
            <w:r>
              <w:rPr>
                <w:sz w:val="19"/>
              </w:rPr>
              <w:t>False Positive</w:t>
            </w:r>
          </w:p>
        </w:tc>
      </w:tr>
      <w:tr>
        <w:tc>
          <w:tcPr>
            <w:tcW w:type="dxa" w:w="2880"/>
            <w:shd w:fill="FFFFFF"/>
            <w:tcMar>
              <w:top w:w="100" w:type="dxa"/>
              <w:bottom w:w="100" w:type="dxa"/>
              <w:left w:w="150" w:type="dxa"/>
              <w:right w:w="150" w:type="dxa"/>
            </w:tcMar>
          </w:tcPr>
          <w:p>
            <w:pPr>
              <w:jc w:val="left"/>
            </w:pPr>
            <w:r>
              <w:rPr>
                <w:sz w:val="19"/>
              </w:rPr>
              <w:t>FN</w:t>
            </w:r>
          </w:p>
        </w:tc>
        <w:tc>
          <w:tcPr>
            <w:tcW w:type="dxa" w:w="5760"/>
            <w:shd w:fill="FFFFFF"/>
            <w:tcMar>
              <w:top w:w="100" w:type="dxa"/>
              <w:bottom w:w="100" w:type="dxa"/>
              <w:left w:w="150" w:type="dxa"/>
              <w:right w:w="150" w:type="dxa"/>
            </w:tcMar>
          </w:tcPr>
          <w:p>
            <w:pPr>
              <w:jc w:val="left"/>
            </w:pPr>
            <w:r>
              <w:rPr>
                <w:sz w:val="19"/>
              </w:rPr>
              <w:t>False Negative</w:t>
            </w:r>
          </w:p>
        </w:tc>
      </w:tr>
    </w:tbl>
    <w:p>
      <w:pPr>
        <w:spacing w:after="120"/>
      </w:pPr>
    </w:p>
    <w:p>
      <w:pPr>
        <w:pageBreakBefore/>
        <w:spacing w:before="360" w:after="160"/>
      </w:pPr>
      <w:r>
        <w:rPr>
          <w:rFonts w:ascii="Calibri" w:hAnsi="Calibri"/>
          <w:b/>
          <w:color w:val="003366"/>
          <w:sz w:val="36"/>
        </w:rPr>
        <w:t>CHAPTER 1: INTRODUCTION</w:t>
      </w:r>
    </w:p>
    <w:p>
      <w:pPr>
        <w:spacing w:before="280" w:after="120"/>
      </w:pPr>
      <w:r>
        <w:rPr>
          <w:rFonts w:ascii="Calibri" w:hAnsi="Calibri"/>
          <w:b/>
          <w:color w:val="004080"/>
          <w:sz w:val="28"/>
        </w:rPr>
        <w:t>1.1 Background</w:t>
      </w:r>
    </w:p>
    <w:p>
      <w:pPr>
        <w:spacing w:after="120" w:line="276" w:lineRule="auto"/>
      </w:pPr>
      <w:r>
        <w:rPr>
          <w:i w:val="0"/>
        </w:rPr>
        <w:t>Artificial Intelligence has become an important technology in medical image analysis. Deep-learning models, particularly Convolutional Neural Networks, have demonstrated the ability to learn complex visual representations directly from medical images.</w:t>
      </w:r>
    </w:p>
    <w:p>
      <w:pPr>
        <w:spacing w:after="120" w:line="276" w:lineRule="auto"/>
      </w:pPr>
      <w:r>
        <w:rPr>
          <w:i w:val="0"/>
        </w:rPr>
        <w:t>Chest X-rays are among the most commonly used medical imaging modalities because they are relatively inexpensive, fast, widely available, and routinely used in clinical practice.</w:t>
      </w:r>
    </w:p>
    <w:p>
      <w:pPr>
        <w:spacing w:after="120" w:line="276" w:lineRule="auto"/>
      </w:pPr>
      <w:r>
        <w:rPr>
          <w:i w:val="0"/>
        </w:rPr>
        <w:t>However, not all pulmonary diseases produce strong visual patterns. Fibrotic changes in the lungs may appear as subtle alterations in texture, architecture, and interstitial patterns. This makes automated fibrosis detection significantly more difficult than the detection of visually prominent diseases.</w:t>
      </w:r>
    </w:p>
    <w:p>
      <w:pPr>
        <w:spacing w:after="120" w:line="276" w:lineRule="auto"/>
      </w:pPr>
      <w:r>
        <w:rPr>
          <w:i w:val="0"/>
        </w:rPr>
        <w:t>The COVID-19 pandemic further increased interest in long-term pulmonary consequences. Patients recovering from COVID-19 may experience persistent respiratory abnormalities, and some patients demonstrate fibrotic-like changes during follow-up.</w:t>
      </w:r>
    </w:p>
    <w:p>
      <w:pPr>
        <w:spacing w:after="120" w:line="276" w:lineRule="auto"/>
      </w:pPr>
      <w:r>
        <w:rPr>
          <w:i w:val="0"/>
        </w:rPr>
        <w:t>Research in the supplied project literature emphasizes that CT provides more detailed information about pulmonary abnormalities, whereas chest X-rays may underestimate subtle fibrotic involvement. This project therefore investigates whether deep learning can provide an early screening indication of fibrosis-related patterns from chest X-rays, while also providing an explanation for the model's prediction.</w:t>
      </w:r>
    </w:p>
    <w:p>
      <w:pPr>
        <w:spacing w:before="280" w:after="120"/>
      </w:pPr>
      <w:r>
        <w:rPr>
          <w:rFonts w:ascii="Calibri" w:hAnsi="Calibri"/>
          <w:b/>
          <w:color w:val="004080"/>
          <w:sz w:val="28"/>
        </w:rPr>
        <w:t>1.2 Problem Statement</w:t>
      </w:r>
    </w:p>
    <w:p>
      <w:pPr>
        <w:spacing w:after="120" w:line="276" w:lineRule="auto"/>
      </w:pPr>
      <w:r>
        <w:rPr>
          <w:i w:val="0"/>
        </w:rPr>
        <w:t>The objective is to develop an AI-based system capable of classifying chest X-ray images into Normal and Fibrosis. The system must address several challenges:</w:t>
      </w:r>
    </w:p>
    <w:p>
      <w:pPr>
        <w:spacing w:after="120" w:line="276" w:lineRule="auto"/>
      </w:pPr>
      <w:r>
        <w:rPr>
          <w:i w:val="0"/>
        </w:rPr>
        <w:t>1. Fibrosis is visually subtle.</w:t>
        <w:br/>
        <w:t>2. The fibrosis class is comparatively smaller than the normal class.</w:t>
        <w:br/>
        <w:t>3. Chest X-rays contain less structural information than CT.</w:t>
        <w:br/>
        <w:t>4. A high accuracy can be misleading under class imbalance.</w:t>
        <w:br/>
        <w:t>5. Medical AI predictions should be interpretable.</w:t>
        <w:br/>
        <w:t>6. The model should be usable through a practical interface.</w:t>
      </w:r>
    </w:p>
    <w:p>
      <w:pPr>
        <w:spacing w:after="120" w:line="276" w:lineRule="auto"/>
      </w:pPr>
      <w:r>
        <w:rPr>
          <w:i w:val="0"/>
        </w:rPr>
        <w:t>Therefore, the project combines: Deep Learning + Transfer Learning + Class-Imbalance Handling + Explainability + Deployment.</w:t>
      </w:r>
    </w:p>
    <w:p>
      <w:pPr>
        <w:spacing w:before="200" w:after="80"/>
        <w:jc w:val="center"/>
      </w:pPr>
      <w:r>
        <w:drawing>
          <wp:inline xmlns:a="http://schemas.openxmlformats.org/drawingml/2006/main" xmlns:pic="http://schemas.openxmlformats.org/drawingml/2006/picture">
            <wp:extent cx="5303520" cy="262947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2629476"/>
                    </a:xfrm>
                    <a:prstGeom prst="rect"/>
                  </pic:spPr>
                </pic:pic>
              </a:graphicData>
            </a:graphic>
          </wp:inline>
        </w:drawing>
      </w:r>
    </w:p>
    <w:p>
      <w:pPr>
        <w:spacing w:after="240"/>
        <w:jc w:val="center"/>
      </w:pPr>
      <w:r>
        <w:rPr>
          <w:b/>
          <w:i/>
          <w:color w:val="555555"/>
          <w:sz w:val="19"/>
        </w:rPr>
        <w:t>Figure 1: Overall Deep Learning and Explainable AI Architecture Workflow</w:t>
      </w:r>
    </w:p>
    <w:p>
      <w:pPr>
        <w:spacing w:before="280" w:after="120"/>
      </w:pPr>
      <w:r>
        <w:rPr>
          <w:rFonts w:ascii="Calibri" w:hAnsi="Calibri"/>
          <w:b/>
          <w:color w:val="004080"/>
          <w:sz w:val="28"/>
        </w:rPr>
        <w:t>1.3 Motivation</w:t>
      </w:r>
    </w:p>
    <w:p>
      <w:pPr>
        <w:spacing w:after="120" w:line="276" w:lineRule="auto"/>
      </w:pPr>
      <w:r>
        <w:rPr>
          <w:i w:val="0"/>
        </w:rPr>
        <w:t>The primary motivation is to investigate whether an accessible imaging modality such as chest X-ray can provide useful preliminary screening information for fibrosis-related abnormalities.</w:t>
      </w:r>
    </w:p>
    <w:p>
      <w:pPr>
        <w:spacing w:after="120" w:line="276" w:lineRule="auto"/>
      </w:pPr>
      <w:r>
        <w:rPr>
          <w:i w:val="0"/>
        </w:rPr>
        <w:t>The project is particularly motivated by limited accessibility of CT in some environments, the need for early risk identification, increasing use of AI in medical imaging, the difficulty of manually identifying subtle radiographic patterns, and the need for explainable predictions. The goal is not to replace clinical diagnosis, but to investigate whether AI can serve as an additional screening and decision-support mechanism.</w:t>
      </w:r>
    </w:p>
    <w:p>
      <w:pPr>
        <w:spacing w:before="280" w:after="120"/>
      </w:pPr>
      <w:r>
        <w:rPr>
          <w:rFonts w:ascii="Calibri" w:hAnsi="Calibri"/>
          <w:b/>
          <w:color w:val="004080"/>
          <w:sz w:val="28"/>
        </w:rPr>
        <w:t>1.4 Research Gap</w:t>
      </w:r>
    </w:p>
    <w:p>
      <w:pPr>
        <w:spacing w:after="120" w:line="276" w:lineRule="auto"/>
      </w:pPr>
      <w:r>
        <w:rPr>
          <w:i w:val="0"/>
        </w:rPr>
        <w:t>Existing deep-learning research has achieved strong performance on diseases such as pneumonia and COVID-19 when the radiographic features are relatively prominent. However, post-COVID fibrosis presents a different problem.</w:t>
      </w:r>
    </w:p>
    <w:p>
      <w:pPr>
        <w:spacing w:after="120" w:line="276" w:lineRule="auto"/>
      </w:pPr>
      <w:r>
        <w:rPr>
          <w:i w:val="0"/>
        </w:rPr>
        <w:t>The supplied literature notes that many fibrosis-related investigations depend heavily on CT, chest X-rays may underestimate subtle fibrotic abnormalities, and explainability is often absent from conventional classification systems. The project therefore investigates the combination of Chest X-ray + Fibrosis Screening + Transfer Learning + Explainability.</w:t>
      </w:r>
    </w:p>
    <w:p>
      <w:pPr>
        <w:spacing w:before="280" w:after="120"/>
      </w:pPr>
      <w:r>
        <w:rPr>
          <w:rFonts w:ascii="Calibri" w:hAnsi="Calibri"/>
          <w:b/>
          <w:color w:val="004080"/>
          <w:sz w:val="28"/>
        </w:rPr>
        <w:t>1.5 Objectives</w:t>
      </w:r>
    </w:p>
    <w:p>
      <w:pPr>
        <w:spacing w:after="120" w:line="276" w:lineRule="auto"/>
      </w:pPr>
      <w:r>
        <w:rPr>
          <w:i w:val="0"/>
        </w:rPr>
        <w:t>1. Develop a binary chest X-ray classification system for Fibrosis and Normal cases.</w:t>
        <w:br/>
        <w:t>2. Use the NIH Chest X-ray Dataset as the primary training source.</w:t>
        <w:br/>
        <w:t>3. Maintain independent external datasets for testing.</w:t>
        <w:br/>
        <w:t>4. Develop a transfer-learning model using ResNet50.</w:t>
        <w:br/>
        <w:t>5. Fine-tune the pretrained network for the fibrosis task.</w:t>
        <w:br/>
        <w:t>6. Address class imbalance through sample weighting.</w:t>
        <w:br/>
        <w:t>7. Evaluate the model using multiple classification metrics.</w:t>
        <w:br/>
        <w:t>8. Tune the classification threshold for screening.</w:t>
        <w:br/>
        <w:t>9. Generate Grad-CAM explanations.</w:t>
        <w:br/>
        <w:t>10. Deploy the final model using Streamlit.</w:t>
      </w:r>
    </w:p>
    <w:p>
      <w:pPr>
        <w:spacing w:before="280" w:after="120"/>
      </w:pPr>
      <w:r>
        <w:rPr>
          <w:rFonts w:ascii="Calibri" w:hAnsi="Calibri"/>
          <w:b/>
          <w:color w:val="004080"/>
          <w:sz w:val="28"/>
        </w:rPr>
        <w:t>1.6 Scope</w:t>
      </w:r>
    </w:p>
    <w:p>
      <w:pPr>
        <w:spacing w:after="120" w:line="276" w:lineRule="auto"/>
      </w:pPr>
      <w:r>
        <w:rPr>
          <w:i w:val="0"/>
        </w:rPr>
        <w:t>The scope of the project is limited to chest X-ray image classification, binary Fibrosis versus Normal prediction, explainability through Grad-CAM, and demonstration through a Streamlit application.</w:t>
      </w:r>
    </w:p>
    <w:p>
      <w:pPr>
        <w:spacing w:after="120" w:line="276" w:lineRule="auto"/>
      </w:pPr>
      <w:r>
        <w:rPr>
          <w:i w:val="0"/>
        </w:rPr>
        <w:t>The system does NOT replace a radiologist, replace CT imaging, provide definitive clinical diagnosis, establish a clinically validated risk threshold, or claim prospective clinical effectiveness.</w:t>
      </w:r>
    </w:p>
    <w:p>
      <w:pPr>
        <w:spacing w:before="280" w:after="120"/>
      </w:pPr>
      <w:r>
        <w:rPr>
          <w:rFonts w:ascii="Calibri" w:hAnsi="Calibri"/>
          <w:b/>
          <w:color w:val="004080"/>
          <w:sz w:val="28"/>
        </w:rPr>
        <w:t>1.7 Contributions</w:t>
      </w:r>
    </w:p>
    <w:p>
      <w:pPr>
        <w:spacing w:after="120" w:line="276" w:lineRule="auto"/>
      </w:pPr>
      <w:r>
        <w:rPr>
          <w:i w:val="0"/>
        </w:rPr>
        <w:t>• A standardized chest X-ray preprocessing pipeline.</w:t>
        <w:br/>
        <w:t>• ResNet50-based transfer learning.</w:t>
        <w:br/>
        <w:t>• Fine-tuning of the final ResNet50 layers.</w:t>
        <w:br/>
        <w:t>• Class-imbalance-aware training.</w:t>
        <w:br/>
        <w:t>• Threshold-based screening.</w:t>
        <w:br/>
        <w:t>• Grad-CAM visual explanations.</w:t>
        <w:br/>
        <w:t>• Independent external dataset organization.</w:t>
        <w:br/>
        <w:t>• Streamlit deployment.</w:t>
      </w:r>
    </w:p>
    <w:p>
      <w:pPr>
        <w:pageBreakBefore/>
        <w:spacing w:before="360" w:after="160"/>
      </w:pPr>
      <w:r>
        <w:rPr>
          <w:rFonts w:ascii="Calibri" w:hAnsi="Calibri"/>
          <w:b/>
          <w:color w:val="003366"/>
          <w:sz w:val="36"/>
        </w:rPr>
        <w:t>CHAPTER 2: LITERATURE REVIEW</w:t>
      </w:r>
    </w:p>
    <w:p>
      <w:pPr>
        <w:spacing w:before="280" w:after="120"/>
      </w:pPr>
      <w:r>
        <w:rPr>
          <w:rFonts w:ascii="Calibri" w:hAnsi="Calibri"/>
          <w:b/>
          <w:color w:val="004080"/>
          <w:sz w:val="28"/>
        </w:rPr>
        <w:t>2.1 Deep Learning for Chest X-ray Analysis</w:t>
      </w:r>
    </w:p>
    <w:p>
      <w:pPr>
        <w:spacing w:after="120" w:line="276" w:lineRule="auto"/>
      </w:pPr>
      <w:r>
        <w:rPr>
          <w:i w:val="0"/>
        </w:rPr>
        <w:t>Deep learning has demonstrated significant success in chest radiograph analysis. CNN architectures can automatically learn hierarchical image features without requiring manually engineered descriptors. Rajpurkar et al. introduced CheXNet, demonstrating pneumonia detection. However, these tasks involve diseases with prominent features.</w:t>
      </w:r>
    </w:p>
    <w:p>
      <w:pPr>
        <w:spacing w:before="280" w:after="120"/>
      </w:pPr>
      <w:r>
        <w:rPr>
          <w:rFonts w:ascii="Calibri" w:hAnsi="Calibri"/>
          <w:b/>
          <w:color w:val="004080"/>
          <w:sz w:val="28"/>
        </w:rPr>
        <w:t>2.2 COVID-19 Chest X-ray Classification</w:t>
      </w:r>
    </w:p>
    <w:p>
      <w:pPr>
        <w:spacing w:after="120" w:line="276" w:lineRule="auto"/>
      </w:pPr>
      <w:r>
        <w:rPr>
          <w:i w:val="0"/>
        </w:rPr>
        <w:t>Apostolopoulos and Mpesiana investigated transfer learning for COVID-19 detection. Wang et al. proposed COVID-Net for COVID-19 detection. These studies focus on acute infection rather than post-infection fibrosis.</w:t>
      </w:r>
    </w:p>
    <w:p>
      <w:pPr>
        <w:spacing w:before="280" w:after="120"/>
      </w:pPr>
      <w:r>
        <w:rPr>
          <w:rFonts w:ascii="Calibri" w:hAnsi="Calibri"/>
          <w:b/>
          <w:color w:val="004080"/>
          <w:sz w:val="28"/>
        </w:rPr>
        <w:t>2.3 Post-COVID Pulmonary Abnormalities</w:t>
      </w:r>
    </w:p>
    <w:p>
      <w:pPr>
        <w:spacing w:after="120" w:line="276" w:lineRule="auto"/>
      </w:pPr>
      <w:r>
        <w:rPr>
          <w:i w:val="0"/>
        </w:rPr>
        <w:t>Huang et al. investigated pulmonary outcomes during recovery. Wu et al. studied longer-term respiratory outcomes following COVID-19. Besutti et al. demonstrated limitations of X-ray compared with CT.</w:t>
      </w:r>
    </w:p>
    <w:p>
      <w:pPr>
        <w:spacing w:before="280" w:after="120"/>
      </w:pPr>
      <w:r>
        <w:rPr>
          <w:rFonts w:ascii="Calibri" w:hAnsi="Calibri"/>
          <w:b/>
          <w:color w:val="004080"/>
          <w:sz w:val="28"/>
        </w:rPr>
        <w:t>2.4 Transfer Learning</w:t>
      </w:r>
    </w:p>
    <w:p>
      <w:pPr>
        <w:spacing w:after="120" w:line="276" w:lineRule="auto"/>
      </w:pPr>
      <w:r>
        <w:rPr>
          <w:i w:val="0"/>
        </w:rPr>
        <w:t>Medical datasets are often small. Transfer learning using ImageNet pretrained ResNet50 prevents overfitting and speeds convergence.</w:t>
      </w:r>
    </w:p>
    <w:p>
      <w:pPr>
        <w:spacing w:before="280" w:after="120"/>
      </w:pPr>
      <w:r>
        <w:rPr>
          <w:rFonts w:ascii="Calibri" w:hAnsi="Calibri"/>
          <w:b/>
          <w:color w:val="004080"/>
          <w:sz w:val="28"/>
        </w:rPr>
        <w:t>2.5 ResNet50</w:t>
      </w:r>
    </w:p>
    <w:p>
      <w:pPr>
        <w:spacing w:after="120" w:line="276" w:lineRule="auto"/>
      </w:pPr>
      <w:r>
        <w:rPr>
          <w:i w:val="0"/>
        </w:rPr>
        <w:t>ResNet introduces residual learning with shortcut connections H(x) = F(x) + x to solve vanishing gradients.</w:t>
      </w:r>
    </w:p>
    <w:p>
      <w:pPr>
        <w:spacing w:before="280" w:after="120"/>
      </w:pPr>
      <w:r>
        <w:rPr>
          <w:rFonts w:ascii="Calibri" w:hAnsi="Calibri"/>
          <w:b/>
          <w:color w:val="004080"/>
          <w:sz w:val="28"/>
        </w:rPr>
        <w:t>2.6 Explainable Artificial Intelligence</w:t>
      </w:r>
    </w:p>
    <w:p>
      <w:pPr>
        <w:spacing w:after="120" w:line="276" w:lineRule="auto"/>
      </w:pPr>
      <w:r>
        <w:rPr>
          <w:i w:val="0"/>
        </w:rPr>
        <w:t>Grad-CAM produces visual heatmaps highlighting influential image regions for transparency in clinical AI.</w:t>
      </w:r>
    </w:p>
    <w:p>
      <w:pPr>
        <w:spacing w:before="280" w:after="120"/>
      </w:pPr>
      <w:r>
        <w:rPr>
          <w:rFonts w:ascii="Calibri" w:hAnsi="Calibri"/>
          <w:b/>
          <w:color w:val="004080"/>
          <w:sz w:val="28"/>
        </w:rPr>
        <w:t>2.7 Literature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3366"/>
            <w:tcMar>
              <w:top w:w="120" w:type="dxa"/>
              <w:bottom w:w="120" w:type="dxa"/>
              <w:left w:w="150" w:type="dxa"/>
              <w:right w:w="150" w:type="dxa"/>
            </w:tcMar>
          </w:tcPr>
          <w:p>
            <w:pPr>
              <w:jc w:val="left"/>
            </w:pPr>
            <w:r>
              <w:rPr>
                <w:b/>
                <w:color w:val="FFFFFF"/>
                <w:sz w:val="20"/>
              </w:rPr>
              <w:t>Study</w:t>
            </w:r>
          </w:p>
        </w:tc>
        <w:tc>
          <w:tcPr>
            <w:tcW w:type="dxa" w:w="1440"/>
            <w:shd w:fill="003366"/>
            <w:tcMar>
              <w:top w:w="120" w:type="dxa"/>
              <w:bottom w:w="120" w:type="dxa"/>
              <w:left w:w="150" w:type="dxa"/>
              <w:right w:w="150" w:type="dxa"/>
            </w:tcMar>
          </w:tcPr>
          <w:p>
            <w:pPr>
              <w:jc w:val="left"/>
            </w:pPr>
            <w:r>
              <w:rPr>
                <w:b/>
                <w:color w:val="FFFFFF"/>
                <w:sz w:val="20"/>
              </w:rPr>
              <w:t>Modality</w:t>
            </w:r>
          </w:p>
        </w:tc>
        <w:tc>
          <w:tcPr>
            <w:tcW w:type="dxa" w:w="2160"/>
            <w:shd w:fill="003366"/>
            <w:tcMar>
              <w:top w:w="120" w:type="dxa"/>
              <w:bottom w:w="120" w:type="dxa"/>
              <w:left w:w="150" w:type="dxa"/>
              <w:right w:w="150" w:type="dxa"/>
            </w:tcMar>
          </w:tcPr>
          <w:p>
            <w:pPr>
              <w:jc w:val="left"/>
            </w:pPr>
            <w:r>
              <w:rPr>
                <w:b/>
                <w:color w:val="FFFFFF"/>
                <w:sz w:val="20"/>
              </w:rPr>
              <w:t>Task</w:t>
            </w:r>
          </w:p>
        </w:tc>
        <w:tc>
          <w:tcPr>
            <w:tcW w:type="dxa" w:w="3600"/>
            <w:shd w:fill="003366"/>
            <w:tcMar>
              <w:top w:w="120" w:type="dxa"/>
              <w:bottom w:w="120" w:type="dxa"/>
              <w:left w:w="150" w:type="dxa"/>
              <w:right w:w="150" w:type="dxa"/>
            </w:tcMar>
          </w:tcPr>
          <w:p>
            <w:pPr>
              <w:jc w:val="left"/>
            </w:pPr>
            <w:r>
              <w:rPr>
                <w:b/>
                <w:color w:val="FFFFFF"/>
                <w:sz w:val="20"/>
              </w:rPr>
              <w:t>Main Relevance</w:t>
            </w:r>
          </w:p>
        </w:tc>
      </w:tr>
      <w:tr>
        <w:tc>
          <w:tcPr>
            <w:tcW w:type="dxa" w:w="2160"/>
            <w:shd w:fill="FFFFFF"/>
            <w:tcMar>
              <w:top w:w="100" w:type="dxa"/>
              <w:bottom w:w="100" w:type="dxa"/>
              <w:left w:w="150" w:type="dxa"/>
              <w:right w:w="150" w:type="dxa"/>
            </w:tcMar>
          </w:tcPr>
          <w:p>
            <w:pPr>
              <w:jc w:val="left"/>
            </w:pPr>
            <w:r>
              <w:rPr>
                <w:sz w:val="19"/>
              </w:rPr>
              <w:t>Huang et al., 2021</w:t>
            </w:r>
          </w:p>
        </w:tc>
        <w:tc>
          <w:tcPr>
            <w:tcW w:type="dxa" w:w="1440"/>
            <w:shd w:fill="FFFFFF"/>
            <w:tcMar>
              <w:top w:w="100" w:type="dxa"/>
              <w:bottom w:w="100" w:type="dxa"/>
              <w:left w:w="150" w:type="dxa"/>
              <w:right w:w="150" w:type="dxa"/>
            </w:tcMar>
          </w:tcPr>
          <w:p>
            <w:pPr>
              <w:jc w:val="left"/>
            </w:pPr>
            <w:r>
              <w:rPr>
                <w:sz w:val="19"/>
              </w:rPr>
              <w:t>CT + X-ray</w:t>
            </w:r>
          </w:p>
        </w:tc>
        <w:tc>
          <w:tcPr>
            <w:tcW w:type="dxa" w:w="2160"/>
            <w:shd w:fill="FFFFFF"/>
            <w:tcMar>
              <w:top w:w="100" w:type="dxa"/>
              <w:bottom w:w="100" w:type="dxa"/>
              <w:left w:w="150" w:type="dxa"/>
              <w:right w:w="150" w:type="dxa"/>
            </w:tcMar>
          </w:tcPr>
          <w:p>
            <w:pPr>
              <w:jc w:val="left"/>
            </w:pPr>
            <w:r>
              <w:rPr>
                <w:sz w:val="19"/>
              </w:rPr>
              <w:t>Post-COVID follow-up</w:t>
            </w:r>
          </w:p>
        </w:tc>
        <w:tc>
          <w:tcPr>
            <w:tcW w:type="dxa" w:w="3600"/>
            <w:shd w:fill="FFFFFF"/>
            <w:tcMar>
              <w:top w:w="100" w:type="dxa"/>
              <w:bottom w:w="100" w:type="dxa"/>
              <w:left w:w="150" w:type="dxa"/>
              <w:right w:w="150" w:type="dxa"/>
            </w:tcMar>
          </w:tcPr>
          <w:p>
            <w:pPr>
              <w:jc w:val="left"/>
            </w:pPr>
            <w:r>
              <w:rPr>
                <w:sz w:val="19"/>
              </w:rPr>
              <w:t>Demonstrates persistent pulmonary abnormalities</w:t>
            </w:r>
          </w:p>
        </w:tc>
      </w:tr>
      <w:tr>
        <w:tc>
          <w:tcPr>
            <w:tcW w:type="dxa" w:w="2160"/>
            <w:shd w:fill="F4F6F8"/>
            <w:tcMar>
              <w:top w:w="100" w:type="dxa"/>
              <w:bottom w:w="100" w:type="dxa"/>
              <w:left w:w="150" w:type="dxa"/>
              <w:right w:w="150" w:type="dxa"/>
            </w:tcMar>
          </w:tcPr>
          <w:p>
            <w:pPr>
              <w:jc w:val="left"/>
            </w:pPr>
            <w:r>
              <w:rPr>
                <w:sz w:val="19"/>
              </w:rPr>
              <w:t>Wu et al., 2021</w:t>
            </w:r>
          </w:p>
        </w:tc>
        <w:tc>
          <w:tcPr>
            <w:tcW w:type="dxa" w:w="1440"/>
            <w:shd w:fill="F4F6F8"/>
            <w:tcMar>
              <w:top w:w="100" w:type="dxa"/>
              <w:bottom w:w="100" w:type="dxa"/>
              <w:left w:w="150" w:type="dxa"/>
              <w:right w:w="150" w:type="dxa"/>
            </w:tcMar>
          </w:tcPr>
          <w:p>
            <w:pPr>
              <w:jc w:val="left"/>
            </w:pPr>
            <w:r>
              <w:rPr>
                <w:sz w:val="19"/>
              </w:rPr>
              <w:t>CT</w:t>
            </w:r>
          </w:p>
        </w:tc>
        <w:tc>
          <w:tcPr>
            <w:tcW w:type="dxa" w:w="2160"/>
            <w:shd w:fill="F4F6F8"/>
            <w:tcMar>
              <w:top w:w="100" w:type="dxa"/>
              <w:bottom w:w="100" w:type="dxa"/>
              <w:left w:w="150" w:type="dxa"/>
              <w:right w:w="150" w:type="dxa"/>
            </w:tcMar>
          </w:tcPr>
          <w:p>
            <w:pPr>
              <w:jc w:val="left"/>
            </w:pPr>
            <w:r>
              <w:rPr>
                <w:sz w:val="19"/>
              </w:rPr>
              <w:t>Respiratory outcomes</w:t>
            </w:r>
          </w:p>
        </w:tc>
        <w:tc>
          <w:tcPr>
            <w:tcW w:type="dxa" w:w="3600"/>
            <w:shd w:fill="F4F6F8"/>
            <w:tcMar>
              <w:top w:w="100" w:type="dxa"/>
              <w:bottom w:w="100" w:type="dxa"/>
              <w:left w:w="150" w:type="dxa"/>
              <w:right w:w="150" w:type="dxa"/>
            </w:tcMar>
          </w:tcPr>
          <w:p>
            <w:pPr>
              <w:jc w:val="left"/>
            </w:pPr>
            <w:r>
              <w:rPr>
                <w:sz w:val="19"/>
              </w:rPr>
              <w:t>Highlights importance of detailed pulmonary evaluation</w:t>
            </w:r>
          </w:p>
        </w:tc>
      </w:tr>
      <w:tr>
        <w:tc>
          <w:tcPr>
            <w:tcW w:type="dxa" w:w="2160"/>
            <w:shd w:fill="FFFFFF"/>
            <w:tcMar>
              <w:top w:w="100" w:type="dxa"/>
              <w:bottom w:w="100" w:type="dxa"/>
              <w:left w:w="150" w:type="dxa"/>
              <w:right w:w="150" w:type="dxa"/>
            </w:tcMar>
          </w:tcPr>
          <w:p>
            <w:pPr>
              <w:jc w:val="left"/>
            </w:pPr>
            <w:r>
              <w:rPr>
                <w:sz w:val="19"/>
              </w:rPr>
              <w:t>Besutti et al., 2022</w:t>
            </w:r>
          </w:p>
        </w:tc>
        <w:tc>
          <w:tcPr>
            <w:tcW w:type="dxa" w:w="1440"/>
            <w:shd w:fill="FFFFFF"/>
            <w:tcMar>
              <w:top w:w="100" w:type="dxa"/>
              <w:bottom w:w="100" w:type="dxa"/>
              <w:left w:w="150" w:type="dxa"/>
              <w:right w:w="150" w:type="dxa"/>
            </w:tcMar>
          </w:tcPr>
          <w:p>
            <w:pPr>
              <w:jc w:val="left"/>
            </w:pPr>
            <w:r>
              <w:rPr>
                <w:sz w:val="19"/>
              </w:rPr>
              <w:t>X-ray + CT</w:t>
            </w:r>
          </w:p>
        </w:tc>
        <w:tc>
          <w:tcPr>
            <w:tcW w:type="dxa" w:w="2160"/>
            <w:shd w:fill="FFFFFF"/>
            <w:tcMar>
              <w:top w:w="100" w:type="dxa"/>
              <w:bottom w:w="100" w:type="dxa"/>
              <w:left w:w="150" w:type="dxa"/>
              <w:right w:w="150" w:type="dxa"/>
            </w:tcMar>
          </w:tcPr>
          <w:p>
            <w:pPr>
              <w:jc w:val="left"/>
            </w:pPr>
            <w:r>
              <w:rPr>
                <w:sz w:val="19"/>
              </w:rPr>
              <w:t>Post-COVID abnormalities</w:t>
            </w:r>
          </w:p>
        </w:tc>
        <w:tc>
          <w:tcPr>
            <w:tcW w:type="dxa" w:w="3600"/>
            <w:shd w:fill="FFFFFF"/>
            <w:tcMar>
              <w:top w:w="100" w:type="dxa"/>
              <w:bottom w:w="100" w:type="dxa"/>
              <w:left w:w="150" w:type="dxa"/>
              <w:right w:w="150" w:type="dxa"/>
            </w:tcMar>
          </w:tcPr>
          <w:p>
            <w:pPr>
              <w:jc w:val="left"/>
            </w:pPr>
            <w:r>
              <w:rPr>
                <w:sz w:val="19"/>
              </w:rPr>
              <w:t>Demonstrates limitations of X-ray</w:t>
            </w:r>
          </w:p>
        </w:tc>
      </w:tr>
      <w:tr>
        <w:tc>
          <w:tcPr>
            <w:tcW w:type="dxa" w:w="2160"/>
            <w:shd w:fill="F4F6F8"/>
            <w:tcMar>
              <w:top w:w="100" w:type="dxa"/>
              <w:bottom w:w="100" w:type="dxa"/>
              <w:left w:w="150" w:type="dxa"/>
              <w:right w:w="150" w:type="dxa"/>
            </w:tcMar>
          </w:tcPr>
          <w:p>
            <w:pPr>
              <w:jc w:val="left"/>
            </w:pPr>
            <w:r>
              <w:rPr>
                <w:sz w:val="19"/>
              </w:rPr>
              <w:t>Rajpurkar et al., 2017</w:t>
            </w:r>
          </w:p>
        </w:tc>
        <w:tc>
          <w:tcPr>
            <w:tcW w:type="dxa" w:w="1440"/>
            <w:shd w:fill="F4F6F8"/>
            <w:tcMar>
              <w:top w:w="100" w:type="dxa"/>
              <w:bottom w:w="100" w:type="dxa"/>
              <w:left w:w="150" w:type="dxa"/>
              <w:right w:w="150" w:type="dxa"/>
            </w:tcMar>
          </w:tcPr>
          <w:p>
            <w:pPr>
              <w:jc w:val="left"/>
            </w:pPr>
            <w:r>
              <w:rPr>
                <w:sz w:val="19"/>
              </w:rPr>
              <w:t>X-ray</w:t>
            </w:r>
          </w:p>
        </w:tc>
        <w:tc>
          <w:tcPr>
            <w:tcW w:type="dxa" w:w="2160"/>
            <w:shd w:fill="F4F6F8"/>
            <w:tcMar>
              <w:top w:w="100" w:type="dxa"/>
              <w:bottom w:w="100" w:type="dxa"/>
              <w:left w:w="150" w:type="dxa"/>
              <w:right w:w="150" w:type="dxa"/>
            </w:tcMar>
          </w:tcPr>
          <w:p>
            <w:pPr>
              <w:jc w:val="left"/>
            </w:pPr>
            <w:r>
              <w:rPr>
                <w:sz w:val="19"/>
              </w:rPr>
              <w:t>Pneumonia</w:t>
            </w:r>
          </w:p>
        </w:tc>
        <w:tc>
          <w:tcPr>
            <w:tcW w:type="dxa" w:w="3600"/>
            <w:shd w:fill="F4F6F8"/>
            <w:tcMar>
              <w:top w:w="100" w:type="dxa"/>
              <w:bottom w:w="100" w:type="dxa"/>
              <w:left w:w="150" w:type="dxa"/>
              <w:right w:w="150" w:type="dxa"/>
            </w:tcMar>
          </w:tcPr>
          <w:p>
            <w:pPr>
              <w:jc w:val="left"/>
            </w:pPr>
            <w:r>
              <w:rPr>
                <w:sz w:val="19"/>
              </w:rPr>
              <w:t>Demonstrates deep learning for chest radiographs</w:t>
            </w:r>
          </w:p>
        </w:tc>
      </w:tr>
      <w:tr>
        <w:tc>
          <w:tcPr>
            <w:tcW w:type="dxa" w:w="2160"/>
            <w:shd w:fill="FFFFFF"/>
            <w:tcMar>
              <w:top w:w="100" w:type="dxa"/>
              <w:bottom w:w="100" w:type="dxa"/>
              <w:left w:w="150" w:type="dxa"/>
              <w:right w:w="150" w:type="dxa"/>
            </w:tcMar>
          </w:tcPr>
          <w:p>
            <w:pPr>
              <w:jc w:val="left"/>
            </w:pPr>
            <w:r>
              <w:rPr>
                <w:sz w:val="19"/>
              </w:rPr>
              <w:t>Apostolopoulos &amp; Mpesiana, 2020</w:t>
            </w:r>
          </w:p>
        </w:tc>
        <w:tc>
          <w:tcPr>
            <w:tcW w:type="dxa" w:w="1440"/>
            <w:shd w:fill="FFFFFF"/>
            <w:tcMar>
              <w:top w:w="100" w:type="dxa"/>
              <w:bottom w:w="100" w:type="dxa"/>
              <w:left w:w="150" w:type="dxa"/>
              <w:right w:w="150" w:type="dxa"/>
            </w:tcMar>
          </w:tcPr>
          <w:p>
            <w:pPr>
              <w:jc w:val="left"/>
            </w:pPr>
            <w:r>
              <w:rPr>
                <w:sz w:val="19"/>
              </w:rPr>
              <w:t>X-ray</w:t>
            </w:r>
          </w:p>
        </w:tc>
        <w:tc>
          <w:tcPr>
            <w:tcW w:type="dxa" w:w="2160"/>
            <w:shd w:fill="FFFFFF"/>
            <w:tcMar>
              <w:top w:w="100" w:type="dxa"/>
              <w:bottom w:w="100" w:type="dxa"/>
              <w:left w:w="150" w:type="dxa"/>
              <w:right w:w="150" w:type="dxa"/>
            </w:tcMar>
          </w:tcPr>
          <w:p>
            <w:pPr>
              <w:jc w:val="left"/>
            </w:pPr>
            <w:r>
              <w:rPr>
                <w:sz w:val="19"/>
              </w:rPr>
              <w:t>COVID-19</w:t>
            </w:r>
          </w:p>
        </w:tc>
        <w:tc>
          <w:tcPr>
            <w:tcW w:type="dxa" w:w="3600"/>
            <w:shd w:fill="FFFFFF"/>
            <w:tcMar>
              <w:top w:w="100" w:type="dxa"/>
              <w:bottom w:w="100" w:type="dxa"/>
              <w:left w:w="150" w:type="dxa"/>
              <w:right w:w="150" w:type="dxa"/>
            </w:tcMar>
          </w:tcPr>
          <w:p>
            <w:pPr>
              <w:jc w:val="left"/>
            </w:pPr>
            <w:r>
              <w:rPr>
                <w:sz w:val="19"/>
              </w:rPr>
              <w:t>Demonstrates transfer learning</w:t>
            </w:r>
          </w:p>
        </w:tc>
      </w:tr>
      <w:tr>
        <w:tc>
          <w:tcPr>
            <w:tcW w:type="dxa" w:w="2160"/>
            <w:shd w:fill="F4F6F8"/>
            <w:tcMar>
              <w:top w:w="100" w:type="dxa"/>
              <w:bottom w:w="100" w:type="dxa"/>
              <w:left w:w="150" w:type="dxa"/>
              <w:right w:w="150" w:type="dxa"/>
            </w:tcMar>
          </w:tcPr>
          <w:p>
            <w:pPr>
              <w:jc w:val="left"/>
            </w:pPr>
            <w:r>
              <w:rPr>
                <w:sz w:val="19"/>
              </w:rPr>
              <w:t>Wang et al., 2020</w:t>
            </w:r>
          </w:p>
        </w:tc>
        <w:tc>
          <w:tcPr>
            <w:tcW w:type="dxa" w:w="1440"/>
            <w:shd w:fill="F4F6F8"/>
            <w:tcMar>
              <w:top w:w="100" w:type="dxa"/>
              <w:bottom w:w="100" w:type="dxa"/>
              <w:left w:w="150" w:type="dxa"/>
              <w:right w:w="150" w:type="dxa"/>
            </w:tcMar>
          </w:tcPr>
          <w:p>
            <w:pPr>
              <w:jc w:val="left"/>
            </w:pPr>
            <w:r>
              <w:rPr>
                <w:sz w:val="19"/>
              </w:rPr>
              <w:t>X-ray</w:t>
            </w:r>
          </w:p>
        </w:tc>
        <w:tc>
          <w:tcPr>
            <w:tcW w:type="dxa" w:w="2160"/>
            <w:shd w:fill="F4F6F8"/>
            <w:tcMar>
              <w:top w:w="100" w:type="dxa"/>
              <w:bottom w:w="100" w:type="dxa"/>
              <w:left w:w="150" w:type="dxa"/>
              <w:right w:w="150" w:type="dxa"/>
            </w:tcMar>
          </w:tcPr>
          <w:p>
            <w:pPr>
              <w:jc w:val="left"/>
            </w:pPr>
            <w:r>
              <w:rPr>
                <w:sz w:val="19"/>
              </w:rPr>
              <w:t>COVID-19</w:t>
            </w:r>
          </w:p>
        </w:tc>
        <w:tc>
          <w:tcPr>
            <w:tcW w:type="dxa" w:w="3600"/>
            <w:shd w:fill="F4F6F8"/>
            <w:tcMar>
              <w:top w:w="100" w:type="dxa"/>
              <w:bottom w:w="100" w:type="dxa"/>
              <w:left w:w="150" w:type="dxa"/>
              <w:right w:w="150" w:type="dxa"/>
            </w:tcMar>
          </w:tcPr>
          <w:p>
            <w:pPr>
              <w:jc w:val="left"/>
            </w:pPr>
            <w:r>
              <w:rPr>
                <w:sz w:val="19"/>
              </w:rPr>
              <w:t>Demonstrates specialized CNN design</w:t>
            </w:r>
          </w:p>
        </w:tc>
      </w:tr>
      <w:tr>
        <w:tc>
          <w:tcPr>
            <w:tcW w:type="dxa" w:w="2160"/>
            <w:shd w:fill="FFFFFF"/>
            <w:tcMar>
              <w:top w:w="100" w:type="dxa"/>
              <w:bottom w:w="100" w:type="dxa"/>
              <w:left w:w="150" w:type="dxa"/>
              <w:right w:w="150" w:type="dxa"/>
            </w:tcMar>
          </w:tcPr>
          <w:p>
            <w:pPr>
              <w:jc w:val="left"/>
            </w:pPr>
            <w:r>
              <w:rPr>
                <w:sz w:val="19"/>
              </w:rPr>
              <w:t>Selvaraju et al., 2017</w:t>
            </w:r>
          </w:p>
        </w:tc>
        <w:tc>
          <w:tcPr>
            <w:tcW w:type="dxa" w:w="1440"/>
            <w:shd w:fill="FFFFFF"/>
            <w:tcMar>
              <w:top w:w="100" w:type="dxa"/>
              <w:bottom w:w="100" w:type="dxa"/>
              <w:left w:w="150" w:type="dxa"/>
              <w:right w:w="150" w:type="dxa"/>
            </w:tcMar>
          </w:tcPr>
          <w:p>
            <w:pPr>
              <w:jc w:val="left"/>
            </w:pPr>
            <w:r>
              <w:rPr>
                <w:sz w:val="19"/>
              </w:rPr>
              <w:t>CNN</w:t>
            </w:r>
          </w:p>
        </w:tc>
        <w:tc>
          <w:tcPr>
            <w:tcW w:type="dxa" w:w="2160"/>
            <w:shd w:fill="FFFFFF"/>
            <w:tcMar>
              <w:top w:w="100" w:type="dxa"/>
              <w:bottom w:w="100" w:type="dxa"/>
              <w:left w:w="150" w:type="dxa"/>
              <w:right w:w="150" w:type="dxa"/>
            </w:tcMar>
          </w:tcPr>
          <w:p>
            <w:pPr>
              <w:jc w:val="left"/>
            </w:pPr>
            <w:r>
              <w:rPr>
                <w:sz w:val="19"/>
              </w:rPr>
              <w:t>Explainability</w:t>
            </w:r>
          </w:p>
        </w:tc>
        <w:tc>
          <w:tcPr>
            <w:tcW w:type="dxa" w:w="3600"/>
            <w:shd w:fill="FFFFFF"/>
            <w:tcMar>
              <w:top w:w="100" w:type="dxa"/>
              <w:bottom w:w="100" w:type="dxa"/>
              <w:left w:w="150" w:type="dxa"/>
              <w:right w:w="150" w:type="dxa"/>
            </w:tcMar>
          </w:tcPr>
          <w:p>
            <w:pPr>
              <w:jc w:val="left"/>
            </w:pPr>
            <w:r>
              <w:rPr>
                <w:sz w:val="19"/>
              </w:rPr>
              <w:t>Introduces Grad-CAM</w:t>
            </w:r>
          </w:p>
        </w:tc>
      </w:tr>
    </w:tbl>
    <w:p>
      <w:pPr>
        <w:spacing w:after="120"/>
      </w:pPr>
    </w:p>
    <w:p>
      <w:pPr>
        <w:spacing w:before="280" w:after="120"/>
      </w:pPr>
      <w:r>
        <w:rPr>
          <w:rFonts w:ascii="Calibri" w:hAnsi="Calibri"/>
          <w:b/>
          <w:color w:val="004080"/>
          <w:sz w:val="28"/>
        </w:rPr>
        <w:t>2.8 Research Positioning</w:t>
      </w:r>
    </w:p>
    <w:p>
      <w:pPr>
        <w:spacing w:after="120" w:line="276" w:lineRule="auto"/>
      </w:pPr>
      <w:r>
        <w:rPr>
          <w:i w:val="0"/>
        </w:rPr>
        <w:t>The project combines fibrosis screening, transfer learning, independent testing, threshold tuning, Grad-CAM, and deployment.</w:t>
      </w:r>
    </w:p>
    <w:p>
      <w:pPr>
        <w:pageBreakBefore/>
        <w:spacing w:before="360" w:after="160"/>
      </w:pPr>
      <w:r>
        <w:rPr>
          <w:rFonts w:ascii="Calibri" w:hAnsi="Calibri"/>
          <w:b/>
          <w:color w:val="003366"/>
          <w:sz w:val="36"/>
        </w:rPr>
        <w:t>CHAPTER 3: DATASET AND DATA PREPARATION</w:t>
      </w:r>
    </w:p>
    <w:p>
      <w:pPr>
        <w:spacing w:before="280" w:after="120"/>
      </w:pPr>
      <w:r>
        <w:rPr>
          <w:rFonts w:ascii="Calibri" w:hAnsi="Calibri"/>
          <w:b/>
          <w:color w:val="004080"/>
          <w:sz w:val="28"/>
        </w:rPr>
        <w:t>3.1 Dataset Structure</w:t>
      </w:r>
    </w:p>
    <w:p>
      <w:pPr>
        <w:spacing w:after="120" w:line="276" w:lineRule="auto"/>
      </w:pPr>
      <w:r>
        <w:rPr>
          <w:i w:val="0"/>
        </w:rPr>
        <w:t>Dataset 1 — NIH Chest X-ray Dataset: Main training source (02_NIH_Chest_Xray_Dataset, Data_Entry_2017.csv, images-224). Test ratio = 0.20, random state = 42.</w:t>
      </w:r>
    </w:p>
    <w:p>
      <w:pPr>
        <w:spacing w:before="280" w:after="120"/>
      </w:pPr>
      <w:r>
        <w:rPr>
          <w:rFonts w:ascii="Calibri" w:hAnsi="Calibri"/>
          <w:b/>
          <w:color w:val="004080"/>
          <w:sz w:val="28"/>
        </w:rPr>
        <w:t>3.2 Dataset 2 — Kaggle Lung Disease Dataset (Fibrosis)</w:t>
      </w:r>
    </w:p>
    <w:p>
      <w:pPr>
        <w:spacing w:after="120" w:line="276" w:lineRule="auto"/>
      </w:pPr>
      <w:r>
        <w:rPr>
          <w:i w:val="0"/>
        </w:rPr>
        <w:t>Independent Testing Dataset 1 (01_Kaggle_Lung_Disease_Dataset_Fibrosis), kept separate from training.</w:t>
      </w:r>
    </w:p>
    <w:p>
      <w:pPr>
        <w:spacing w:before="280" w:after="120"/>
      </w:pPr>
      <w:r>
        <w:rPr>
          <w:rFonts w:ascii="Calibri" w:hAnsi="Calibri"/>
          <w:b/>
          <w:color w:val="004080"/>
          <w:sz w:val="28"/>
        </w:rPr>
        <w:t>3.3 Dataset 3 — Post-COVID Lung Fibrosis Dataset</w:t>
      </w:r>
    </w:p>
    <w:p>
      <w:pPr>
        <w:spacing w:after="120" w:line="276" w:lineRule="auto"/>
      </w:pPr>
      <w:r>
        <w:rPr>
          <w:i w:val="0"/>
        </w:rPr>
        <w:t>Independent Testing Dataset 2 (03_Post_COVID_Lung_Fibrosis_Dataset), external domain.</w:t>
      </w:r>
    </w:p>
    <w:p>
      <w:pPr>
        <w:spacing w:before="280" w:after="120"/>
      </w:pPr>
      <w:r>
        <w:rPr>
          <w:rFonts w:ascii="Calibri" w:hAnsi="Calibri"/>
          <w:b/>
          <w:color w:val="004080"/>
          <w:sz w:val="28"/>
        </w:rPr>
        <w:t>3.4 Dataset Separation</w:t>
      </w:r>
    </w:p>
    <w:p>
      <w:pPr>
        <w:spacing w:after="120" w:line="276" w:lineRule="auto"/>
      </w:pPr>
      <w:r>
        <w:rPr>
          <w:i w:val="0"/>
        </w:rPr>
        <w:t>The training pipeline strictly trains on NIH data and tests generalization on external datasets.</w:t>
      </w:r>
    </w:p>
    <w:p>
      <w:pPr>
        <w:spacing w:before="200" w:after="80"/>
        <w:jc w:val="center"/>
      </w:pPr>
      <w:r>
        <w:drawing>
          <wp:inline xmlns:a="http://schemas.openxmlformats.org/drawingml/2006/main" xmlns:pic="http://schemas.openxmlformats.org/drawingml/2006/picture">
            <wp:extent cx="5303520" cy="2624975"/>
            <wp:docPr id="2" name="Picture 2"/>
            <wp:cNvGraphicFramePr>
              <a:graphicFrameLocks noChangeAspect="1"/>
            </wp:cNvGraphicFramePr>
            <a:graphic>
              <a:graphicData uri="http://schemas.openxmlformats.org/drawingml/2006/picture">
                <pic:pic>
                  <pic:nvPicPr>
                    <pic:cNvPr id="0" name="fig2_dataset_split.png"/>
                    <pic:cNvPicPr/>
                  </pic:nvPicPr>
                  <pic:blipFill>
                    <a:blip r:embed="rId10"/>
                    <a:stretch>
                      <a:fillRect/>
                    </a:stretch>
                  </pic:blipFill>
                  <pic:spPr>
                    <a:xfrm>
                      <a:off x="0" y="0"/>
                      <a:ext cx="5303520" cy="2624975"/>
                    </a:xfrm>
                    <a:prstGeom prst="rect"/>
                  </pic:spPr>
                </pic:pic>
              </a:graphicData>
            </a:graphic>
          </wp:inline>
        </w:drawing>
      </w:r>
    </w:p>
    <w:p>
      <w:pPr>
        <w:spacing w:after="240"/>
        <w:jc w:val="center"/>
      </w:pPr>
      <w:r>
        <w:rPr>
          <w:b/>
          <w:i/>
          <w:color w:val="555555"/>
          <w:sz w:val="19"/>
        </w:rPr>
        <w:t>Figure 2: Dataset Hierarchy and Independent Evaluation Pipeline</w:t>
      </w:r>
    </w:p>
    <w:p>
      <w:pPr>
        <w:spacing w:before="280" w:after="120"/>
      </w:pPr>
      <w:r>
        <w:rPr>
          <w:rFonts w:ascii="Calibri" w:hAnsi="Calibri"/>
          <w:b/>
          <w:color w:val="004080"/>
          <w:sz w:val="28"/>
        </w:rPr>
        <w:t>3.5 Dataset Preparation</w:t>
      </w:r>
    </w:p>
    <w:p>
      <w:pPr>
        <w:spacing w:after="120" w:line="276" w:lineRule="auto"/>
      </w:pPr>
      <w:r>
        <w:rPr>
          <w:i w:val="0"/>
        </w:rPr>
        <w:t>Data Cleaning: Invalid images skipped.</w:t>
        <w:br/>
        <w:t>Class Selection: Fibrosis (1) vs Normal (0).</w:t>
        <w:br/>
        <w:t>Standardization: Resized to 224 x 224 RGB, normalized [0, 1].</w:t>
        <w:br/>
        <w:t>Memory Mapping: Disk-based NumPy memmap (X_all.dat, y_all.dat) for high efficiency.</w:t>
      </w:r>
    </w:p>
    <w:p>
      <w:pPr>
        <w:spacing w:before="280" w:after="120"/>
      </w:pPr>
      <w:r>
        <w:rPr>
          <w:rFonts w:ascii="Calibri" w:hAnsi="Calibri"/>
          <w:b/>
          <w:color w:val="004080"/>
          <w:sz w:val="28"/>
        </w:rPr>
        <w:t>3.6 Class Imbalance</w:t>
      </w:r>
    </w:p>
    <w:p>
      <w:pPr>
        <w:spacing w:after="120" w:line="276" w:lineRule="auto"/>
      </w:pPr>
      <w:r>
        <w:rPr>
          <w:i w:val="0"/>
        </w:rPr>
        <w:t>Sample weighting applied: Normal w0 = 1.0, Fibrosis w1 = (N_neg / N_pos) * 0.5 to balance loss contributions.</w:t>
      </w:r>
    </w:p>
    <w:p>
      <w:pPr>
        <w:spacing w:before="280" w:after="120"/>
      </w:pPr>
      <w:r>
        <w:rPr>
          <w:rFonts w:ascii="Calibri" w:hAnsi="Calibri"/>
          <w:b/>
          <w:color w:val="004080"/>
          <w:sz w:val="28"/>
        </w:rPr>
        <w:t>3.7 Train-Test Split</w:t>
      </w:r>
    </w:p>
    <w:p>
      <w:pPr>
        <w:spacing w:after="120" w:line="276" w:lineRule="auto"/>
      </w:pPr>
      <w:r>
        <w:rPr>
          <w:i w:val="0"/>
        </w:rPr>
        <w:t>Index-based 80% train / 20% test split saved as train_idx.npy and test_idx.npy.</w:t>
      </w:r>
    </w:p>
    <w:p>
      <w:pPr>
        <w:pageBreakBefore/>
        <w:spacing w:before="360" w:after="160"/>
      </w:pPr>
      <w:r>
        <w:rPr>
          <w:rFonts w:ascii="Calibri" w:hAnsi="Calibri"/>
          <w:b/>
          <w:color w:val="003366"/>
          <w:sz w:val="36"/>
        </w:rPr>
        <w:t>CHAPTER 4: PROPOSED METHODOLOGY</w:t>
      </w:r>
    </w:p>
    <w:p>
      <w:pPr>
        <w:spacing w:before="280" w:after="120"/>
      </w:pPr>
      <w:r>
        <w:rPr>
          <w:rFonts w:ascii="Calibri" w:hAnsi="Calibri"/>
          <w:b/>
          <w:color w:val="004080"/>
          <w:sz w:val="28"/>
        </w:rPr>
        <w:t>4.1 Overall System</w:t>
      </w:r>
    </w:p>
    <w:p>
      <w:pPr>
        <w:spacing w:after="120" w:line="276" w:lineRule="auto"/>
      </w:pPr>
      <w:r>
        <w:rPr>
          <w:i w:val="0"/>
        </w:rPr>
        <w:t>CXR -&gt; Preprocessing (224x224x3) -&gt; ResNet50 -&gt; GAP -&gt; Dense(256) -&gt; Dropout(0.4) -&gt; Sigmoid -&gt; Probability -&gt; Threshold 0.4 -&gt; Grad-CAM Heatmap.</w:t>
      </w:r>
    </w:p>
    <w:p>
      <w:pPr>
        <w:spacing w:before="280" w:after="120"/>
      </w:pPr>
      <w:r>
        <w:rPr>
          <w:rFonts w:ascii="Calibri" w:hAnsi="Calibri"/>
          <w:b/>
          <w:color w:val="004080"/>
          <w:sz w:val="28"/>
        </w:rPr>
        <w:t>4.2 ResNet50 Backbone</w:t>
      </w:r>
    </w:p>
    <w:p>
      <w:pPr>
        <w:spacing w:after="120" w:line="276" w:lineRule="auto"/>
      </w:pPr>
      <w:r>
        <w:rPr>
          <w:i w:val="0"/>
        </w:rPr>
        <w:t>Pretrained ImageNet weights used, top classification head removed.</w:t>
      </w:r>
    </w:p>
    <w:p>
      <w:pPr>
        <w:spacing w:before="280" w:after="120"/>
      </w:pPr>
      <w:r>
        <w:rPr>
          <w:rFonts w:ascii="Calibri" w:hAnsi="Calibri"/>
          <w:b/>
          <w:color w:val="004080"/>
          <w:sz w:val="28"/>
        </w:rPr>
        <w:t>4.3 Classification Head</w:t>
      </w:r>
    </w:p>
    <w:p>
      <w:pPr>
        <w:spacing w:after="120" w:line="276" w:lineRule="auto"/>
      </w:pPr>
      <w:r>
        <w:rPr>
          <w:i w:val="0"/>
        </w:rPr>
        <w:t>Global Average Pooling, Dense 256 (ReLU), Dropout (0.4), Dense 1 (Sigmoid).</w:t>
      </w:r>
    </w:p>
    <w:p>
      <w:pPr>
        <w:spacing w:before="280" w:after="120"/>
      </w:pPr>
      <w:r>
        <w:rPr>
          <w:rFonts w:ascii="Calibri" w:hAnsi="Calibri"/>
          <w:b/>
          <w:color w:val="004080"/>
          <w:sz w:val="28"/>
        </w:rPr>
        <w:t>4.4 Transfer Learning</w:t>
      </w:r>
    </w:p>
    <w:p>
      <w:pPr>
        <w:spacing w:after="120" w:line="276" w:lineRule="auto"/>
      </w:pPr>
      <w:r>
        <w:rPr>
          <w:i w:val="0"/>
        </w:rPr>
        <w:t>Backbone initially frozen, trained for 10 epochs at LR = 1e-4.</w:t>
      </w:r>
    </w:p>
    <w:p>
      <w:pPr>
        <w:spacing w:before="280" w:after="120"/>
      </w:pPr>
      <w:r>
        <w:rPr>
          <w:rFonts w:ascii="Calibri" w:hAnsi="Calibri"/>
          <w:b/>
          <w:color w:val="004080"/>
          <w:sz w:val="28"/>
        </w:rPr>
        <w:t>4.5 Fine-Tuning</w:t>
      </w:r>
    </w:p>
    <w:p>
      <w:pPr>
        <w:spacing w:after="120" w:line="276" w:lineRule="auto"/>
      </w:pPr>
      <w:r>
        <w:rPr>
          <w:i w:val="0"/>
        </w:rPr>
        <w:t>Last 40 layers unfrozen, trained at low LR = 1e-5 with Adam, batch size 16, dropout 0.4, early stopping (patience 3).</w:t>
      </w:r>
    </w:p>
    <w:p>
      <w:pPr>
        <w:spacing w:before="280" w:after="120"/>
      </w:pPr>
      <w:r>
        <w:rPr>
          <w:rFonts w:ascii="Calibri" w:hAnsi="Calibri"/>
          <w:b/>
          <w:color w:val="004080"/>
          <w:sz w:val="28"/>
        </w:rPr>
        <w:t>4.6 Loss Function</w:t>
      </w:r>
    </w:p>
    <w:p>
      <w:pPr>
        <w:spacing w:after="120" w:line="276" w:lineRule="auto"/>
      </w:pPr>
      <w:r>
        <w:rPr>
          <w:i w:val="0"/>
        </w:rPr>
        <w:t>Binary Cross-Entropy Loss: L = -[y log(p) + (1-y) log(1-p)].</w:t>
      </w:r>
    </w:p>
    <w:p>
      <w:pPr>
        <w:spacing w:before="280" w:after="120"/>
      </w:pPr>
      <w:r>
        <w:rPr>
          <w:rFonts w:ascii="Calibri" w:hAnsi="Calibri"/>
          <w:b/>
          <w:color w:val="004080"/>
          <w:sz w:val="28"/>
        </w:rPr>
        <w:t>4.7 Optimizer &amp; Early Stopping</w:t>
      </w:r>
    </w:p>
    <w:p>
      <w:pPr>
        <w:spacing w:after="120" w:line="276" w:lineRule="auto"/>
      </w:pPr>
      <w:r>
        <w:rPr>
          <w:i w:val="0"/>
        </w:rPr>
        <w:t>Adam optimizer at LR 1e-5 with EarlyStopping monitoring validation loss.</w:t>
      </w:r>
    </w:p>
    <w:p>
      <w:pPr>
        <w:spacing w:before="280" w:after="120"/>
      </w:pPr>
      <w:r>
        <w:rPr>
          <w:rFonts w:ascii="Calibri" w:hAnsi="Calibri"/>
          <w:b/>
          <w:color w:val="004080"/>
          <w:sz w:val="28"/>
        </w:rPr>
        <w:t>4.8 Threshold Selection (tau = 0.4)</w:t>
      </w:r>
    </w:p>
    <w:p>
      <w:pPr>
        <w:spacing w:after="120" w:line="276" w:lineRule="auto"/>
      </w:pPr>
      <w:r>
        <w:rPr>
          <w:i w:val="0"/>
        </w:rPr>
        <w:t>Threshold lowered to 0.4 to increase sensitivity for medical screening.</w:t>
      </w:r>
    </w:p>
    <w:p>
      <w:pPr>
        <w:spacing w:before="280" w:after="120"/>
      </w:pPr>
      <w:r>
        <w:rPr>
          <w:rFonts w:ascii="Calibri" w:hAnsi="Calibri"/>
          <w:b/>
          <w:color w:val="004080"/>
          <w:sz w:val="28"/>
        </w:rPr>
        <w:t>4.9 Grad-CAM</w:t>
      </w:r>
    </w:p>
    <w:p>
      <w:pPr>
        <w:spacing w:after="120" w:line="276" w:lineRule="auto"/>
      </w:pPr>
      <w:r>
        <w:rPr>
          <w:i w:val="0"/>
        </w:rPr>
        <w:t>Gradients of top class score with respect to last conv layer feature maps computed, pooled, and multiplied for spatial heatmap generation.</w:t>
      </w:r>
    </w:p>
    <w:p>
      <w:pPr>
        <w:pageBreakBefore/>
        <w:spacing w:before="360" w:after="160"/>
      </w:pPr>
      <w:r>
        <w:rPr>
          <w:rFonts w:ascii="Calibri" w:hAnsi="Calibri"/>
          <w:b/>
          <w:color w:val="003366"/>
          <w:sz w:val="36"/>
        </w:rPr>
        <w:t>CHAPTER 5: IMPLEMENTATION</w:t>
      </w:r>
    </w:p>
    <w:p>
      <w:pPr>
        <w:spacing w:before="280" w:after="120"/>
      </w:pPr>
      <w:r>
        <w:rPr>
          <w:rFonts w:ascii="Calibri" w:hAnsi="Calibri"/>
          <w:b/>
          <w:color w:val="004080"/>
          <w:sz w:val="28"/>
        </w:rPr>
        <w:t>5.1 Software Technologies</w:t>
      </w:r>
    </w:p>
    <w:tbl>
      <w:tblPr>
        <w:tblW w:type="auto" w:w="0"/>
        <w:jc w:val="center"/>
        <w:tblLayout w:type="fixed"/>
        <w:tblLook w:firstColumn="1" w:firstRow="1" w:lastColumn="0" w:lastRow="0" w:noHBand="0" w:noVBand="1" w:val="04A0"/>
      </w:tblPr>
      <w:tblGrid>
        <w:gridCol w:w="4680"/>
        <w:gridCol w:w="4680"/>
      </w:tblGrid>
      <w:tr>
        <w:tc>
          <w:tcPr>
            <w:tcW w:type="dxa" w:w="3600"/>
            <w:shd w:fill="003366"/>
            <w:tcMar>
              <w:top w:w="120" w:type="dxa"/>
              <w:bottom w:w="120" w:type="dxa"/>
              <w:left w:w="150" w:type="dxa"/>
              <w:right w:w="150" w:type="dxa"/>
            </w:tcMar>
          </w:tcPr>
          <w:p>
            <w:pPr>
              <w:jc w:val="left"/>
            </w:pPr>
            <w:r>
              <w:rPr>
                <w:b/>
                <w:color w:val="FFFFFF"/>
                <w:sz w:val="20"/>
              </w:rPr>
              <w:t>Component</w:t>
            </w:r>
          </w:p>
        </w:tc>
        <w:tc>
          <w:tcPr>
            <w:tcW w:type="dxa" w:w="5040"/>
            <w:shd w:fill="003366"/>
            <w:tcMar>
              <w:top w:w="120" w:type="dxa"/>
              <w:bottom w:w="120" w:type="dxa"/>
              <w:left w:w="150" w:type="dxa"/>
              <w:right w:w="150" w:type="dxa"/>
            </w:tcMar>
          </w:tcPr>
          <w:p>
            <w:pPr>
              <w:jc w:val="left"/>
            </w:pPr>
            <w:r>
              <w:rPr>
                <w:b/>
                <w:color w:val="FFFFFF"/>
                <w:sz w:val="20"/>
              </w:rPr>
              <w:t>Technology</w:t>
            </w:r>
          </w:p>
        </w:tc>
      </w:tr>
      <w:tr>
        <w:tc>
          <w:tcPr>
            <w:tcW w:type="dxa" w:w="3600"/>
            <w:shd w:fill="FFFFFF"/>
            <w:tcMar>
              <w:top w:w="100" w:type="dxa"/>
              <w:bottom w:w="100" w:type="dxa"/>
              <w:left w:w="150" w:type="dxa"/>
              <w:right w:w="150" w:type="dxa"/>
            </w:tcMar>
          </w:tcPr>
          <w:p>
            <w:pPr>
              <w:jc w:val="left"/>
            </w:pPr>
            <w:r>
              <w:rPr>
                <w:sz w:val="19"/>
              </w:rPr>
              <w:t>Programming Language</w:t>
            </w:r>
          </w:p>
        </w:tc>
        <w:tc>
          <w:tcPr>
            <w:tcW w:type="dxa" w:w="5040"/>
            <w:shd w:fill="FFFFFF"/>
            <w:tcMar>
              <w:top w:w="100" w:type="dxa"/>
              <w:bottom w:w="100" w:type="dxa"/>
              <w:left w:w="150" w:type="dxa"/>
              <w:right w:w="150" w:type="dxa"/>
            </w:tcMar>
          </w:tcPr>
          <w:p>
            <w:pPr>
              <w:jc w:val="left"/>
            </w:pPr>
            <w:r>
              <w:rPr>
                <w:sz w:val="19"/>
              </w:rPr>
              <w:t>Python 3.12</w:t>
            </w:r>
          </w:p>
        </w:tc>
      </w:tr>
      <w:tr>
        <w:tc>
          <w:tcPr>
            <w:tcW w:type="dxa" w:w="3600"/>
            <w:shd w:fill="F4F6F8"/>
            <w:tcMar>
              <w:top w:w="100" w:type="dxa"/>
              <w:bottom w:w="100" w:type="dxa"/>
              <w:left w:w="150" w:type="dxa"/>
              <w:right w:w="150" w:type="dxa"/>
            </w:tcMar>
          </w:tcPr>
          <w:p>
            <w:pPr>
              <w:jc w:val="left"/>
            </w:pPr>
            <w:r>
              <w:rPr>
                <w:sz w:val="19"/>
              </w:rPr>
              <w:t>Deep Learning Framework</w:t>
            </w:r>
          </w:p>
        </w:tc>
        <w:tc>
          <w:tcPr>
            <w:tcW w:type="dxa" w:w="5040"/>
            <w:shd w:fill="F4F6F8"/>
            <w:tcMar>
              <w:top w:w="100" w:type="dxa"/>
              <w:bottom w:w="100" w:type="dxa"/>
              <w:left w:w="150" w:type="dxa"/>
              <w:right w:w="150" w:type="dxa"/>
            </w:tcMar>
          </w:tcPr>
          <w:p>
            <w:pPr>
              <w:jc w:val="left"/>
            </w:pPr>
            <w:r>
              <w:rPr>
                <w:sz w:val="19"/>
              </w:rPr>
              <w:t>TensorFlow / Keras</w:t>
            </w:r>
          </w:p>
        </w:tc>
      </w:tr>
      <w:tr>
        <w:tc>
          <w:tcPr>
            <w:tcW w:type="dxa" w:w="3600"/>
            <w:shd w:fill="FFFFFF"/>
            <w:tcMar>
              <w:top w:w="100" w:type="dxa"/>
              <w:bottom w:w="100" w:type="dxa"/>
              <w:left w:w="150" w:type="dxa"/>
              <w:right w:w="150" w:type="dxa"/>
            </w:tcMar>
          </w:tcPr>
          <w:p>
            <w:pPr>
              <w:jc w:val="left"/>
            </w:pPr>
            <w:r>
              <w:rPr>
                <w:sz w:val="19"/>
              </w:rPr>
              <w:t>Model Backbone</w:t>
            </w:r>
          </w:p>
        </w:tc>
        <w:tc>
          <w:tcPr>
            <w:tcW w:type="dxa" w:w="5040"/>
            <w:shd w:fill="FFFFFF"/>
            <w:tcMar>
              <w:top w:w="100" w:type="dxa"/>
              <w:bottom w:w="100" w:type="dxa"/>
              <w:left w:w="150" w:type="dxa"/>
              <w:right w:w="150" w:type="dxa"/>
            </w:tcMar>
          </w:tcPr>
          <w:p>
            <w:pPr>
              <w:jc w:val="left"/>
            </w:pPr>
            <w:r>
              <w:rPr>
                <w:sz w:val="19"/>
              </w:rPr>
              <w:t>ResNet50 (ImageNet Pretrained)</w:t>
            </w:r>
          </w:p>
        </w:tc>
      </w:tr>
      <w:tr>
        <w:tc>
          <w:tcPr>
            <w:tcW w:type="dxa" w:w="3600"/>
            <w:shd w:fill="F4F6F8"/>
            <w:tcMar>
              <w:top w:w="100" w:type="dxa"/>
              <w:bottom w:w="100" w:type="dxa"/>
              <w:left w:w="150" w:type="dxa"/>
              <w:right w:w="150" w:type="dxa"/>
            </w:tcMar>
          </w:tcPr>
          <w:p>
            <w:pPr>
              <w:jc w:val="left"/>
            </w:pPr>
            <w:r>
              <w:rPr>
                <w:sz w:val="19"/>
              </w:rPr>
              <w:t>Numerical Processing</w:t>
            </w:r>
          </w:p>
        </w:tc>
        <w:tc>
          <w:tcPr>
            <w:tcW w:type="dxa" w:w="5040"/>
            <w:shd w:fill="F4F6F8"/>
            <w:tcMar>
              <w:top w:w="100" w:type="dxa"/>
              <w:bottom w:w="100" w:type="dxa"/>
              <w:left w:w="150" w:type="dxa"/>
              <w:right w:w="150" w:type="dxa"/>
            </w:tcMar>
          </w:tcPr>
          <w:p>
            <w:pPr>
              <w:jc w:val="left"/>
            </w:pPr>
            <w:r>
              <w:rPr>
                <w:sz w:val="19"/>
              </w:rPr>
              <w:t>NumPy (Memory Mapping)</w:t>
            </w:r>
          </w:p>
        </w:tc>
      </w:tr>
      <w:tr>
        <w:tc>
          <w:tcPr>
            <w:tcW w:type="dxa" w:w="3600"/>
            <w:shd w:fill="FFFFFF"/>
            <w:tcMar>
              <w:top w:w="100" w:type="dxa"/>
              <w:bottom w:w="100" w:type="dxa"/>
              <w:left w:w="150" w:type="dxa"/>
              <w:right w:w="150" w:type="dxa"/>
            </w:tcMar>
          </w:tcPr>
          <w:p>
            <w:pPr>
              <w:jc w:val="left"/>
            </w:pPr>
            <w:r>
              <w:rPr>
                <w:sz w:val="19"/>
              </w:rPr>
              <w:t>Image Processing</w:t>
            </w:r>
          </w:p>
        </w:tc>
        <w:tc>
          <w:tcPr>
            <w:tcW w:type="dxa" w:w="5040"/>
            <w:shd w:fill="FFFFFF"/>
            <w:tcMar>
              <w:top w:w="100" w:type="dxa"/>
              <w:bottom w:w="100" w:type="dxa"/>
              <w:left w:w="150" w:type="dxa"/>
              <w:right w:w="150" w:type="dxa"/>
            </w:tcMar>
          </w:tcPr>
          <w:p>
            <w:pPr>
              <w:jc w:val="left"/>
            </w:pPr>
            <w:r>
              <w:rPr>
                <w:sz w:val="19"/>
              </w:rPr>
              <w:t>OpenCV / Pillow</w:t>
            </w:r>
          </w:p>
        </w:tc>
      </w:tr>
      <w:tr>
        <w:tc>
          <w:tcPr>
            <w:tcW w:type="dxa" w:w="3600"/>
            <w:shd w:fill="F4F6F8"/>
            <w:tcMar>
              <w:top w:w="100" w:type="dxa"/>
              <w:bottom w:w="100" w:type="dxa"/>
              <w:left w:w="150" w:type="dxa"/>
              <w:right w:w="150" w:type="dxa"/>
            </w:tcMar>
          </w:tcPr>
          <w:p>
            <w:pPr>
              <w:jc w:val="left"/>
            </w:pPr>
            <w:r>
              <w:rPr>
                <w:sz w:val="19"/>
              </w:rPr>
              <w:t>Model Evaluation</w:t>
            </w:r>
          </w:p>
        </w:tc>
        <w:tc>
          <w:tcPr>
            <w:tcW w:type="dxa" w:w="5040"/>
            <w:shd w:fill="F4F6F8"/>
            <w:tcMar>
              <w:top w:w="100" w:type="dxa"/>
              <w:bottom w:w="100" w:type="dxa"/>
              <w:left w:w="150" w:type="dxa"/>
              <w:right w:w="150" w:type="dxa"/>
            </w:tcMar>
          </w:tcPr>
          <w:p>
            <w:pPr>
              <w:jc w:val="left"/>
            </w:pPr>
            <w:r>
              <w:rPr>
                <w:sz w:val="19"/>
              </w:rPr>
              <w:t>scikit-learn</w:t>
            </w:r>
          </w:p>
        </w:tc>
      </w:tr>
      <w:tr>
        <w:tc>
          <w:tcPr>
            <w:tcW w:type="dxa" w:w="3600"/>
            <w:shd w:fill="FFFFFF"/>
            <w:tcMar>
              <w:top w:w="100" w:type="dxa"/>
              <w:bottom w:w="100" w:type="dxa"/>
              <w:left w:w="150" w:type="dxa"/>
              <w:right w:w="150" w:type="dxa"/>
            </w:tcMar>
          </w:tcPr>
          <w:p>
            <w:pPr>
              <w:jc w:val="left"/>
            </w:pPr>
            <w:r>
              <w:rPr>
                <w:sz w:val="19"/>
              </w:rPr>
              <w:t>Visualization</w:t>
            </w:r>
          </w:p>
        </w:tc>
        <w:tc>
          <w:tcPr>
            <w:tcW w:type="dxa" w:w="5040"/>
            <w:shd w:fill="FFFFFF"/>
            <w:tcMar>
              <w:top w:w="100" w:type="dxa"/>
              <w:bottom w:w="100" w:type="dxa"/>
              <w:left w:w="150" w:type="dxa"/>
              <w:right w:w="150" w:type="dxa"/>
            </w:tcMar>
          </w:tcPr>
          <w:p>
            <w:pPr>
              <w:jc w:val="left"/>
            </w:pPr>
            <w:r>
              <w:rPr>
                <w:sz w:val="19"/>
              </w:rPr>
              <w:t>Matplotlib / Seaborn</w:t>
            </w:r>
          </w:p>
        </w:tc>
      </w:tr>
      <w:tr>
        <w:tc>
          <w:tcPr>
            <w:tcW w:type="dxa" w:w="3600"/>
            <w:shd w:fill="F4F6F8"/>
            <w:tcMar>
              <w:top w:w="100" w:type="dxa"/>
              <w:bottom w:w="100" w:type="dxa"/>
              <w:left w:w="150" w:type="dxa"/>
              <w:right w:w="150" w:type="dxa"/>
            </w:tcMar>
          </w:tcPr>
          <w:p>
            <w:pPr>
              <w:jc w:val="left"/>
            </w:pPr>
            <w:r>
              <w:rPr>
                <w:sz w:val="19"/>
              </w:rPr>
              <w:t>Application Deployment</w:t>
            </w:r>
          </w:p>
        </w:tc>
        <w:tc>
          <w:tcPr>
            <w:tcW w:type="dxa" w:w="5040"/>
            <w:shd w:fill="F4F6F8"/>
            <w:tcMar>
              <w:top w:w="100" w:type="dxa"/>
              <w:bottom w:w="100" w:type="dxa"/>
              <w:left w:w="150" w:type="dxa"/>
              <w:right w:w="150" w:type="dxa"/>
            </w:tcMar>
          </w:tcPr>
          <w:p>
            <w:pPr>
              <w:jc w:val="left"/>
            </w:pPr>
            <w:r>
              <w:rPr>
                <w:sz w:val="19"/>
              </w:rPr>
              <w:t>Streamlit</w:t>
            </w:r>
          </w:p>
        </w:tc>
      </w:tr>
      <w:tr>
        <w:tc>
          <w:tcPr>
            <w:tcW w:type="dxa" w:w="3600"/>
            <w:shd w:fill="FFFFFF"/>
            <w:tcMar>
              <w:top w:w="100" w:type="dxa"/>
              <w:bottom w:w="100" w:type="dxa"/>
              <w:left w:w="150" w:type="dxa"/>
              <w:right w:w="150" w:type="dxa"/>
            </w:tcMar>
          </w:tcPr>
          <w:p>
            <w:pPr>
              <w:jc w:val="left"/>
            </w:pPr>
            <w:r>
              <w:rPr>
                <w:sz w:val="19"/>
              </w:rPr>
              <w:t>Explainability Engine</w:t>
            </w:r>
          </w:p>
        </w:tc>
        <w:tc>
          <w:tcPr>
            <w:tcW w:type="dxa" w:w="5040"/>
            <w:shd w:fill="FFFFFF"/>
            <w:tcMar>
              <w:top w:w="100" w:type="dxa"/>
              <w:bottom w:w="100" w:type="dxa"/>
              <w:left w:w="150" w:type="dxa"/>
              <w:right w:w="150" w:type="dxa"/>
            </w:tcMar>
          </w:tcPr>
          <w:p>
            <w:pPr>
              <w:jc w:val="left"/>
            </w:pPr>
            <w:r>
              <w:rPr>
                <w:sz w:val="19"/>
              </w:rPr>
              <w:t>Grad-CAM</w:t>
            </w:r>
          </w:p>
        </w:tc>
      </w:tr>
    </w:tbl>
    <w:p>
      <w:pPr>
        <w:spacing w:after="120"/>
      </w:pPr>
    </w:p>
    <w:p>
      <w:pPr>
        <w:spacing w:before="280" w:after="120"/>
      </w:pPr>
      <w:r>
        <w:rPr>
          <w:rFonts w:ascii="Calibri" w:hAnsi="Calibri"/>
          <w:b/>
          <w:color w:val="004080"/>
          <w:sz w:val="28"/>
        </w:rPr>
        <w:t>5.2 Dataset Storage &amp; Processing</w:t>
      </w:r>
    </w:p>
    <w:p>
      <w:pPr>
        <w:spacing w:after="120" w:line="276" w:lineRule="auto"/>
      </w:pPr>
      <w:r>
        <w:rPr>
          <w:i w:val="0"/>
        </w:rPr>
        <w:t>Disk memory mapping (X_all.dat, y_all.dat) used alongside index arrays (train_idx.npy, test_idx.npy).</w:t>
      </w:r>
    </w:p>
    <w:p>
      <w:pPr>
        <w:spacing w:before="280" w:after="120"/>
      </w:pPr>
      <w:r>
        <w:rPr>
          <w:rFonts w:ascii="Calibri" w:hAnsi="Calibri"/>
          <w:b/>
          <w:color w:val="004080"/>
          <w:sz w:val="28"/>
        </w:rPr>
        <w:t>5.3 Model Variants Developed</w:t>
      </w:r>
    </w:p>
    <w:p>
      <w:pPr>
        <w:spacing w:after="120" w:line="276" w:lineRule="auto"/>
      </w:pPr>
      <w:r>
        <w:rPr>
          <w:i w:val="0"/>
        </w:rPr>
        <w:t>1. Baseline CNN: Simple sequential convolutional layers.</w:t>
        <w:br/>
        <w:t>2. ResNet50 Transfer: Frozen backbone.</w:t>
        <w:br/>
        <w:t>3. Fine-tuned ResNet50: Final deployed model.</w:t>
        <w:br/>
        <w:t>4. DenseNet121 &amp; EfficientNet-B0: Comparison baselines.</w:t>
        <w:br/>
        <w:t>5. DenseNet121 + Attention (CBAM): Advanced comparison architecture.</w:t>
      </w:r>
    </w:p>
    <w:p>
      <w:pPr>
        <w:pageBreakBefore/>
        <w:spacing w:before="360" w:after="160"/>
      </w:pPr>
      <w:r>
        <w:rPr>
          <w:rFonts w:ascii="Calibri" w:hAnsi="Calibri"/>
          <w:b/>
          <w:color w:val="003366"/>
          <w:sz w:val="36"/>
        </w:rPr>
        <w:t>CHAPTER 6: EXPERIMENTAL RESULTS</w:t>
      </w:r>
    </w:p>
    <w:p>
      <w:pPr>
        <w:spacing w:before="280" w:after="120"/>
      </w:pPr>
      <w:r>
        <w:rPr>
          <w:rFonts w:ascii="Calibri" w:hAnsi="Calibri"/>
          <w:b/>
          <w:color w:val="004080"/>
          <w:sz w:val="28"/>
        </w:rPr>
        <w:t>6.1 Evaluation Metrics</w:t>
      </w:r>
    </w:p>
    <w:p>
      <w:pPr>
        <w:spacing w:after="120" w:line="276" w:lineRule="auto"/>
      </w:pPr>
      <w:r>
        <w:rPr>
          <w:i w:val="0"/>
        </w:rPr>
        <w:t>Evaluation performed using Accuracy, Precision, Recall (Sensitivity), F1-score, and ROC-AUC.</w:t>
      </w:r>
    </w:p>
    <w:p>
      <w:pPr>
        <w:spacing w:before="280" w:after="120"/>
      </w:pPr>
      <w:r>
        <w:rPr>
          <w:rFonts w:ascii="Calibri" w:hAnsi="Calibri"/>
          <w:b/>
          <w:color w:val="004080"/>
          <w:sz w:val="28"/>
        </w:rPr>
        <w:t>6.2 Model Comparison (Project-Reported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003366"/>
            <w:tcMar>
              <w:top w:w="120" w:type="dxa"/>
              <w:bottom w:w="120" w:type="dxa"/>
              <w:left w:w="150" w:type="dxa"/>
              <w:right w:w="150" w:type="dxa"/>
            </w:tcMar>
          </w:tcPr>
          <w:p>
            <w:pPr>
              <w:jc w:val="left"/>
            </w:pPr>
            <w:r>
              <w:rPr>
                <w:b/>
                <w:color w:val="FFFFFF"/>
                <w:sz w:val="20"/>
              </w:rPr>
              <w:t>Model</w:t>
            </w:r>
          </w:p>
        </w:tc>
        <w:tc>
          <w:tcPr>
            <w:tcW w:type="dxa" w:w="1728"/>
            <w:shd w:fill="003366"/>
            <w:tcMar>
              <w:top w:w="120" w:type="dxa"/>
              <w:bottom w:w="120" w:type="dxa"/>
              <w:left w:w="150" w:type="dxa"/>
              <w:right w:w="150" w:type="dxa"/>
            </w:tcMar>
          </w:tcPr>
          <w:p>
            <w:pPr>
              <w:jc w:val="left"/>
            </w:pPr>
            <w:r>
              <w:rPr>
                <w:b/>
                <w:color w:val="FFFFFF"/>
                <w:sz w:val="20"/>
              </w:rPr>
              <w:t>Accuracy</w:t>
            </w:r>
          </w:p>
        </w:tc>
        <w:tc>
          <w:tcPr>
            <w:tcW w:type="dxa" w:w="2160"/>
            <w:shd w:fill="003366"/>
            <w:tcMar>
              <w:top w:w="120" w:type="dxa"/>
              <w:bottom w:w="120" w:type="dxa"/>
              <w:left w:w="150" w:type="dxa"/>
              <w:right w:w="150" w:type="dxa"/>
            </w:tcMar>
          </w:tcPr>
          <w:p>
            <w:pPr>
              <w:jc w:val="left"/>
            </w:pPr>
            <w:r>
              <w:rPr>
                <w:b/>
                <w:color w:val="FFFFFF"/>
                <w:sz w:val="20"/>
              </w:rPr>
              <w:t>Fibrosis Recall</w:t>
            </w:r>
          </w:p>
        </w:tc>
        <w:tc>
          <w:tcPr>
            <w:tcW w:type="dxa" w:w="1728"/>
            <w:shd w:fill="003366"/>
            <w:tcMar>
              <w:top w:w="120" w:type="dxa"/>
              <w:bottom w:w="120" w:type="dxa"/>
              <w:left w:w="150" w:type="dxa"/>
              <w:right w:w="150" w:type="dxa"/>
            </w:tcMar>
          </w:tcPr>
          <w:p>
            <w:pPr>
              <w:jc w:val="left"/>
            </w:pPr>
            <w:r>
              <w:rPr>
                <w:b/>
                <w:color w:val="FFFFFF"/>
                <w:sz w:val="20"/>
              </w:rPr>
              <w:t>ROC-AUC</w:t>
            </w:r>
          </w:p>
        </w:tc>
      </w:tr>
      <w:tr>
        <w:tc>
          <w:tcPr>
            <w:tcW w:type="dxa" w:w="3600"/>
            <w:shd w:fill="FFFFFF"/>
            <w:tcMar>
              <w:top w:w="100" w:type="dxa"/>
              <w:bottom w:w="100" w:type="dxa"/>
              <w:left w:w="150" w:type="dxa"/>
              <w:right w:w="150" w:type="dxa"/>
            </w:tcMar>
          </w:tcPr>
          <w:p>
            <w:pPr>
              <w:jc w:val="left"/>
            </w:pPr>
            <w:r>
              <w:rPr>
                <w:sz w:val="19"/>
              </w:rPr>
              <w:t>Baseline CNN</w:t>
            </w:r>
          </w:p>
        </w:tc>
        <w:tc>
          <w:tcPr>
            <w:tcW w:type="dxa" w:w="1728"/>
            <w:shd w:fill="FFFFFF"/>
            <w:tcMar>
              <w:top w:w="100" w:type="dxa"/>
              <w:bottom w:w="100" w:type="dxa"/>
              <w:left w:w="150" w:type="dxa"/>
              <w:right w:w="150" w:type="dxa"/>
            </w:tcMar>
          </w:tcPr>
          <w:p>
            <w:pPr>
              <w:jc w:val="left"/>
            </w:pPr>
            <w:r>
              <w:rPr>
                <w:sz w:val="19"/>
              </w:rPr>
              <w:t>77%</w:t>
            </w:r>
          </w:p>
        </w:tc>
        <w:tc>
          <w:tcPr>
            <w:tcW w:type="dxa" w:w="2160"/>
            <w:shd w:fill="FFFFFF"/>
            <w:tcMar>
              <w:top w:w="100" w:type="dxa"/>
              <w:bottom w:w="100" w:type="dxa"/>
              <w:left w:w="150" w:type="dxa"/>
              <w:right w:w="150" w:type="dxa"/>
            </w:tcMar>
          </w:tcPr>
          <w:p>
            <w:pPr>
              <w:jc w:val="left"/>
            </w:pPr>
            <w:r>
              <w:rPr>
                <w:sz w:val="19"/>
              </w:rPr>
              <w:t>0.00</w:t>
            </w:r>
          </w:p>
        </w:tc>
        <w:tc>
          <w:tcPr>
            <w:tcW w:type="dxa" w:w="1728"/>
            <w:shd w:fill="FFFFFF"/>
            <w:tcMar>
              <w:top w:w="100" w:type="dxa"/>
              <w:bottom w:w="100" w:type="dxa"/>
              <w:left w:w="150" w:type="dxa"/>
              <w:right w:w="150" w:type="dxa"/>
            </w:tcMar>
          </w:tcPr>
          <w:p>
            <w:pPr>
              <w:jc w:val="left"/>
            </w:pPr>
            <w:r>
              <w:rPr>
                <w:sz w:val="19"/>
              </w:rPr>
              <w:t>0.72</w:t>
            </w:r>
          </w:p>
        </w:tc>
      </w:tr>
      <w:tr>
        <w:tc>
          <w:tcPr>
            <w:tcW w:type="dxa" w:w="3600"/>
            <w:shd w:fill="F4F6F8"/>
            <w:tcMar>
              <w:top w:w="100" w:type="dxa"/>
              <w:bottom w:w="100" w:type="dxa"/>
              <w:left w:w="150" w:type="dxa"/>
              <w:right w:w="150" w:type="dxa"/>
            </w:tcMar>
          </w:tcPr>
          <w:p>
            <w:pPr>
              <w:jc w:val="left"/>
            </w:pPr>
            <w:r>
              <w:rPr>
                <w:sz w:val="19"/>
              </w:rPr>
              <w:t>ResNet50 Transfer Only</w:t>
            </w:r>
          </w:p>
        </w:tc>
        <w:tc>
          <w:tcPr>
            <w:tcW w:type="dxa" w:w="1728"/>
            <w:shd w:fill="F4F6F8"/>
            <w:tcMar>
              <w:top w:w="100" w:type="dxa"/>
              <w:bottom w:w="100" w:type="dxa"/>
              <w:left w:w="150" w:type="dxa"/>
              <w:right w:w="150" w:type="dxa"/>
            </w:tcMar>
          </w:tcPr>
          <w:p>
            <w:pPr>
              <w:jc w:val="left"/>
            </w:pPr>
            <w:r>
              <w:rPr>
                <w:sz w:val="19"/>
              </w:rPr>
              <w:t>39%</w:t>
            </w:r>
          </w:p>
        </w:tc>
        <w:tc>
          <w:tcPr>
            <w:tcW w:type="dxa" w:w="2160"/>
            <w:shd w:fill="F4F6F8"/>
            <w:tcMar>
              <w:top w:w="100" w:type="dxa"/>
              <w:bottom w:w="100" w:type="dxa"/>
              <w:left w:w="150" w:type="dxa"/>
              <w:right w:w="150" w:type="dxa"/>
            </w:tcMar>
          </w:tcPr>
          <w:p>
            <w:pPr>
              <w:jc w:val="left"/>
            </w:pPr>
            <w:r>
              <w:rPr>
                <w:sz w:val="19"/>
              </w:rPr>
              <w:t>0.94</w:t>
            </w:r>
          </w:p>
        </w:tc>
        <w:tc>
          <w:tcPr>
            <w:tcW w:type="dxa" w:w="1728"/>
            <w:shd w:fill="F4F6F8"/>
            <w:tcMar>
              <w:top w:w="100" w:type="dxa"/>
              <w:bottom w:w="100" w:type="dxa"/>
              <w:left w:w="150" w:type="dxa"/>
              <w:right w:w="150" w:type="dxa"/>
            </w:tcMar>
          </w:tcPr>
          <w:p>
            <w:pPr>
              <w:jc w:val="left"/>
            </w:pPr>
            <w:r>
              <w:rPr>
                <w:sz w:val="19"/>
              </w:rPr>
              <w:t>0.63</w:t>
            </w:r>
          </w:p>
        </w:tc>
      </w:tr>
      <w:tr>
        <w:tc>
          <w:tcPr>
            <w:tcW w:type="dxa" w:w="3600"/>
            <w:shd w:fill="FFFFFF"/>
            <w:tcMar>
              <w:top w:w="100" w:type="dxa"/>
              <w:bottom w:w="100" w:type="dxa"/>
              <w:left w:w="150" w:type="dxa"/>
              <w:right w:w="150" w:type="dxa"/>
            </w:tcMar>
          </w:tcPr>
          <w:p>
            <w:pPr>
              <w:jc w:val="left"/>
            </w:pPr>
            <w:r>
              <w:rPr>
                <w:sz w:val="19"/>
              </w:rPr>
              <w:t>ResNet50 Fine-tuned (Selected)</w:t>
            </w:r>
          </w:p>
        </w:tc>
        <w:tc>
          <w:tcPr>
            <w:tcW w:type="dxa" w:w="1728"/>
            <w:shd w:fill="FFFFFF"/>
            <w:tcMar>
              <w:top w:w="100" w:type="dxa"/>
              <w:bottom w:w="100" w:type="dxa"/>
              <w:left w:w="150" w:type="dxa"/>
              <w:right w:w="150" w:type="dxa"/>
            </w:tcMar>
          </w:tcPr>
          <w:p>
            <w:pPr>
              <w:jc w:val="left"/>
            </w:pPr>
            <w:r>
              <w:rPr>
                <w:sz w:val="19"/>
              </w:rPr>
              <w:t>67%</w:t>
            </w:r>
          </w:p>
        </w:tc>
        <w:tc>
          <w:tcPr>
            <w:tcW w:type="dxa" w:w="2160"/>
            <w:shd w:fill="FFFFFF"/>
            <w:tcMar>
              <w:top w:w="100" w:type="dxa"/>
              <w:bottom w:w="100" w:type="dxa"/>
              <w:left w:w="150" w:type="dxa"/>
              <w:right w:w="150" w:type="dxa"/>
            </w:tcMar>
          </w:tcPr>
          <w:p>
            <w:pPr>
              <w:jc w:val="left"/>
            </w:pPr>
            <w:r>
              <w:rPr>
                <w:sz w:val="19"/>
              </w:rPr>
              <w:t>0.65</w:t>
            </w:r>
          </w:p>
        </w:tc>
        <w:tc>
          <w:tcPr>
            <w:tcW w:type="dxa" w:w="1728"/>
            <w:shd w:fill="FFFFFF"/>
            <w:tcMar>
              <w:top w:w="100" w:type="dxa"/>
              <w:bottom w:w="100" w:type="dxa"/>
              <w:left w:w="150" w:type="dxa"/>
              <w:right w:w="150" w:type="dxa"/>
            </w:tcMar>
          </w:tcPr>
          <w:p>
            <w:pPr>
              <w:jc w:val="left"/>
            </w:pPr>
            <w:r>
              <w:rPr>
                <w:sz w:val="19"/>
              </w:rPr>
              <w:t>0.71</w:t>
            </w:r>
          </w:p>
        </w:tc>
      </w:tr>
      <w:tr>
        <w:tc>
          <w:tcPr>
            <w:tcW w:type="dxa" w:w="3600"/>
            <w:shd w:fill="F4F6F8"/>
            <w:tcMar>
              <w:top w:w="100" w:type="dxa"/>
              <w:bottom w:w="100" w:type="dxa"/>
              <w:left w:w="150" w:type="dxa"/>
              <w:right w:w="150" w:type="dxa"/>
            </w:tcMar>
          </w:tcPr>
          <w:p>
            <w:pPr>
              <w:jc w:val="left"/>
            </w:pPr>
            <w:r>
              <w:rPr>
                <w:sz w:val="19"/>
              </w:rPr>
              <w:t>DenseNet121</w:t>
            </w:r>
          </w:p>
        </w:tc>
        <w:tc>
          <w:tcPr>
            <w:tcW w:type="dxa" w:w="1728"/>
            <w:shd w:fill="F4F6F8"/>
            <w:tcMar>
              <w:top w:w="100" w:type="dxa"/>
              <w:bottom w:w="100" w:type="dxa"/>
              <w:left w:w="150" w:type="dxa"/>
              <w:right w:w="150" w:type="dxa"/>
            </w:tcMar>
          </w:tcPr>
          <w:p>
            <w:pPr>
              <w:jc w:val="left"/>
            </w:pPr>
            <w:r>
              <w:rPr>
                <w:sz w:val="19"/>
              </w:rPr>
              <w:t>57%</w:t>
            </w:r>
          </w:p>
        </w:tc>
        <w:tc>
          <w:tcPr>
            <w:tcW w:type="dxa" w:w="2160"/>
            <w:shd w:fill="F4F6F8"/>
            <w:tcMar>
              <w:top w:w="100" w:type="dxa"/>
              <w:bottom w:w="100" w:type="dxa"/>
              <w:left w:w="150" w:type="dxa"/>
              <w:right w:w="150" w:type="dxa"/>
            </w:tcMar>
          </w:tcPr>
          <w:p>
            <w:pPr>
              <w:jc w:val="left"/>
            </w:pPr>
            <w:r>
              <w:rPr>
                <w:sz w:val="19"/>
              </w:rPr>
              <w:t>0.79</w:t>
            </w:r>
          </w:p>
        </w:tc>
        <w:tc>
          <w:tcPr>
            <w:tcW w:type="dxa" w:w="1728"/>
            <w:shd w:fill="F4F6F8"/>
            <w:tcMar>
              <w:top w:w="100" w:type="dxa"/>
              <w:bottom w:w="100" w:type="dxa"/>
              <w:left w:w="150" w:type="dxa"/>
              <w:right w:w="150" w:type="dxa"/>
            </w:tcMar>
          </w:tcPr>
          <w:p>
            <w:pPr>
              <w:jc w:val="left"/>
            </w:pPr>
            <w:r>
              <w:rPr>
                <w:sz w:val="19"/>
              </w:rPr>
              <w:t>0.72</w:t>
            </w:r>
          </w:p>
        </w:tc>
      </w:tr>
      <w:tr>
        <w:tc>
          <w:tcPr>
            <w:tcW w:type="dxa" w:w="3600"/>
            <w:shd w:fill="FFFFFF"/>
            <w:tcMar>
              <w:top w:w="100" w:type="dxa"/>
              <w:bottom w:w="100" w:type="dxa"/>
              <w:left w:w="150" w:type="dxa"/>
              <w:right w:w="150" w:type="dxa"/>
            </w:tcMar>
          </w:tcPr>
          <w:p>
            <w:pPr>
              <w:jc w:val="left"/>
            </w:pPr>
            <w:r>
              <w:rPr>
                <w:sz w:val="19"/>
              </w:rPr>
              <w:t>EfficientNet-B0</w:t>
            </w:r>
          </w:p>
        </w:tc>
        <w:tc>
          <w:tcPr>
            <w:tcW w:type="dxa" w:w="1728"/>
            <w:shd w:fill="FFFFFF"/>
            <w:tcMar>
              <w:top w:w="100" w:type="dxa"/>
              <w:bottom w:w="100" w:type="dxa"/>
              <w:left w:w="150" w:type="dxa"/>
              <w:right w:w="150" w:type="dxa"/>
            </w:tcMar>
          </w:tcPr>
          <w:p>
            <w:pPr>
              <w:jc w:val="left"/>
            </w:pPr>
            <w:r>
              <w:rPr>
                <w:sz w:val="19"/>
              </w:rPr>
              <w:t>20%</w:t>
            </w:r>
          </w:p>
        </w:tc>
        <w:tc>
          <w:tcPr>
            <w:tcW w:type="dxa" w:w="2160"/>
            <w:shd w:fill="FFFFFF"/>
            <w:tcMar>
              <w:top w:w="100" w:type="dxa"/>
              <w:bottom w:w="100" w:type="dxa"/>
              <w:left w:w="150" w:type="dxa"/>
              <w:right w:w="150" w:type="dxa"/>
            </w:tcMar>
          </w:tcPr>
          <w:p>
            <w:pPr>
              <w:jc w:val="left"/>
            </w:pPr>
            <w:r>
              <w:rPr>
                <w:sz w:val="19"/>
              </w:rPr>
              <w:t>1.00</w:t>
            </w:r>
          </w:p>
        </w:tc>
        <w:tc>
          <w:tcPr>
            <w:tcW w:type="dxa" w:w="1728"/>
            <w:shd w:fill="FFFFFF"/>
            <w:tcMar>
              <w:top w:w="100" w:type="dxa"/>
              <w:bottom w:w="100" w:type="dxa"/>
              <w:left w:w="150" w:type="dxa"/>
              <w:right w:w="150" w:type="dxa"/>
            </w:tcMar>
          </w:tcPr>
          <w:p>
            <w:pPr>
              <w:jc w:val="left"/>
            </w:pPr>
            <w:r>
              <w:rPr>
                <w:sz w:val="19"/>
              </w:rPr>
              <w:t>0.50</w:t>
            </w:r>
          </w:p>
        </w:tc>
      </w:tr>
      <w:tr>
        <w:tc>
          <w:tcPr>
            <w:tcW w:type="dxa" w:w="3600"/>
            <w:shd w:fill="F4F6F8"/>
            <w:tcMar>
              <w:top w:w="100" w:type="dxa"/>
              <w:bottom w:w="100" w:type="dxa"/>
              <w:left w:w="150" w:type="dxa"/>
              <w:right w:w="150" w:type="dxa"/>
            </w:tcMar>
          </w:tcPr>
          <w:p>
            <w:pPr>
              <w:jc w:val="left"/>
            </w:pPr>
            <w:r>
              <w:rPr>
                <w:sz w:val="19"/>
              </w:rPr>
              <w:t>DenseNet121 + Attention</w:t>
            </w:r>
          </w:p>
        </w:tc>
        <w:tc>
          <w:tcPr>
            <w:tcW w:type="dxa" w:w="1728"/>
            <w:shd w:fill="F4F6F8"/>
            <w:tcMar>
              <w:top w:w="100" w:type="dxa"/>
              <w:bottom w:w="100" w:type="dxa"/>
              <w:left w:w="150" w:type="dxa"/>
              <w:right w:w="150" w:type="dxa"/>
            </w:tcMar>
          </w:tcPr>
          <w:p>
            <w:pPr>
              <w:jc w:val="left"/>
            </w:pPr>
            <w:r>
              <w:rPr>
                <w:sz w:val="19"/>
              </w:rPr>
              <w:t>72%</w:t>
            </w:r>
          </w:p>
        </w:tc>
        <w:tc>
          <w:tcPr>
            <w:tcW w:type="dxa" w:w="2160"/>
            <w:shd w:fill="F4F6F8"/>
            <w:tcMar>
              <w:top w:w="100" w:type="dxa"/>
              <w:bottom w:w="100" w:type="dxa"/>
              <w:left w:w="150" w:type="dxa"/>
              <w:right w:w="150" w:type="dxa"/>
            </w:tcMar>
          </w:tcPr>
          <w:p>
            <w:pPr>
              <w:jc w:val="left"/>
            </w:pPr>
            <w:r>
              <w:rPr>
                <w:sz w:val="19"/>
              </w:rPr>
              <w:t>0.58</w:t>
            </w:r>
          </w:p>
        </w:tc>
        <w:tc>
          <w:tcPr>
            <w:tcW w:type="dxa" w:w="1728"/>
            <w:shd w:fill="F4F6F8"/>
            <w:tcMar>
              <w:top w:w="100" w:type="dxa"/>
              <w:bottom w:w="100" w:type="dxa"/>
              <w:left w:w="150" w:type="dxa"/>
              <w:right w:w="150" w:type="dxa"/>
            </w:tcMar>
          </w:tcPr>
          <w:p>
            <w:pPr>
              <w:jc w:val="left"/>
            </w:pPr>
            <w:r>
              <w:rPr>
                <w:sz w:val="19"/>
              </w:rPr>
              <w:t>0.74</w:t>
            </w:r>
          </w:p>
        </w:tc>
      </w:tr>
    </w:tbl>
    <w:p>
      <w:pPr>
        <w:spacing w:after="120"/>
      </w:pPr>
    </w:p>
    <w:p>
      <w:pPr>
        <w:spacing w:before="200" w:after="80"/>
        <w:jc w:val="center"/>
      </w:pPr>
      <w:r>
        <w:drawing>
          <wp:inline xmlns:a="http://schemas.openxmlformats.org/drawingml/2006/main" xmlns:pic="http://schemas.openxmlformats.org/drawingml/2006/picture">
            <wp:extent cx="5303520" cy="2872470"/>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5303520" cy="2872470"/>
                    </a:xfrm>
                    <a:prstGeom prst="rect"/>
                  </pic:spPr>
                </pic:pic>
              </a:graphicData>
            </a:graphic>
          </wp:inline>
        </w:drawing>
      </w:r>
    </w:p>
    <w:p>
      <w:pPr>
        <w:spacing w:after="240"/>
        <w:jc w:val="center"/>
      </w:pPr>
      <w:r>
        <w:rPr>
          <w:b/>
          <w:i/>
          <w:color w:val="555555"/>
          <w:sz w:val="19"/>
        </w:rPr>
        <w:t>Figure 3: Performance Comparison Across Model Architectures</w:t>
      </w:r>
    </w:p>
    <w:p>
      <w:pPr>
        <w:spacing w:before="280" w:after="120"/>
      </w:pPr>
      <w:r>
        <w:rPr>
          <w:rFonts w:ascii="Calibri" w:hAnsi="Calibri"/>
          <w:b/>
          <w:color w:val="004080"/>
          <w:sz w:val="28"/>
        </w:rPr>
        <w:t>6.3 Final Notebook Evaluation (Threshold = 0.4)</w:t>
      </w:r>
    </w:p>
    <w:p>
      <w:pPr>
        <w:spacing w:after="120" w:line="276" w:lineRule="auto"/>
      </w:pPr>
      <w:r>
        <w:rPr>
          <w:i w:val="0"/>
        </w:rPr>
        <w:t>Evaluated on test split (646 samples: 514 Normal, 132 Fibrosis):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03366"/>
            <w:tcMar>
              <w:top w:w="120" w:type="dxa"/>
              <w:bottom w:w="120" w:type="dxa"/>
              <w:left w:w="150" w:type="dxa"/>
              <w:right w:w="150" w:type="dxa"/>
            </w:tcMar>
          </w:tcPr>
          <w:p>
            <w:pPr>
              <w:jc w:val="left"/>
            </w:pPr>
            <w:r>
              <w:rPr>
                <w:b/>
                <w:color w:val="FFFFFF"/>
                <w:sz w:val="20"/>
              </w:rPr>
              <w:t>Class</w:t>
            </w:r>
          </w:p>
        </w:tc>
        <w:tc>
          <w:tcPr>
            <w:tcW w:type="dxa" w:w="1440"/>
            <w:shd w:fill="003366"/>
            <w:tcMar>
              <w:top w:w="120" w:type="dxa"/>
              <w:bottom w:w="120" w:type="dxa"/>
              <w:left w:w="150" w:type="dxa"/>
              <w:right w:w="150" w:type="dxa"/>
            </w:tcMar>
          </w:tcPr>
          <w:p>
            <w:pPr>
              <w:jc w:val="left"/>
            </w:pPr>
            <w:r>
              <w:rPr>
                <w:b/>
                <w:color w:val="FFFFFF"/>
                <w:sz w:val="20"/>
              </w:rPr>
              <w:t>Precision</w:t>
            </w:r>
          </w:p>
        </w:tc>
        <w:tc>
          <w:tcPr>
            <w:tcW w:type="dxa" w:w="1440"/>
            <w:shd w:fill="003366"/>
            <w:tcMar>
              <w:top w:w="120" w:type="dxa"/>
              <w:bottom w:w="120" w:type="dxa"/>
              <w:left w:w="150" w:type="dxa"/>
              <w:right w:w="150" w:type="dxa"/>
            </w:tcMar>
          </w:tcPr>
          <w:p>
            <w:pPr>
              <w:jc w:val="left"/>
            </w:pPr>
            <w:r>
              <w:rPr>
                <w:b/>
                <w:color w:val="FFFFFF"/>
                <w:sz w:val="20"/>
              </w:rPr>
              <w:t>Recall</w:t>
            </w:r>
          </w:p>
        </w:tc>
        <w:tc>
          <w:tcPr>
            <w:tcW w:type="dxa" w:w="1440"/>
            <w:shd w:fill="003366"/>
            <w:tcMar>
              <w:top w:w="120" w:type="dxa"/>
              <w:bottom w:w="120" w:type="dxa"/>
              <w:left w:w="150" w:type="dxa"/>
              <w:right w:w="150" w:type="dxa"/>
            </w:tcMar>
          </w:tcPr>
          <w:p>
            <w:pPr>
              <w:jc w:val="left"/>
            </w:pPr>
            <w:r>
              <w:rPr>
                <w:b/>
                <w:color w:val="FFFFFF"/>
                <w:sz w:val="20"/>
              </w:rPr>
              <w:t>F1-Score</w:t>
            </w:r>
          </w:p>
        </w:tc>
        <w:tc>
          <w:tcPr>
            <w:tcW w:type="dxa" w:w="1440"/>
            <w:shd w:fill="003366"/>
            <w:tcMar>
              <w:top w:w="120" w:type="dxa"/>
              <w:bottom w:w="120" w:type="dxa"/>
              <w:left w:w="150" w:type="dxa"/>
              <w:right w:w="150" w:type="dxa"/>
            </w:tcMar>
          </w:tcPr>
          <w:p>
            <w:pPr>
              <w:jc w:val="left"/>
            </w:pPr>
            <w:r>
              <w:rPr>
                <w:b/>
                <w:color w:val="FFFFFF"/>
                <w:sz w:val="20"/>
              </w:rPr>
              <w:t>Support</w:t>
            </w:r>
          </w:p>
        </w:tc>
      </w:tr>
      <w:tr>
        <w:tc>
          <w:tcPr>
            <w:tcW w:type="dxa" w:w="2592"/>
            <w:shd w:fill="FFFFFF"/>
            <w:tcMar>
              <w:top w:w="100" w:type="dxa"/>
              <w:bottom w:w="100" w:type="dxa"/>
              <w:left w:w="150" w:type="dxa"/>
              <w:right w:w="150" w:type="dxa"/>
            </w:tcMar>
          </w:tcPr>
          <w:p>
            <w:pPr>
              <w:jc w:val="left"/>
            </w:pPr>
            <w:r>
              <w:rPr>
                <w:sz w:val="19"/>
              </w:rPr>
              <w:t>Class 0 - Normal</w:t>
            </w:r>
          </w:p>
        </w:tc>
        <w:tc>
          <w:tcPr>
            <w:tcW w:type="dxa" w:w="1440"/>
            <w:shd w:fill="FFFFFF"/>
            <w:tcMar>
              <w:top w:w="100" w:type="dxa"/>
              <w:bottom w:w="100" w:type="dxa"/>
              <w:left w:w="150" w:type="dxa"/>
              <w:right w:w="150" w:type="dxa"/>
            </w:tcMar>
          </w:tcPr>
          <w:p>
            <w:pPr>
              <w:jc w:val="left"/>
            </w:pPr>
            <w:r>
              <w:rPr>
                <w:sz w:val="19"/>
              </w:rPr>
              <w:t>0.84</w:t>
            </w:r>
          </w:p>
        </w:tc>
        <w:tc>
          <w:tcPr>
            <w:tcW w:type="dxa" w:w="1440"/>
            <w:shd w:fill="FFFFFF"/>
            <w:tcMar>
              <w:top w:w="100" w:type="dxa"/>
              <w:bottom w:w="100" w:type="dxa"/>
              <w:left w:w="150" w:type="dxa"/>
              <w:right w:w="150" w:type="dxa"/>
            </w:tcMar>
          </w:tcPr>
          <w:p>
            <w:pPr>
              <w:jc w:val="left"/>
            </w:pPr>
            <w:r>
              <w:rPr>
                <w:sz w:val="19"/>
              </w:rPr>
              <w:t>0.82</w:t>
            </w:r>
          </w:p>
        </w:tc>
        <w:tc>
          <w:tcPr>
            <w:tcW w:type="dxa" w:w="1440"/>
            <w:shd w:fill="FFFFFF"/>
            <w:tcMar>
              <w:top w:w="100" w:type="dxa"/>
              <w:bottom w:w="100" w:type="dxa"/>
              <w:left w:w="150" w:type="dxa"/>
              <w:right w:w="150" w:type="dxa"/>
            </w:tcMar>
          </w:tcPr>
          <w:p>
            <w:pPr>
              <w:jc w:val="left"/>
            </w:pPr>
            <w:r>
              <w:rPr>
                <w:sz w:val="19"/>
              </w:rPr>
              <w:t>0.83</w:t>
            </w:r>
          </w:p>
        </w:tc>
        <w:tc>
          <w:tcPr>
            <w:tcW w:type="dxa" w:w="1440"/>
            <w:shd w:fill="FFFFFF"/>
            <w:tcMar>
              <w:top w:w="100" w:type="dxa"/>
              <w:bottom w:w="100" w:type="dxa"/>
              <w:left w:w="150" w:type="dxa"/>
              <w:right w:w="150" w:type="dxa"/>
            </w:tcMar>
          </w:tcPr>
          <w:p>
            <w:pPr>
              <w:jc w:val="left"/>
            </w:pPr>
            <w:r>
              <w:rPr>
                <w:sz w:val="19"/>
              </w:rPr>
              <w:t>514</w:t>
            </w:r>
          </w:p>
        </w:tc>
      </w:tr>
      <w:tr>
        <w:tc>
          <w:tcPr>
            <w:tcW w:type="dxa" w:w="2592"/>
            <w:shd w:fill="F4F6F8"/>
            <w:tcMar>
              <w:top w:w="100" w:type="dxa"/>
              <w:bottom w:w="100" w:type="dxa"/>
              <w:left w:w="150" w:type="dxa"/>
              <w:right w:w="150" w:type="dxa"/>
            </w:tcMar>
          </w:tcPr>
          <w:p>
            <w:pPr>
              <w:jc w:val="left"/>
            </w:pPr>
            <w:r>
              <w:rPr>
                <w:sz w:val="19"/>
              </w:rPr>
              <w:t>Class 1 - Fibrosis</w:t>
            </w:r>
          </w:p>
        </w:tc>
        <w:tc>
          <w:tcPr>
            <w:tcW w:type="dxa" w:w="1440"/>
            <w:shd w:fill="F4F6F8"/>
            <w:tcMar>
              <w:top w:w="100" w:type="dxa"/>
              <w:bottom w:w="100" w:type="dxa"/>
              <w:left w:w="150" w:type="dxa"/>
              <w:right w:w="150" w:type="dxa"/>
            </w:tcMar>
          </w:tcPr>
          <w:p>
            <w:pPr>
              <w:jc w:val="left"/>
            </w:pPr>
            <w:r>
              <w:rPr>
                <w:sz w:val="19"/>
              </w:rPr>
              <w:t>0.35</w:t>
            </w:r>
          </w:p>
        </w:tc>
        <w:tc>
          <w:tcPr>
            <w:tcW w:type="dxa" w:w="1440"/>
            <w:shd w:fill="F4F6F8"/>
            <w:tcMar>
              <w:top w:w="100" w:type="dxa"/>
              <w:bottom w:w="100" w:type="dxa"/>
              <w:left w:w="150" w:type="dxa"/>
              <w:right w:w="150" w:type="dxa"/>
            </w:tcMar>
          </w:tcPr>
          <w:p>
            <w:pPr>
              <w:jc w:val="left"/>
            </w:pPr>
            <w:r>
              <w:rPr>
                <w:sz w:val="19"/>
              </w:rPr>
              <w:t>0.38</w:t>
            </w:r>
          </w:p>
        </w:tc>
        <w:tc>
          <w:tcPr>
            <w:tcW w:type="dxa" w:w="1440"/>
            <w:shd w:fill="F4F6F8"/>
            <w:tcMar>
              <w:top w:w="100" w:type="dxa"/>
              <w:bottom w:w="100" w:type="dxa"/>
              <w:left w:w="150" w:type="dxa"/>
              <w:right w:w="150" w:type="dxa"/>
            </w:tcMar>
          </w:tcPr>
          <w:p>
            <w:pPr>
              <w:jc w:val="left"/>
            </w:pPr>
            <w:r>
              <w:rPr>
                <w:sz w:val="19"/>
              </w:rPr>
              <w:t>0.36</w:t>
            </w:r>
          </w:p>
        </w:tc>
        <w:tc>
          <w:tcPr>
            <w:tcW w:type="dxa" w:w="1440"/>
            <w:shd w:fill="F4F6F8"/>
            <w:tcMar>
              <w:top w:w="100" w:type="dxa"/>
              <w:bottom w:w="100" w:type="dxa"/>
              <w:left w:w="150" w:type="dxa"/>
              <w:right w:w="150" w:type="dxa"/>
            </w:tcMar>
          </w:tcPr>
          <w:p>
            <w:pPr>
              <w:jc w:val="left"/>
            </w:pPr>
            <w:r>
              <w:rPr>
                <w:sz w:val="19"/>
              </w:rPr>
              <w:t>132</w:t>
            </w:r>
          </w:p>
        </w:tc>
      </w:tr>
      <w:tr>
        <w:tc>
          <w:tcPr>
            <w:tcW w:type="dxa" w:w="2592"/>
            <w:shd w:fill="FFFFFF"/>
            <w:tcMar>
              <w:top w:w="100" w:type="dxa"/>
              <w:bottom w:w="100" w:type="dxa"/>
              <w:left w:w="150" w:type="dxa"/>
              <w:right w:w="150" w:type="dxa"/>
            </w:tcMar>
          </w:tcPr>
          <w:p>
            <w:pPr>
              <w:jc w:val="left"/>
            </w:pPr>
            <w:r>
              <w:rPr>
                <w:sz w:val="19"/>
              </w:rPr>
              <w:t>Macro Average</w:t>
            </w:r>
          </w:p>
        </w:tc>
        <w:tc>
          <w:tcPr>
            <w:tcW w:type="dxa" w:w="1440"/>
            <w:shd w:fill="FFFFFF"/>
            <w:tcMar>
              <w:top w:w="100" w:type="dxa"/>
              <w:bottom w:w="100" w:type="dxa"/>
              <w:left w:w="150" w:type="dxa"/>
              <w:right w:w="150" w:type="dxa"/>
            </w:tcMar>
          </w:tcPr>
          <w:p>
            <w:pPr>
              <w:jc w:val="left"/>
            </w:pPr>
            <w:r>
              <w:rPr>
                <w:sz w:val="19"/>
              </w:rPr>
              <w:t>0.59</w:t>
            </w:r>
          </w:p>
        </w:tc>
        <w:tc>
          <w:tcPr>
            <w:tcW w:type="dxa" w:w="1440"/>
            <w:shd w:fill="FFFFFF"/>
            <w:tcMar>
              <w:top w:w="100" w:type="dxa"/>
              <w:bottom w:w="100" w:type="dxa"/>
              <w:left w:w="150" w:type="dxa"/>
              <w:right w:w="150" w:type="dxa"/>
            </w:tcMar>
          </w:tcPr>
          <w:p>
            <w:pPr>
              <w:jc w:val="left"/>
            </w:pPr>
            <w:r>
              <w:rPr>
                <w:sz w:val="19"/>
              </w:rPr>
              <w:t>0.60</w:t>
            </w:r>
          </w:p>
        </w:tc>
        <w:tc>
          <w:tcPr>
            <w:tcW w:type="dxa" w:w="1440"/>
            <w:shd w:fill="FFFFFF"/>
            <w:tcMar>
              <w:top w:w="100" w:type="dxa"/>
              <w:bottom w:w="100" w:type="dxa"/>
              <w:left w:w="150" w:type="dxa"/>
              <w:right w:w="150" w:type="dxa"/>
            </w:tcMar>
          </w:tcPr>
          <w:p>
            <w:pPr>
              <w:jc w:val="left"/>
            </w:pPr>
            <w:r>
              <w:rPr>
                <w:sz w:val="19"/>
              </w:rPr>
              <w:t>0.60</w:t>
            </w:r>
          </w:p>
        </w:tc>
        <w:tc>
          <w:tcPr>
            <w:tcW w:type="dxa" w:w="1440"/>
            <w:shd w:fill="FFFFFF"/>
            <w:tcMar>
              <w:top w:w="100" w:type="dxa"/>
              <w:bottom w:w="100" w:type="dxa"/>
              <w:left w:w="150" w:type="dxa"/>
              <w:right w:w="150" w:type="dxa"/>
            </w:tcMar>
          </w:tcPr>
          <w:p>
            <w:pPr>
              <w:jc w:val="left"/>
            </w:pPr>
            <w:r>
              <w:rPr>
                <w:sz w:val="19"/>
              </w:rPr>
              <w:t>646</w:t>
            </w:r>
          </w:p>
        </w:tc>
      </w:tr>
      <w:tr>
        <w:tc>
          <w:tcPr>
            <w:tcW w:type="dxa" w:w="2592"/>
            <w:shd w:fill="F4F6F8"/>
            <w:tcMar>
              <w:top w:w="100" w:type="dxa"/>
              <w:bottom w:w="100" w:type="dxa"/>
              <w:left w:w="150" w:type="dxa"/>
              <w:right w:w="150" w:type="dxa"/>
            </w:tcMar>
          </w:tcPr>
          <w:p>
            <w:pPr>
              <w:jc w:val="left"/>
            </w:pPr>
            <w:r>
              <w:rPr>
                <w:sz w:val="19"/>
              </w:rPr>
              <w:t>Weighted Average</w:t>
            </w:r>
          </w:p>
        </w:tc>
        <w:tc>
          <w:tcPr>
            <w:tcW w:type="dxa" w:w="1440"/>
            <w:shd w:fill="F4F6F8"/>
            <w:tcMar>
              <w:top w:w="100" w:type="dxa"/>
              <w:bottom w:w="100" w:type="dxa"/>
              <w:left w:w="150" w:type="dxa"/>
              <w:right w:w="150" w:type="dxa"/>
            </w:tcMar>
          </w:tcPr>
          <w:p>
            <w:pPr>
              <w:jc w:val="left"/>
            </w:pPr>
            <w:r>
              <w:rPr>
                <w:sz w:val="19"/>
              </w:rPr>
              <w:t>0.74</w:t>
            </w:r>
          </w:p>
        </w:tc>
        <w:tc>
          <w:tcPr>
            <w:tcW w:type="dxa" w:w="1440"/>
            <w:shd w:fill="F4F6F8"/>
            <w:tcMar>
              <w:top w:w="100" w:type="dxa"/>
              <w:bottom w:w="100" w:type="dxa"/>
              <w:left w:w="150" w:type="dxa"/>
              <w:right w:w="150" w:type="dxa"/>
            </w:tcMar>
          </w:tcPr>
          <w:p>
            <w:pPr>
              <w:jc w:val="left"/>
            </w:pPr>
            <w:r>
              <w:rPr>
                <w:sz w:val="19"/>
              </w:rPr>
              <w:t>0.73</w:t>
            </w:r>
          </w:p>
        </w:tc>
        <w:tc>
          <w:tcPr>
            <w:tcW w:type="dxa" w:w="1440"/>
            <w:shd w:fill="F4F6F8"/>
            <w:tcMar>
              <w:top w:w="100" w:type="dxa"/>
              <w:bottom w:w="100" w:type="dxa"/>
              <w:left w:w="150" w:type="dxa"/>
              <w:right w:w="150" w:type="dxa"/>
            </w:tcMar>
          </w:tcPr>
          <w:p>
            <w:pPr>
              <w:jc w:val="left"/>
            </w:pPr>
            <w:r>
              <w:rPr>
                <w:sz w:val="19"/>
              </w:rPr>
              <w:t>0.73</w:t>
            </w:r>
          </w:p>
        </w:tc>
        <w:tc>
          <w:tcPr>
            <w:tcW w:type="dxa" w:w="1440"/>
            <w:shd w:fill="F4F6F8"/>
            <w:tcMar>
              <w:top w:w="100" w:type="dxa"/>
              <w:bottom w:w="100" w:type="dxa"/>
              <w:left w:w="150" w:type="dxa"/>
              <w:right w:w="150" w:type="dxa"/>
            </w:tcMar>
          </w:tcPr>
          <w:p>
            <w:pPr>
              <w:jc w:val="left"/>
            </w:pPr>
            <w:r>
              <w:rPr>
                <w:sz w:val="19"/>
              </w:rPr>
              <w:t>646</w:t>
            </w:r>
          </w:p>
        </w:tc>
      </w:tr>
    </w:tbl>
    <w:p>
      <w:pPr>
        <w:spacing w:after="120"/>
      </w:pPr>
    </w:p>
    <w:p>
      <w:pPr>
        <w:spacing w:after="120" w:line="276" w:lineRule="auto"/>
      </w:pPr>
      <w:r>
        <w:rPr>
          <w:i w:val="0"/>
        </w:rPr>
        <w:t>Overall Accuracy: 0.73 | ROC-AUC: 0.69099</w:t>
      </w:r>
    </w:p>
    <w:p>
      <w:pPr>
        <w:spacing w:before="200" w:after="80"/>
        <w:jc w:val="center"/>
      </w:pPr>
      <w:r>
        <w:drawing>
          <wp:inline xmlns:a="http://schemas.openxmlformats.org/drawingml/2006/main" xmlns:pic="http://schemas.openxmlformats.org/drawingml/2006/picture">
            <wp:extent cx="5303520" cy="4404618"/>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2"/>
                    <a:stretch>
                      <a:fillRect/>
                    </a:stretch>
                  </pic:blipFill>
                  <pic:spPr>
                    <a:xfrm>
                      <a:off x="0" y="0"/>
                      <a:ext cx="5303520" cy="4404618"/>
                    </a:xfrm>
                    <a:prstGeom prst="rect"/>
                  </pic:spPr>
                </pic:pic>
              </a:graphicData>
            </a:graphic>
          </wp:inline>
        </w:drawing>
      </w:r>
    </w:p>
    <w:p>
      <w:pPr>
        <w:spacing w:after="240"/>
        <w:jc w:val="center"/>
      </w:pPr>
      <w:r>
        <w:rPr>
          <w:b/>
          <w:i/>
          <w:color w:val="555555"/>
          <w:sz w:val="19"/>
        </w:rPr>
        <w:t>Figure 4: Confusion Matrix for Final Deployed Model</w:t>
      </w:r>
    </w:p>
    <w:p>
      <w:pPr>
        <w:spacing w:before="200" w:after="80"/>
        <w:jc w:val="center"/>
      </w:pPr>
      <w:r>
        <w:drawing>
          <wp:inline xmlns:a="http://schemas.openxmlformats.org/drawingml/2006/main" xmlns:pic="http://schemas.openxmlformats.org/drawingml/2006/picture">
            <wp:extent cx="5303520" cy="4539280"/>
            <wp:docPr id="5" name="Picture 5"/>
            <wp:cNvGraphicFramePr>
              <a:graphicFrameLocks noChangeAspect="1"/>
            </wp:cNvGraphicFramePr>
            <a:graphic>
              <a:graphicData uri="http://schemas.openxmlformats.org/drawingml/2006/picture">
                <pic:pic>
                  <pic:nvPicPr>
                    <pic:cNvPr id="0" name="fig5_roc_curve.png"/>
                    <pic:cNvPicPr/>
                  </pic:nvPicPr>
                  <pic:blipFill>
                    <a:blip r:embed="rId13"/>
                    <a:stretch>
                      <a:fillRect/>
                    </a:stretch>
                  </pic:blipFill>
                  <pic:spPr>
                    <a:xfrm>
                      <a:off x="0" y="0"/>
                      <a:ext cx="5303520" cy="4539280"/>
                    </a:xfrm>
                    <a:prstGeom prst="rect"/>
                  </pic:spPr>
                </pic:pic>
              </a:graphicData>
            </a:graphic>
          </wp:inline>
        </w:drawing>
      </w:r>
    </w:p>
    <w:p>
      <w:pPr>
        <w:spacing w:after="240"/>
        <w:jc w:val="center"/>
      </w:pPr>
      <w:r>
        <w:rPr>
          <w:b/>
          <w:i/>
          <w:color w:val="555555"/>
          <w:sz w:val="19"/>
        </w:rPr>
        <w:t>Figure 5: Receiver Operating Characteristic (ROC) Curve</w:t>
      </w:r>
    </w:p>
    <w:p>
      <w:pPr>
        <w:spacing w:before="280" w:after="120"/>
      </w:pPr>
      <w:r>
        <w:rPr>
          <w:rFonts w:ascii="Calibri" w:hAnsi="Calibri"/>
          <w:b/>
          <w:color w:val="004080"/>
          <w:sz w:val="28"/>
        </w:rPr>
        <w:t>6.4 Explainability &amp; Grad-CAM Analysis</w:t>
      </w:r>
    </w:p>
    <w:p>
      <w:pPr>
        <w:spacing w:after="120" w:line="276" w:lineRule="auto"/>
      </w:pPr>
      <w:r>
        <w:rPr>
          <w:i w:val="0"/>
        </w:rPr>
        <w:t>Grad-CAM visualizations confirm model attention focuses on pulmonary regions for high-confidence predictions.</w:t>
      </w:r>
    </w:p>
    <w:p>
      <w:pPr>
        <w:spacing w:before="200" w:after="80"/>
        <w:jc w:val="center"/>
      </w:pPr>
      <w:r>
        <w:drawing>
          <wp:inline xmlns:a="http://schemas.openxmlformats.org/drawingml/2006/main" xmlns:pic="http://schemas.openxmlformats.org/drawingml/2006/picture">
            <wp:extent cx="5303520" cy="1942377"/>
            <wp:docPr id="6" name="Picture 6"/>
            <wp:cNvGraphicFramePr>
              <a:graphicFrameLocks noChangeAspect="1"/>
            </wp:cNvGraphicFramePr>
            <a:graphic>
              <a:graphicData uri="http://schemas.openxmlformats.org/drawingml/2006/picture">
                <pic:pic>
                  <pic:nvPicPr>
                    <pic:cNvPr id="0" name="fig6_gradcam_concept.png"/>
                    <pic:cNvPicPr/>
                  </pic:nvPicPr>
                  <pic:blipFill>
                    <a:blip r:embed="rId14"/>
                    <a:stretch>
                      <a:fillRect/>
                    </a:stretch>
                  </pic:blipFill>
                  <pic:spPr>
                    <a:xfrm>
                      <a:off x="0" y="0"/>
                      <a:ext cx="5303520" cy="1942377"/>
                    </a:xfrm>
                    <a:prstGeom prst="rect"/>
                  </pic:spPr>
                </pic:pic>
              </a:graphicData>
            </a:graphic>
          </wp:inline>
        </w:drawing>
      </w:r>
    </w:p>
    <w:p>
      <w:pPr>
        <w:spacing w:after="240"/>
        <w:jc w:val="center"/>
      </w:pPr>
      <w:r>
        <w:rPr>
          <w:b/>
          <w:i/>
          <w:color w:val="555555"/>
          <w:sz w:val="19"/>
        </w:rPr>
        <w:t>Figure 6: Grad-CAM Visual Heatmap and Overlay Pipeline</w:t>
      </w:r>
    </w:p>
    <w:p>
      <w:pPr>
        <w:pageBreakBefore/>
        <w:spacing w:before="360" w:after="160"/>
      </w:pPr>
      <w:r>
        <w:rPr>
          <w:rFonts w:ascii="Calibri" w:hAnsi="Calibri"/>
          <w:b/>
          <w:color w:val="003366"/>
          <w:sz w:val="36"/>
        </w:rPr>
        <w:t>CHAPTER 7: DISCUSSION</w:t>
      </w:r>
    </w:p>
    <w:p>
      <w:pPr>
        <w:spacing w:before="280" w:after="120"/>
      </w:pPr>
      <w:r>
        <w:rPr>
          <w:rFonts w:ascii="Calibri" w:hAnsi="Calibri"/>
          <w:b/>
          <w:color w:val="004080"/>
          <w:sz w:val="28"/>
        </w:rPr>
        <w:t>7.1 Overall Findings</w:t>
      </w:r>
    </w:p>
    <w:p>
      <w:pPr>
        <w:spacing w:after="120" w:line="276" w:lineRule="auto"/>
      </w:pPr>
      <w:r>
        <w:rPr>
          <w:i w:val="0"/>
        </w:rPr>
        <w:t>Fibrosis detection on X-rays is difficult due to subtle textures. Accuracy alone is misleading under class imbalance. Fine-tuning provides the most stable operational balance.</w:t>
      </w:r>
    </w:p>
    <w:p>
      <w:pPr>
        <w:spacing w:before="280" w:after="120"/>
      </w:pPr>
      <w:r>
        <w:rPr>
          <w:rFonts w:ascii="Calibri" w:hAnsi="Calibri"/>
          <w:b/>
          <w:color w:val="004080"/>
          <w:sz w:val="28"/>
        </w:rPr>
        <w:t>7.2 Why Fine-tuned ResNet50 was Selected</w:t>
      </w:r>
    </w:p>
    <w:p>
      <w:pPr>
        <w:spacing w:after="120" w:line="276" w:lineRule="auto"/>
      </w:pPr>
      <w:r>
        <w:rPr>
          <w:i w:val="0"/>
        </w:rPr>
        <w:t>Fine-tuned ResNet50 avoided degenerate extreme predictions observed in EfficientNet-B0 and Transfer-only models, delivering superior stability.</w:t>
      </w:r>
    </w:p>
    <w:p>
      <w:pPr>
        <w:spacing w:before="280" w:after="120"/>
      </w:pPr>
      <w:r>
        <w:rPr>
          <w:rFonts w:ascii="Calibri" w:hAnsi="Calibri"/>
          <w:b/>
          <w:color w:val="004080"/>
          <w:sz w:val="28"/>
        </w:rPr>
        <w:t>7.3 Strengths</w:t>
      </w:r>
    </w:p>
    <w:p>
      <w:pPr>
        <w:spacing w:after="120" w:line="276" w:lineRule="auto"/>
      </w:pPr>
      <w:r>
        <w:rPr>
          <w:i w:val="0"/>
        </w:rPr>
        <w:t>• Robust transfer learning and fine-tuning framework.</w:t>
        <w:br/>
        <w:t>• Explicit class-imbalance handling via sample weighting.</w:t>
        <w:br/>
        <w:t>• Lower threshold (0.4) tuned for screening sensitivity.</w:t>
        <w:br/>
        <w:t>• Explainability integration via Grad-CAM.</w:t>
        <w:br/>
        <w:t>• Fully interactive web deployment.</w:t>
      </w:r>
    </w:p>
    <w:p>
      <w:pPr>
        <w:spacing w:before="280" w:after="120"/>
      </w:pPr>
      <w:r>
        <w:rPr>
          <w:rFonts w:ascii="Calibri" w:hAnsi="Calibri"/>
          <w:b/>
          <w:color w:val="004080"/>
          <w:sz w:val="28"/>
        </w:rPr>
        <w:t>7.4 Limitations</w:t>
      </w:r>
    </w:p>
    <w:p>
      <w:pPr>
        <w:spacing w:after="120" w:line="276" w:lineRule="auto"/>
      </w:pPr>
      <w:r>
        <w:rPr>
          <w:i w:val="0"/>
        </w:rPr>
        <w:t>• Moderate fibrosis recall (0.38 in final notebook run).</w:t>
        <w:br/>
        <w:t>• Chest X-ray modality limitations compared to CT.</w:t>
        <w:br/>
        <w:t>• Lack of prospective clinical trial validation.</w:t>
      </w:r>
    </w:p>
    <w:p>
      <w:pPr>
        <w:pageBreakBefore/>
        <w:spacing w:before="360" w:after="160"/>
      </w:pPr>
      <w:r>
        <w:rPr>
          <w:rFonts w:ascii="Calibri" w:hAnsi="Calibri"/>
          <w:b/>
          <w:color w:val="003366"/>
          <w:sz w:val="36"/>
        </w:rPr>
        <w:t>CHAPTER 8: APPLICATION AND DEPLOYMENT</w:t>
      </w:r>
    </w:p>
    <w:p>
      <w:pPr>
        <w:spacing w:before="280" w:after="120"/>
      </w:pPr>
      <w:r>
        <w:rPr>
          <w:rFonts w:ascii="Calibri" w:hAnsi="Calibri"/>
          <w:b/>
          <w:color w:val="004080"/>
          <w:sz w:val="28"/>
        </w:rPr>
        <w:t>8.1 Streamlit Web Application</w:t>
      </w:r>
    </w:p>
    <w:p>
      <w:pPr>
        <w:spacing w:after="120" w:line="276" w:lineRule="auto"/>
      </w:pPr>
      <w:r>
        <w:rPr>
          <w:i w:val="0"/>
        </w:rPr>
        <w:t>The final model is wrapped in an interactive Streamlit application allowing CXR image uploads, risk scoring, and Grad-CAM visualization.</w:t>
      </w:r>
    </w:p>
    <w:p>
      <w:pPr>
        <w:spacing w:before="20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fig7_deployment_workflow.png"/>
                    <pic:cNvPicPr/>
                  </pic:nvPicPr>
                  <pic:blipFill>
                    <a:blip r:embed="rId15"/>
                    <a:stretch>
                      <a:fillRect/>
                    </a:stretch>
                  </pic:blipFill>
                  <pic:spPr>
                    <a:xfrm>
                      <a:off x="0" y="0"/>
                      <a:ext cx="5303520" cy="2624975"/>
                    </a:xfrm>
                    <a:prstGeom prst="rect"/>
                  </pic:spPr>
                </pic:pic>
              </a:graphicData>
            </a:graphic>
          </wp:inline>
        </w:drawing>
      </w:r>
    </w:p>
    <w:p>
      <w:pPr>
        <w:spacing w:after="240"/>
        <w:jc w:val="center"/>
      </w:pPr>
      <w:r>
        <w:rPr>
          <w:b/>
          <w:i/>
          <w:color w:val="555555"/>
          <w:sz w:val="19"/>
        </w:rPr>
        <w:t>Figure 7: Streamlit Deployment Architecture and Risk Stratification Workflow</w:t>
      </w:r>
    </w:p>
    <w:p>
      <w:pPr>
        <w:spacing w:before="280" w:after="120"/>
      </w:pPr>
      <w:r>
        <w:rPr>
          <w:rFonts w:ascii="Calibri" w:hAnsi="Calibri"/>
          <w:b/>
          <w:color w:val="004080"/>
          <w:sz w:val="28"/>
        </w:rPr>
        <w:t>8.2 Risk Stratification Categories</w:t>
      </w:r>
    </w:p>
    <w:tbl>
      <w:tblPr>
        <w:tblW w:type="auto" w:w="0"/>
        <w:jc w:val="center"/>
        <w:tblLayout w:type="fixed"/>
        <w:tblLook w:firstColumn="1" w:firstRow="1" w:lastColumn="0" w:lastRow="0" w:noHBand="0" w:noVBand="1" w:val="04A0"/>
      </w:tblPr>
      <w:tblGrid>
        <w:gridCol w:w="4680"/>
        <w:gridCol w:w="4680"/>
      </w:tblGrid>
      <w:tr>
        <w:tc>
          <w:tcPr>
            <w:tcW w:type="dxa" w:w="4320"/>
            <w:shd w:fill="003366"/>
            <w:tcMar>
              <w:top w:w="120" w:type="dxa"/>
              <w:bottom w:w="120" w:type="dxa"/>
              <w:left w:w="150" w:type="dxa"/>
              <w:right w:w="150" w:type="dxa"/>
            </w:tcMar>
          </w:tcPr>
          <w:p>
            <w:pPr>
              <w:jc w:val="left"/>
            </w:pPr>
            <w:r>
              <w:rPr>
                <w:b/>
                <w:color w:val="FFFFFF"/>
                <w:sz w:val="20"/>
              </w:rPr>
              <w:t>Probability Range</w:t>
            </w:r>
          </w:p>
        </w:tc>
        <w:tc>
          <w:tcPr>
            <w:tcW w:type="dxa" w:w="4320"/>
            <w:shd w:fill="003366"/>
            <w:tcMar>
              <w:top w:w="120" w:type="dxa"/>
              <w:bottom w:w="120" w:type="dxa"/>
              <w:left w:w="150" w:type="dxa"/>
              <w:right w:w="150" w:type="dxa"/>
            </w:tcMar>
          </w:tcPr>
          <w:p>
            <w:pPr>
              <w:jc w:val="left"/>
            </w:pPr>
            <w:r>
              <w:rPr>
                <w:b/>
                <w:color w:val="FFFFFF"/>
                <w:sz w:val="20"/>
              </w:rPr>
              <w:t>Assigned Risk Level</w:t>
            </w:r>
          </w:p>
        </w:tc>
      </w:tr>
      <w:tr>
        <w:tc>
          <w:tcPr>
            <w:tcW w:type="dxa" w:w="4320"/>
            <w:shd w:fill="FFFFFF"/>
            <w:tcMar>
              <w:top w:w="100" w:type="dxa"/>
              <w:bottom w:w="100" w:type="dxa"/>
              <w:left w:w="150" w:type="dxa"/>
              <w:right w:w="150" w:type="dxa"/>
            </w:tcMar>
          </w:tcPr>
          <w:p>
            <w:pPr>
              <w:jc w:val="left"/>
            </w:pPr>
            <w:r>
              <w:rPr>
                <w:sz w:val="19"/>
              </w:rPr>
              <w:t>p &lt; 0.40</w:t>
            </w:r>
          </w:p>
        </w:tc>
        <w:tc>
          <w:tcPr>
            <w:tcW w:type="dxa" w:w="4320"/>
            <w:shd w:fill="FFFFFF"/>
            <w:tcMar>
              <w:top w:w="100" w:type="dxa"/>
              <w:bottom w:w="100" w:type="dxa"/>
              <w:left w:w="150" w:type="dxa"/>
              <w:right w:w="150" w:type="dxa"/>
            </w:tcMar>
          </w:tcPr>
          <w:p>
            <w:pPr>
              <w:jc w:val="left"/>
            </w:pPr>
            <w:r>
              <w:rPr>
                <w:sz w:val="19"/>
              </w:rPr>
              <w:t>Low Risk</w:t>
            </w:r>
          </w:p>
        </w:tc>
      </w:tr>
      <w:tr>
        <w:tc>
          <w:tcPr>
            <w:tcW w:type="dxa" w:w="4320"/>
            <w:shd w:fill="F4F6F8"/>
            <w:tcMar>
              <w:top w:w="100" w:type="dxa"/>
              <w:bottom w:w="100" w:type="dxa"/>
              <w:left w:w="150" w:type="dxa"/>
              <w:right w:w="150" w:type="dxa"/>
            </w:tcMar>
          </w:tcPr>
          <w:p>
            <w:pPr>
              <w:jc w:val="left"/>
            </w:pPr>
            <w:r>
              <w:rPr>
                <w:sz w:val="19"/>
              </w:rPr>
              <w:t>0.40 &lt;= p &lt; 0.70</w:t>
            </w:r>
          </w:p>
        </w:tc>
        <w:tc>
          <w:tcPr>
            <w:tcW w:type="dxa" w:w="4320"/>
            <w:shd w:fill="F4F6F8"/>
            <w:tcMar>
              <w:top w:w="100" w:type="dxa"/>
              <w:bottom w:w="100" w:type="dxa"/>
              <w:left w:w="150" w:type="dxa"/>
              <w:right w:w="150" w:type="dxa"/>
            </w:tcMar>
          </w:tcPr>
          <w:p>
            <w:pPr>
              <w:jc w:val="left"/>
            </w:pPr>
            <w:r>
              <w:rPr>
                <w:sz w:val="19"/>
              </w:rPr>
              <w:t>Moderate Risk</w:t>
            </w:r>
          </w:p>
        </w:tc>
      </w:tr>
      <w:tr>
        <w:tc>
          <w:tcPr>
            <w:tcW w:type="dxa" w:w="4320"/>
            <w:shd w:fill="FFFFFF"/>
            <w:tcMar>
              <w:top w:w="100" w:type="dxa"/>
              <w:bottom w:w="100" w:type="dxa"/>
              <w:left w:w="150" w:type="dxa"/>
              <w:right w:w="150" w:type="dxa"/>
            </w:tcMar>
          </w:tcPr>
          <w:p>
            <w:pPr>
              <w:jc w:val="left"/>
            </w:pPr>
            <w:r>
              <w:rPr>
                <w:sz w:val="19"/>
              </w:rPr>
              <w:t>p &gt;= 0.70</w:t>
            </w:r>
          </w:p>
        </w:tc>
        <w:tc>
          <w:tcPr>
            <w:tcW w:type="dxa" w:w="4320"/>
            <w:shd w:fill="FFFFFF"/>
            <w:tcMar>
              <w:top w:w="100" w:type="dxa"/>
              <w:bottom w:w="100" w:type="dxa"/>
              <w:left w:w="150" w:type="dxa"/>
              <w:right w:w="150" w:type="dxa"/>
            </w:tcMar>
          </w:tcPr>
          <w:p>
            <w:pPr>
              <w:jc w:val="left"/>
            </w:pPr>
            <w:r>
              <w:rPr>
                <w:sz w:val="19"/>
              </w:rPr>
              <w:t>High Risk</w:t>
            </w:r>
          </w:p>
        </w:tc>
      </w:tr>
    </w:tbl>
    <w:p>
      <w:pPr>
        <w:spacing w:after="120"/>
      </w:pPr>
    </w:p>
    <w:p>
      <w:pPr>
        <w:spacing w:before="280" w:after="120"/>
      </w:pPr>
      <w:r>
        <w:rPr>
          <w:rFonts w:ascii="Calibri" w:hAnsi="Calibri"/>
          <w:b/>
          <w:color w:val="004080"/>
          <w:sz w:val="28"/>
        </w:rPr>
        <w:t>8.3 Clinical Disclaimer</w:t>
      </w:r>
    </w:p>
    <w:p>
      <w:pPr>
        <w:spacing w:after="120" w:line="276" w:lineRule="auto"/>
      </w:pPr>
      <w:r>
        <w:rPr>
          <w:i w:val="0"/>
        </w:rPr>
        <w:t>The system is an academic screening support tool and must not be used as a standalone diagnostic system.</w:t>
      </w:r>
    </w:p>
    <w:p>
      <w:pPr>
        <w:pageBreakBefore/>
        <w:spacing w:before="360" w:after="160"/>
      </w:pPr>
      <w:r>
        <w:rPr>
          <w:rFonts w:ascii="Calibri" w:hAnsi="Calibri"/>
          <w:b/>
          <w:color w:val="003366"/>
          <w:sz w:val="36"/>
        </w:rPr>
        <w:t>CHAPTER 9: CONCLUSION AND FUTURE WORK</w:t>
      </w:r>
    </w:p>
    <w:p>
      <w:pPr>
        <w:spacing w:before="280" w:after="120"/>
      </w:pPr>
      <w:r>
        <w:rPr>
          <w:rFonts w:ascii="Calibri" w:hAnsi="Calibri"/>
          <w:b/>
          <w:color w:val="004080"/>
          <w:sz w:val="28"/>
        </w:rPr>
        <w:t>9.1 Conclusion</w:t>
      </w:r>
    </w:p>
    <w:p>
      <w:pPr>
        <w:spacing w:after="120" w:line="276" w:lineRule="auto"/>
      </w:pPr>
      <w:r>
        <w:rPr>
          <w:i w:val="0"/>
        </w:rPr>
        <w:t>This project successfully designed, evaluated, and deployed an explainable deep-learning framework for post-COVID lung fibrosis screening using chest X-rays. Fine-tuned ResNet50 combined with Grad-CAM and Streamlit offers an accessible preliminary screening prototype.</w:t>
      </w:r>
    </w:p>
    <w:p>
      <w:pPr>
        <w:spacing w:before="280" w:after="120"/>
      </w:pPr>
      <w:r>
        <w:rPr>
          <w:rFonts w:ascii="Calibri" w:hAnsi="Calibri"/>
          <w:b/>
          <w:color w:val="004080"/>
          <w:sz w:val="28"/>
        </w:rPr>
        <w:t>9.2 Future Work</w:t>
      </w:r>
    </w:p>
    <w:p>
      <w:pPr>
        <w:spacing w:after="120" w:line="276" w:lineRule="auto"/>
      </w:pPr>
      <w:r>
        <w:rPr>
          <w:i w:val="0"/>
        </w:rPr>
        <w:t>• Incorporating anatomical lung segmentation masks.</w:t>
        <w:br/>
        <w:t>• Multi-center clinical data validation.</w:t>
        <w:br/>
        <w:t>• CT multi-modal integration.</w:t>
        <w:br/>
        <w:t>• Bayesian uncertainty estimation.</w:t>
      </w:r>
    </w:p>
    <w:p>
      <w:pPr>
        <w:pageBreakBefore/>
        <w:spacing w:before="360" w:after="160"/>
      </w:pPr>
      <w:r>
        <w:rPr>
          <w:rFonts w:ascii="Calibri" w:hAnsi="Calibri"/>
          <w:b/>
          <w:color w:val="003366"/>
          <w:sz w:val="36"/>
        </w:rPr>
        <w:t>REFERENCES</w:t>
      </w:r>
    </w:p>
    <w:p>
      <w:pPr>
        <w:spacing w:after="80" w:line="276" w:lineRule="auto"/>
      </w:pPr>
      <w:r>
        <w:rPr>
          <w:i w:val="0"/>
        </w:rPr>
        <w:t>[1] Y. Huang et al., “Impact of Coronavirus Disease 2019 on Pulmonary Function in Early Convalescence Phase,” The Lancet Respiratory Medicine, vol. 9, no. 5, pp. 512–520, 2021.</w:t>
      </w:r>
    </w:p>
    <w:p>
      <w:pPr>
        <w:spacing w:after="80" w:line="276" w:lineRule="auto"/>
      </w:pPr>
      <w:r>
        <w:rPr>
          <w:i w:val="0"/>
        </w:rPr>
        <w:t>[2] X. Wu et al., “3-Month, 6-Month, 9-Month, and 12-Month Respiratory Outcomes in Patients Following COVID-19–Related Hospitalization,” The Lancet Respiratory Medicine, vol. 9, no. 7, pp. 747–754, 2021.</w:t>
      </w:r>
    </w:p>
    <w:p>
      <w:pPr>
        <w:spacing w:after="80" w:line="276" w:lineRule="auto"/>
      </w:pPr>
      <w:r>
        <w:rPr>
          <w:i w:val="0"/>
        </w:rPr>
        <w:t>[3] G. Besutti et al., “Chest X-ray vs CT for Post-COVID Lung Abnormalities,” Radiology, vol. 302, no. 2, 2022.</w:t>
      </w:r>
    </w:p>
    <w:p>
      <w:pPr>
        <w:spacing w:after="80" w:line="276" w:lineRule="auto"/>
      </w:pPr>
      <w:r>
        <w:rPr>
          <w:i w:val="0"/>
        </w:rPr>
        <w:t>[4] P. Rajpurkar et al., “CheXNet: Radiologist-Level Pneumonia Detection on Chest X-Rays with Deep Learning,” arXiv preprint arXiv:1711.05225, 2017.</w:t>
      </w:r>
    </w:p>
    <w:p>
      <w:pPr>
        <w:spacing w:after="80" w:line="276" w:lineRule="auto"/>
      </w:pPr>
      <w:r>
        <w:rPr>
          <w:i w:val="0"/>
        </w:rPr>
        <w:t>[5] L. Wang and A. Wong, “COVID-Net: A Tailored Deep Convolutional Neural Network Design for Detection of COVID-19 Cases from Chest X-Ray Images,” Scientific Reports, vol. 10, p. 19549, 2020.</w:t>
      </w:r>
    </w:p>
    <w:p>
      <w:pPr>
        <w:spacing w:after="80" w:line="276" w:lineRule="auto"/>
      </w:pPr>
      <w:r>
        <w:rPr>
          <w:i w:val="0"/>
        </w:rPr>
        <w:t>[6] I. D. Apostolopoulos and T. A. Mpesiana, “COVID-19: Automatic Detection from X-Ray Images Utilizing Transfer Learning,” Physical and Engineering Sciences in Medicine, vol. 43, pp. 635–640, 2020.</w:t>
      </w:r>
    </w:p>
    <w:p>
      <w:pPr>
        <w:spacing w:after="80" w:line="276" w:lineRule="auto"/>
      </w:pPr>
      <w:r>
        <w:rPr>
          <w:i w:val="0"/>
        </w:rPr>
        <w:t>[7] R. R. Selvaraju et al., “Grad-CAM: Visual Explanations from Deep Networks via Gradient-Based Localization,” Proceedings of the IEEE International Conference on Computer Vision, pp. 618–626, 2017.</w:t>
      </w:r>
    </w:p>
    <w:p>
      <w:pPr>
        <w:spacing w:before="360" w:after="160"/>
      </w:pPr>
      <w:r>
        <w:rPr>
          <w:rFonts w:ascii="Calibri" w:hAnsi="Calibri"/>
          <w:b/>
          <w:color w:val="003366"/>
          <w:sz w:val="36"/>
        </w:rPr>
        <w:t>APPENDIX A: FINAL MODEL ARCHITECTURE</w:t>
      </w:r>
    </w:p>
    <w:tbl>
      <w:tblPr>
        <w:tblW w:type="auto" w:w="0"/>
        <w:jc w:val="center"/>
        <w:tblLayout w:type="fixed"/>
        <w:tblLook w:firstColumn="1" w:firstRow="1" w:lastColumn="0" w:lastRow="0" w:noHBand="0" w:noVBand="1" w:val="04A0"/>
      </w:tblPr>
      <w:tblGrid>
        <w:gridCol w:w="4680"/>
        <w:gridCol w:w="4680"/>
      </w:tblGrid>
      <w:tr>
        <w:tc>
          <w:tcPr>
            <w:tcW w:type="dxa" w:w="3600"/>
            <w:shd w:fill="003366"/>
            <w:tcMar>
              <w:top w:w="120" w:type="dxa"/>
              <w:bottom w:w="120" w:type="dxa"/>
              <w:left w:w="150" w:type="dxa"/>
              <w:right w:w="150" w:type="dxa"/>
            </w:tcMar>
          </w:tcPr>
          <w:p>
            <w:pPr>
              <w:jc w:val="left"/>
            </w:pPr>
            <w:r>
              <w:rPr>
                <w:b/>
                <w:color w:val="FFFFFF"/>
                <w:sz w:val="20"/>
              </w:rPr>
              <w:t>Component</w:t>
            </w:r>
          </w:p>
        </w:tc>
        <w:tc>
          <w:tcPr>
            <w:tcW w:type="dxa" w:w="5040"/>
            <w:shd w:fill="003366"/>
            <w:tcMar>
              <w:top w:w="120" w:type="dxa"/>
              <w:bottom w:w="120" w:type="dxa"/>
              <w:left w:w="150" w:type="dxa"/>
              <w:right w:w="150" w:type="dxa"/>
            </w:tcMar>
          </w:tcPr>
          <w:p>
            <w:pPr>
              <w:jc w:val="left"/>
            </w:pPr>
            <w:r>
              <w:rPr>
                <w:b/>
                <w:color w:val="FFFFFF"/>
                <w:sz w:val="20"/>
              </w:rPr>
              <w:t>Configuration</w:t>
            </w:r>
          </w:p>
        </w:tc>
      </w:tr>
      <w:tr>
        <w:tc>
          <w:tcPr>
            <w:tcW w:type="dxa" w:w="3600"/>
            <w:shd w:fill="FFFFFF"/>
            <w:tcMar>
              <w:top w:w="100" w:type="dxa"/>
              <w:bottom w:w="100" w:type="dxa"/>
              <w:left w:w="150" w:type="dxa"/>
              <w:right w:w="150" w:type="dxa"/>
            </w:tcMar>
          </w:tcPr>
          <w:p>
            <w:pPr>
              <w:jc w:val="left"/>
            </w:pPr>
            <w:r>
              <w:rPr>
                <w:sz w:val="19"/>
              </w:rPr>
              <w:t>Input Dimensions</w:t>
            </w:r>
          </w:p>
        </w:tc>
        <w:tc>
          <w:tcPr>
            <w:tcW w:type="dxa" w:w="5040"/>
            <w:shd w:fill="FFFFFF"/>
            <w:tcMar>
              <w:top w:w="100" w:type="dxa"/>
              <w:bottom w:w="100" w:type="dxa"/>
              <w:left w:w="150" w:type="dxa"/>
              <w:right w:w="150" w:type="dxa"/>
            </w:tcMar>
          </w:tcPr>
          <w:p>
            <w:pPr>
              <w:jc w:val="left"/>
            </w:pPr>
            <w:r>
              <w:rPr>
                <w:sz w:val="19"/>
              </w:rPr>
              <w:t>224 x 224 x 3</w:t>
            </w:r>
          </w:p>
        </w:tc>
      </w:tr>
      <w:tr>
        <w:tc>
          <w:tcPr>
            <w:tcW w:type="dxa" w:w="3600"/>
            <w:shd w:fill="F4F6F8"/>
            <w:tcMar>
              <w:top w:w="100" w:type="dxa"/>
              <w:bottom w:w="100" w:type="dxa"/>
              <w:left w:w="150" w:type="dxa"/>
              <w:right w:w="150" w:type="dxa"/>
            </w:tcMar>
          </w:tcPr>
          <w:p>
            <w:pPr>
              <w:jc w:val="left"/>
            </w:pPr>
            <w:r>
              <w:rPr>
                <w:sz w:val="19"/>
              </w:rPr>
              <w:t>Backbone Architecture</w:t>
            </w:r>
          </w:p>
        </w:tc>
        <w:tc>
          <w:tcPr>
            <w:tcW w:type="dxa" w:w="5040"/>
            <w:shd w:fill="F4F6F8"/>
            <w:tcMar>
              <w:top w:w="100" w:type="dxa"/>
              <w:bottom w:w="100" w:type="dxa"/>
              <w:left w:w="150" w:type="dxa"/>
              <w:right w:w="150" w:type="dxa"/>
            </w:tcMar>
          </w:tcPr>
          <w:p>
            <w:pPr>
              <w:jc w:val="left"/>
            </w:pPr>
            <w:r>
              <w:rPr>
                <w:sz w:val="19"/>
              </w:rPr>
              <w:t>ResNet50</w:t>
            </w:r>
          </w:p>
        </w:tc>
      </w:tr>
      <w:tr>
        <w:tc>
          <w:tcPr>
            <w:tcW w:type="dxa" w:w="3600"/>
            <w:shd w:fill="FFFFFF"/>
            <w:tcMar>
              <w:top w:w="100" w:type="dxa"/>
              <w:bottom w:w="100" w:type="dxa"/>
              <w:left w:w="150" w:type="dxa"/>
              <w:right w:w="150" w:type="dxa"/>
            </w:tcMar>
          </w:tcPr>
          <w:p>
            <w:pPr>
              <w:jc w:val="left"/>
            </w:pPr>
            <w:r>
              <w:rPr>
                <w:sz w:val="19"/>
              </w:rPr>
              <w:t>Pretrained Weights</w:t>
            </w:r>
          </w:p>
        </w:tc>
        <w:tc>
          <w:tcPr>
            <w:tcW w:type="dxa" w:w="5040"/>
            <w:shd w:fill="FFFFFF"/>
            <w:tcMar>
              <w:top w:w="100" w:type="dxa"/>
              <w:bottom w:w="100" w:type="dxa"/>
              <w:left w:w="150" w:type="dxa"/>
              <w:right w:w="150" w:type="dxa"/>
            </w:tcMar>
          </w:tcPr>
          <w:p>
            <w:pPr>
              <w:jc w:val="left"/>
            </w:pPr>
            <w:r>
              <w:rPr>
                <w:sz w:val="19"/>
              </w:rPr>
              <w:t>ImageNet</w:t>
            </w:r>
          </w:p>
        </w:tc>
      </w:tr>
      <w:tr>
        <w:tc>
          <w:tcPr>
            <w:tcW w:type="dxa" w:w="3600"/>
            <w:shd w:fill="F4F6F8"/>
            <w:tcMar>
              <w:top w:w="100" w:type="dxa"/>
              <w:bottom w:w="100" w:type="dxa"/>
              <w:left w:w="150" w:type="dxa"/>
              <w:right w:w="150" w:type="dxa"/>
            </w:tcMar>
          </w:tcPr>
          <w:p>
            <w:pPr>
              <w:jc w:val="left"/>
            </w:pPr>
            <w:r>
              <w:rPr>
                <w:sz w:val="19"/>
              </w:rPr>
              <w:t>Fine-Tuning Scope</w:t>
            </w:r>
          </w:p>
        </w:tc>
        <w:tc>
          <w:tcPr>
            <w:tcW w:type="dxa" w:w="5040"/>
            <w:shd w:fill="F4F6F8"/>
            <w:tcMar>
              <w:top w:w="100" w:type="dxa"/>
              <w:bottom w:w="100" w:type="dxa"/>
              <w:left w:w="150" w:type="dxa"/>
              <w:right w:w="150" w:type="dxa"/>
            </w:tcMar>
          </w:tcPr>
          <w:p>
            <w:pPr>
              <w:jc w:val="left"/>
            </w:pPr>
            <w:r>
              <w:rPr>
                <w:sz w:val="19"/>
              </w:rPr>
              <w:t>Last 40 Layers Unfrozen</w:t>
            </w:r>
          </w:p>
        </w:tc>
      </w:tr>
      <w:tr>
        <w:tc>
          <w:tcPr>
            <w:tcW w:type="dxa" w:w="3600"/>
            <w:shd w:fill="FFFFFF"/>
            <w:tcMar>
              <w:top w:w="100" w:type="dxa"/>
              <w:bottom w:w="100" w:type="dxa"/>
              <w:left w:w="150" w:type="dxa"/>
              <w:right w:w="150" w:type="dxa"/>
            </w:tcMar>
          </w:tcPr>
          <w:p>
            <w:pPr>
              <w:jc w:val="left"/>
            </w:pPr>
            <w:r>
              <w:rPr>
                <w:sz w:val="19"/>
              </w:rPr>
              <w:t>Pooling Layer</w:t>
            </w:r>
          </w:p>
        </w:tc>
        <w:tc>
          <w:tcPr>
            <w:tcW w:type="dxa" w:w="5040"/>
            <w:shd w:fill="FFFFFF"/>
            <w:tcMar>
              <w:top w:w="100" w:type="dxa"/>
              <w:bottom w:w="100" w:type="dxa"/>
              <w:left w:w="150" w:type="dxa"/>
              <w:right w:w="150" w:type="dxa"/>
            </w:tcMar>
          </w:tcPr>
          <w:p>
            <w:pPr>
              <w:jc w:val="left"/>
            </w:pPr>
            <w:r>
              <w:rPr>
                <w:sz w:val="19"/>
              </w:rPr>
              <w:t>Global Average Pooling 2D</w:t>
            </w:r>
          </w:p>
        </w:tc>
      </w:tr>
      <w:tr>
        <w:tc>
          <w:tcPr>
            <w:tcW w:type="dxa" w:w="3600"/>
            <w:shd w:fill="F4F6F8"/>
            <w:tcMar>
              <w:top w:w="100" w:type="dxa"/>
              <w:bottom w:w="100" w:type="dxa"/>
              <w:left w:w="150" w:type="dxa"/>
              <w:right w:w="150" w:type="dxa"/>
            </w:tcMar>
          </w:tcPr>
          <w:p>
            <w:pPr>
              <w:jc w:val="left"/>
            </w:pPr>
            <w:r>
              <w:rPr>
                <w:sz w:val="19"/>
              </w:rPr>
              <w:t>Dense Layer</w:t>
            </w:r>
          </w:p>
        </w:tc>
        <w:tc>
          <w:tcPr>
            <w:tcW w:type="dxa" w:w="5040"/>
            <w:shd w:fill="F4F6F8"/>
            <w:tcMar>
              <w:top w:w="100" w:type="dxa"/>
              <w:bottom w:w="100" w:type="dxa"/>
              <w:left w:w="150" w:type="dxa"/>
              <w:right w:w="150" w:type="dxa"/>
            </w:tcMar>
          </w:tcPr>
          <w:p>
            <w:pPr>
              <w:jc w:val="left"/>
            </w:pPr>
            <w:r>
              <w:rPr>
                <w:sz w:val="19"/>
              </w:rPr>
              <w:t>256 Units (ReLU)</w:t>
            </w:r>
          </w:p>
        </w:tc>
      </w:tr>
      <w:tr>
        <w:tc>
          <w:tcPr>
            <w:tcW w:type="dxa" w:w="3600"/>
            <w:shd w:fill="FFFFFF"/>
            <w:tcMar>
              <w:top w:w="100" w:type="dxa"/>
              <w:bottom w:w="100" w:type="dxa"/>
              <w:left w:w="150" w:type="dxa"/>
              <w:right w:w="150" w:type="dxa"/>
            </w:tcMar>
          </w:tcPr>
          <w:p>
            <w:pPr>
              <w:jc w:val="left"/>
            </w:pPr>
            <w:r>
              <w:rPr>
                <w:sz w:val="19"/>
              </w:rPr>
              <w:t>Dropout Rate</w:t>
            </w:r>
          </w:p>
        </w:tc>
        <w:tc>
          <w:tcPr>
            <w:tcW w:type="dxa" w:w="5040"/>
            <w:shd w:fill="FFFFFF"/>
            <w:tcMar>
              <w:top w:w="100" w:type="dxa"/>
              <w:bottom w:w="100" w:type="dxa"/>
              <w:left w:w="150" w:type="dxa"/>
              <w:right w:w="150" w:type="dxa"/>
            </w:tcMar>
          </w:tcPr>
          <w:p>
            <w:pPr>
              <w:jc w:val="left"/>
            </w:pPr>
            <w:r>
              <w:rPr>
                <w:sz w:val="19"/>
              </w:rPr>
              <w:t>0.4</w:t>
            </w:r>
          </w:p>
        </w:tc>
      </w:tr>
      <w:tr>
        <w:tc>
          <w:tcPr>
            <w:tcW w:type="dxa" w:w="3600"/>
            <w:shd w:fill="F4F6F8"/>
            <w:tcMar>
              <w:top w:w="100" w:type="dxa"/>
              <w:bottom w:w="100" w:type="dxa"/>
              <w:left w:w="150" w:type="dxa"/>
              <w:right w:w="150" w:type="dxa"/>
            </w:tcMar>
          </w:tcPr>
          <w:p>
            <w:pPr>
              <w:jc w:val="left"/>
            </w:pPr>
            <w:r>
              <w:rPr>
                <w:sz w:val="19"/>
              </w:rPr>
              <w:t>Output Layer</w:t>
            </w:r>
          </w:p>
        </w:tc>
        <w:tc>
          <w:tcPr>
            <w:tcW w:type="dxa" w:w="5040"/>
            <w:shd w:fill="F4F6F8"/>
            <w:tcMar>
              <w:top w:w="100" w:type="dxa"/>
              <w:bottom w:w="100" w:type="dxa"/>
              <w:left w:w="150" w:type="dxa"/>
              <w:right w:w="150" w:type="dxa"/>
            </w:tcMar>
          </w:tcPr>
          <w:p>
            <w:pPr>
              <w:jc w:val="left"/>
            </w:pPr>
            <w:r>
              <w:rPr>
                <w:sz w:val="19"/>
              </w:rPr>
              <w:t>1 Neuron (Sigmoid)</w:t>
            </w:r>
          </w:p>
        </w:tc>
      </w:tr>
      <w:tr>
        <w:tc>
          <w:tcPr>
            <w:tcW w:type="dxa" w:w="3600"/>
            <w:shd w:fill="FFFFFF"/>
            <w:tcMar>
              <w:top w:w="100" w:type="dxa"/>
              <w:bottom w:w="100" w:type="dxa"/>
              <w:left w:w="150" w:type="dxa"/>
              <w:right w:w="150" w:type="dxa"/>
            </w:tcMar>
          </w:tcPr>
          <w:p>
            <w:pPr>
              <w:jc w:val="left"/>
            </w:pPr>
            <w:r>
              <w:rPr>
                <w:sz w:val="19"/>
              </w:rPr>
              <w:t>Loss Function</w:t>
            </w:r>
          </w:p>
        </w:tc>
        <w:tc>
          <w:tcPr>
            <w:tcW w:type="dxa" w:w="5040"/>
            <w:shd w:fill="FFFFFF"/>
            <w:tcMar>
              <w:top w:w="100" w:type="dxa"/>
              <w:bottom w:w="100" w:type="dxa"/>
              <w:left w:w="150" w:type="dxa"/>
              <w:right w:w="150" w:type="dxa"/>
            </w:tcMar>
          </w:tcPr>
          <w:p>
            <w:pPr>
              <w:jc w:val="left"/>
            </w:pPr>
            <w:r>
              <w:rPr>
                <w:sz w:val="19"/>
              </w:rPr>
              <w:t>Binary Cross-Entropy</w:t>
            </w:r>
          </w:p>
        </w:tc>
      </w:tr>
      <w:tr>
        <w:tc>
          <w:tcPr>
            <w:tcW w:type="dxa" w:w="3600"/>
            <w:shd w:fill="F4F6F8"/>
            <w:tcMar>
              <w:top w:w="100" w:type="dxa"/>
              <w:bottom w:w="100" w:type="dxa"/>
              <w:left w:w="150" w:type="dxa"/>
              <w:right w:w="150" w:type="dxa"/>
            </w:tcMar>
          </w:tcPr>
          <w:p>
            <w:pPr>
              <w:jc w:val="left"/>
            </w:pPr>
            <w:r>
              <w:rPr>
                <w:sz w:val="19"/>
              </w:rPr>
              <w:t>Optimizer</w:t>
            </w:r>
          </w:p>
        </w:tc>
        <w:tc>
          <w:tcPr>
            <w:tcW w:type="dxa" w:w="5040"/>
            <w:shd w:fill="F4F6F8"/>
            <w:tcMar>
              <w:top w:w="100" w:type="dxa"/>
              <w:bottom w:w="100" w:type="dxa"/>
              <w:left w:w="150" w:type="dxa"/>
              <w:right w:w="150" w:type="dxa"/>
            </w:tcMar>
          </w:tcPr>
          <w:p>
            <w:pPr>
              <w:jc w:val="left"/>
            </w:pPr>
            <w:r>
              <w:rPr>
                <w:sz w:val="19"/>
              </w:rPr>
              <w:t>Adam (Learning Rate = 1e-5)</w:t>
            </w:r>
          </w:p>
        </w:tc>
      </w:tr>
      <w:tr>
        <w:tc>
          <w:tcPr>
            <w:tcW w:type="dxa" w:w="3600"/>
            <w:shd w:fill="FFFFFF"/>
            <w:tcMar>
              <w:top w:w="100" w:type="dxa"/>
              <w:bottom w:w="100" w:type="dxa"/>
              <w:left w:w="150" w:type="dxa"/>
              <w:right w:w="150" w:type="dxa"/>
            </w:tcMar>
          </w:tcPr>
          <w:p>
            <w:pPr>
              <w:jc w:val="left"/>
            </w:pPr>
            <w:r>
              <w:rPr>
                <w:sz w:val="19"/>
              </w:rPr>
              <w:t>Batch Size</w:t>
            </w:r>
          </w:p>
        </w:tc>
        <w:tc>
          <w:tcPr>
            <w:tcW w:type="dxa" w:w="5040"/>
            <w:shd w:fill="FFFFFF"/>
            <w:tcMar>
              <w:top w:w="100" w:type="dxa"/>
              <w:bottom w:w="100" w:type="dxa"/>
              <w:left w:w="150" w:type="dxa"/>
              <w:right w:w="150" w:type="dxa"/>
            </w:tcMar>
          </w:tcPr>
          <w:p>
            <w:pPr>
              <w:jc w:val="left"/>
            </w:pPr>
            <w:r>
              <w:rPr>
                <w:sz w:val="19"/>
              </w:rPr>
              <w:t>16</w:t>
            </w:r>
          </w:p>
        </w:tc>
      </w:tr>
      <w:tr>
        <w:tc>
          <w:tcPr>
            <w:tcW w:type="dxa" w:w="3600"/>
            <w:shd w:fill="F4F6F8"/>
            <w:tcMar>
              <w:top w:w="100" w:type="dxa"/>
              <w:bottom w:w="100" w:type="dxa"/>
              <w:left w:w="150" w:type="dxa"/>
              <w:right w:w="150" w:type="dxa"/>
            </w:tcMar>
          </w:tcPr>
          <w:p>
            <w:pPr>
              <w:jc w:val="left"/>
            </w:pPr>
            <w:r>
              <w:rPr>
                <w:sz w:val="19"/>
              </w:rPr>
              <w:t>Decision Threshold</w:t>
            </w:r>
          </w:p>
        </w:tc>
        <w:tc>
          <w:tcPr>
            <w:tcW w:type="dxa" w:w="5040"/>
            <w:shd w:fill="F4F6F8"/>
            <w:tcMar>
              <w:top w:w="100" w:type="dxa"/>
              <w:bottom w:w="100" w:type="dxa"/>
              <w:left w:w="150" w:type="dxa"/>
              <w:right w:w="150" w:type="dxa"/>
            </w:tcMar>
          </w:tcPr>
          <w:p>
            <w:pPr>
              <w:jc w:val="left"/>
            </w:pPr>
            <w:r>
              <w:rPr>
                <w:sz w:val="19"/>
              </w:rPr>
              <w:t>0.4</w:t>
            </w:r>
          </w:p>
        </w:tc>
      </w:tr>
    </w:tbl>
    <w:p>
      <w:pPr>
        <w:spacing w:after="120"/>
      </w:pPr>
    </w:p>
    <w:p>
      <w:pPr>
        <w:spacing w:before="360" w:after="160"/>
      </w:pPr>
      <w:r>
        <w:rPr>
          <w:rFonts w:ascii="Calibri" w:hAnsi="Calibri"/>
          <w:b/>
          <w:color w:val="003366"/>
          <w:sz w:val="36"/>
        </w:rPr>
        <w:t>APPENDIX B: MODEL COMPARISON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003366"/>
            <w:tcMar>
              <w:top w:w="120" w:type="dxa"/>
              <w:bottom w:w="120" w:type="dxa"/>
              <w:left w:w="150" w:type="dxa"/>
              <w:right w:w="150" w:type="dxa"/>
            </w:tcMar>
          </w:tcPr>
          <w:p>
            <w:pPr>
              <w:jc w:val="left"/>
            </w:pPr>
            <w:r>
              <w:rPr>
                <w:b/>
                <w:color w:val="FFFFFF"/>
                <w:sz w:val="20"/>
              </w:rPr>
              <w:t>Model</w:t>
            </w:r>
          </w:p>
        </w:tc>
        <w:tc>
          <w:tcPr>
            <w:tcW w:type="dxa" w:w="1728"/>
            <w:shd w:fill="003366"/>
            <w:tcMar>
              <w:top w:w="120" w:type="dxa"/>
              <w:bottom w:w="120" w:type="dxa"/>
              <w:left w:w="150" w:type="dxa"/>
              <w:right w:w="150" w:type="dxa"/>
            </w:tcMar>
          </w:tcPr>
          <w:p>
            <w:pPr>
              <w:jc w:val="left"/>
            </w:pPr>
            <w:r>
              <w:rPr>
                <w:b/>
                <w:color w:val="FFFFFF"/>
                <w:sz w:val="20"/>
              </w:rPr>
              <w:t>Accuracy</w:t>
            </w:r>
          </w:p>
        </w:tc>
        <w:tc>
          <w:tcPr>
            <w:tcW w:type="dxa" w:w="2160"/>
            <w:shd w:fill="003366"/>
            <w:tcMar>
              <w:top w:w="120" w:type="dxa"/>
              <w:bottom w:w="120" w:type="dxa"/>
              <w:left w:w="150" w:type="dxa"/>
              <w:right w:w="150" w:type="dxa"/>
            </w:tcMar>
          </w:tcPr>
          <w:p>
            <w:pPr>
              <w:jc w:val="left"/>
            </w:pPr>
            <w:r>
              <w:rPr>
                <w:b/>
                <w:color w:val="FFFFFF"/>
                <w:sz w:val="20"/>
              </w:rPr>
              <w:t>Fibrosis Recall</w:t>
            </w:r>
          </w:p>
        </w:tc>
        <w:tc>
          <w:tcPr>
            <w:tcW w:type="dxa" w:w="1728"/>
            <w:shd w:fill="003366"/>
            <w:tcMar>
              <w:top w:w="120" w:type="dxa"/>
              <w:bottom w:w="120" w:type="dxa"/>
              <w:left w:w="150" w:type="dxa"/>
              <w:right w:w="150" w:type="dxa"/>
            </w:tcMar>
          </w:tcPr>
          <w:p>
            <w:pPr>
              <w:jc w:val="left"/>
            </w:pPr>
            <w:r>
              <w:rPr>
                <w:b/>
                <w:color w:val="FFFFFF"/>
                <w:sz w:val="20"/>
              </w:rPr>
              <w:t>ROC-AUC</w:t>
            </w:r>
          </w:p>
        </w:tc>
      </w:tr>
      <w:tr>
        <w:tc>
          <w:tcPr>
            <w:tcW w:type="dxa" w:w="3600"/>
            <w:shd w:fill="FFFFFF"/>
            <w:tcMar>
              <w:top w:w="100" w:type="dxa"/>
              <w:bottom w:w="100" w:type="dxa"/>
              <w:left w:w="150" w:type="dxa"/>
              <w:right w:w="150" w:type="dxa"/>
            </w:tcMar>
          </w:tcPr>
          <w:p>
            <w:pPr>
              <w:jc w:val="left"/>
            </w:pPr>
            <w:r>
              <w:rPr>
                <w:sz w:val="19"/>
              </w:rPr>
              <w:t>Baseline CNN</w:t>
            </w:r>
          </w:p>
        </w:tc>
        <w:tc>
          <w:tcPr>
            <w:tcW w:type="dxa" w:w="1728"/>
            <w:shd w:fill="FFFFFF"/>
            <w:tcMar>
              <w:top w:w="100" w:type="dxa"/>
              <w:bottom w:w="100" w:type="dxa"/>
              <w:left w:w="150" w:type="dxa"/>
              <w:right w:w="150" w:type="dxa"/>
            </w:tcMar>
          </w:tcPr>
          <w:p>
            <w:pPr>
              <w:jc w:val="left"/>
            </w:pPr>
            <w:r>
              <w:rPr>
                <w:sz w:val="19"/>
              </w:rPr>
              <w:t>77%</w:t>
            </w:r>
          </w:p>
        </w:tc>
        <w:tc>
          <w:tcPr>
            <w:tcW w:type="dxa" w:w="2160"/>
            <w:shd w:fill="FFFFFF"/>
            <w:tcMar>
              <w:top w:w="100" w:type="dxa"/>
              <w:bottom w:w="100" w:type="dxa"/>
              <w:left w:w="150" w:type="dxa"/>
              <w:right w:w="150" w:type="dxa"/>
            </w:tcMar>
          </w:tcPr>
          <w:p>
            <w:pPr>
              <w:jc w:val="left"/>
            </w:pPr>
            <w:r>
              <w:rPr>
                <w:sz w:val="19"/>
              </w:rPr>
              <w:t>0.00</w:t>
            </w:r>
          </w:p>
        </w:tc>
        <w:tc>
          <w:tcPr>
            <w:tcW w:type="dxa" w:w="1728"/>
            <w:shd w:fill="FFFFFF"/>
            <w:tcMar>
              <w:top w:w="100" w:type="dxa"/>
              <w:bottom w:w="100" w:type="dxa"/>
              <w:left w:w="150" w:type="dxa"/>
              <w:right w:w="150" w:type="dxa"/>
            </w:tcMar>
          </w:tcPr>
          <w:p>
            <w:pPr>
              <w:jc w:val="left"/>
            </w:pPr>
            <w:r>
              <w:rPr>
                <w:sz w:val="19"/>
              </w:rPr>
              <w:t>0.72</w:t>
            </w:r>
          </w:p>
        </w:tc>
      </w:tr>
      <w:tr>
        <w:tc>
          <w:tcPr>
            <w:tcW w:type="dxa" w:w="3600"/>
            <w:shd w:fill="F4F6F8"/>
            <w:tcMar>
              <w:top w:w="100" w:type="dxa"/>
              <w:bottom w:w="100" w:type="dxa"/>
              <w:left w:w="150" w:type="dxa"/>
              <w:right w:w="150" w:type="dxa"/>
            </w:tcMar>
          </w:tcPr>
          <w:p>
            <w:pPr>
              <w:jc w:val="left"/>
            </w:pPr>
            <w:r>
              <w:rPr>
                <w:sz w:val="19"/>
              </w:rPr>
              <w:t>ResNet50 Transfer Only</w:t>
            </w:r>
          </w:p>
        </w:tc>
        <w:tc>
          <w:tcPr>
            <w:tcW w:type="dxa" w:w="1728"/>
            <w:shd w:fill="F4F6F8"/>
            <w:tcMar>
              <w:top w:w="100" w:type="dxa"/>
              <w:bottom w:w="100" w:type="dxa"/>
              <w:left w:w="150" w:type="dxa"/>
              <w:right w:w="150" w:type="dxa"/>
            </w:tcMar>
          </w:tcPr>
          <w:p>
            <w:pPr>
              <w:jc w:val="left"/>
            </w:pPr>
            <w:r>
              <w:rPr>
                <w:sz w:val="19"/>
              </w:rPr>
              <w:t>39%</w:t>
            </w:r>
          </w:p>
        </w:tc>
        <w:tc>
          <w:tcPr>
            <w:tcW w:type="dxa" w:w="2160"/>
            <w:shd w:fill="F4F6F8"/>
            <w:tcMar>
              <w:top w:w="100" w:type="dxa"/>
              <w:bottom w:w="100" w:type="dxa"/>
              <w:left w:w="150" w:type="dxa"/>
              <w:right w:w="150" w:type="dxa"/>
            </w:tcMar>
          </w:tcPr>
          <w:p>
            <w:pPr>
              <w:jc w:val="left"/>
            </w:pPr>
            <w:r>
              <w:rPr>
                <w:sz w:val="19"/>
              </w:rPr>
              <w:t>0.94</w:t>
            </w:r>
          </w:p>
        </w:tc>
        <w:tc>
          <w:tcPr>
            <w:tcW w:type="dxa" w:w="1728"/>
            <w:shd w:fill="F4F6F8"/>
            <w:tcMar>
              <w:top w:w="100" w:type="dxa"/>
              <w:bottom w:w="100" w:type="dxa"/>
              <w:left w:w="150" w:type="dxa"/>
              <w:right w:w="150" w:type="dxa"/>
            </w:tcMar>
          </w:tcPr>
          <w:p>
            <w:pPr>
              <w:jc w:val="left"/>
            </w:pPr>
            <w:r>
              <w:rPr>
                <w:sz w:val="19"/>
              </w:rPr>
              <w:t>0.63</w:t>
            </w:r>
          </w:p>
        </w:tc>
      </w:tr>
      <w:tr>
        <w:tc>
          <w:tcPr>
            <w:tcW w:type="dxa" w:w="3600"/>
            <w:shd w:fill="FFFFFF"/>
            <w:tcMar>
              <w:top w:w="100" w:type="dxa"/>
              <w:bottom w:w="100" w:type="dxa"/>
              <w:left w:w="150" w:type="dxa"/>
              <w:right w:w="150" w:type="dxa"/>
            </w:tcMar>
          </w:tcPr>
          <w:p>
            <w:pPr>
              <w:jc w:val="left"/>
            </w:pPr>
            <w:r>
              <w:rPr>
                <w:sz w:val="19"/>
              </w:rPr>
              <w:t>ResNet50 Fine-tuned (Selected)</w:t>
            </w:r>
          </w:p>
        </w:tc>
        <w:tc>
          <w:tcPr>
            <w:tcW w:type="dxa" w:w="1728"/>
            <w:shd w:fill="FFFFFF"/>
            <w:tcMar>
              <w:top w:w="100" w:type="dxa"/>
              <w:bottom w:w="100" w:type="dxa"/>
              <w:left w:w="150" w:type="dxa"/>
              <w:right w:w="150" w:type="dxa"/>
            </w:tcMar>
          </w:tcPr>
          <w:p>
            <w:pPr>
              <w:jc w:val="left"/>
            </w:pPr>
            <w:r>
              <w:rPr>
                <w:sz w:val="19"/>
              </w:rPr>
              <w:t>67%</w:t>
            </w:r>
          </w:p>
        </w:tc>
        <w:tc>
          <w:tcPr>
            <w:tcW w:type="dxa" w:w="2160"/>
            <w:shd w:fill="FFFFFF"/>
            <w:tcMar>
              <w:top w:w="100" w:type="dxa"/>
              <w:bottom w:w="100" w:type="dxa"/>
              <w:left w:w="150" w:type="dxa"/>
              <w:right w:w="150" w:type="dxa"/>
            </w:tcMar>
          </w:tcPr>
          <w:p>
            <w:pPr>
              <w:jc w:val="left"/>
            </w:pPr>
            <w:r>
              <w:rPr>
                <w:sz w:val="19"/>
              </w:rPr>
              <w:t>0.65</w:t>
            </w:r>
          </w:p>
        </w:tc>
        <w:tc>
          <w:tcPr>
            <w:tcW w:type="dxa" w:w="1728"/>
            <w:shd w:fill="FFFFFF"/>
            <w:tcMar>
              <w:top w:w="100" w:type="dxa"/>
              <w:bottom w:w="100" w:type="dxa"/>
              <w:left w:w="150" w:type="dxa"/>
              <w:right w:w="150" w:type="dxa"/>
            </w:tcMar>
          </w:tcPr>
          <w:p>
            <w:pPr>
              <w:jc w:val="left"/>
            </w:pPr>
            <w:r>
              <w:rPr>
                <w:sz w:val="19"/>
              </w:rPr>
              <w:t>0.71</w:t>
            </w:r>
          </w:p>
        </w:tc>
      </w:tr>
      <w:tr>
        <w:tc>
          <w:tcPr>
            <w:tcW w:type="dxa" w:w="3600"/>
            <w:shd w:fill="F4F6F8"/>
            <w:tcMar>
              <w:top w:w="100" w:type="dxa"/>
              <w:bottom w:w="100" w:type="dxa"/>
              <w:left w:w="150" w:type="dxa"/>
              <w:right w:w="150" w:type="dxa"/>
            </w:tcMar>
          </w:tcPr>
          <w:p>
            <w:pPr>
              <w:jc w:val="left"/>
            </w:pPr>
            <w:r>
              <w:rPr>
                <w:sz w:val="19"/>
              </w:rPr>
              <w:t>DenseNet121</w:t>
            </w:r>
          </w:p>
        </w:tc>
        <w:tc>
          <w:tcPr>
            <w:tcW w:type="dxa" w:w="1728"/>
            <w:shd w:fill="F4F6F8"/>
            <w:tcMar>
              <w:top w:w="100" w:type="dxa"/>
              <w:bottom w:w="100" w:type="dxa"/>
              <w:left w:w="150" w:type="dxa"/>
              <w:right w:w="150" w:type="dxa"/>
            </w:tcMar>
          </w:tcPr>
          <w:p>
            <w:pPr>
              <w:jc w:val="left"/>
            </w:pPr>
            <w:r>
              <w:rPr>
                <w:sz w:val="19"/>
              </w:rPr>
              <w:t>57%</w:t>
            </w:r>
          </w:p>
        </w:tc>
        <w:tc>
          <w:tcPr>
            <w:tcW w:type="dxa" w:w="2160"/>
            <w:shd w:fill="F4F6F8"/>
            <w:tcMar>
              <w:top w:w="100" w:type="dxa"/>
              <w:bottom w:w="100" w:type="dxa"/>
              <w:left w:w="150" w:type="dxa"/>
              <w:right w:w="150" w:type="dxa"/>
            </w:tcMar>
          </w:tcPr>
          <w:p>
            <w:pPr>
              <w:jc w:val="left"/>
            </w:pPr>
            <w:r>
              <w:rPr>
                <w:sz w:val="19"/>
              </w:rPr>
              <w:t>0.79</w:t>
            </w:r>
          </w:p>
        </w:tc>
        <w:tc>
          <w:tcPr>
            <w:tcW w:type="dxa" w:w="1728"/>
            <w:shd w:fill="F4F6F8"/>
            <w:tcMar>
              <w:top w:w="100" w:type="dxa"/>
              <w:bottom w:w="100" w:type="dxa"/>
              <w:left w:w="150" w:type="dxa"/>
              <w:right w:w="150" w:type="dxa"/>
            </w:tcMar>
          </w:tcPr>
          <w:p>
            <w:pPr>
              <w:jc w:val="left"/>
            </w:pPr>
            <w:r>
              <w:rPr>
                <w:sz w:val="19"/>
              </w:rPr>
              <w:t>0.72</w:t>
            </w:r>
          </w:p>
        </w:tc>
      </w:tr>
      <w:tr>
        <w:tc>
          <w:tcPr>
            <w:tcW w:type="dxa" w:w="3600"/>
            <w:shd w:fill="FFFFFF"/>
            <w:tcMar>
              <w:top w:w="100" w:type="dxa"/>
              <w:bottom w:w="100" w:type="dxa"/>
              <w:left w:w="150" w:type="dxa"/>
              <w:right w:w="150" w:type="dxa"/>
            </w:tcMar>
          </w:tcPr>
          <w:p>
            <w:pPr>
              <w:jc w:val="left"/>
            </w:pPr>
            <w:r>
              <w:rPr>
                <w:sz w:val="19"/>
              </w:rPr>
              <w:t>EfficientNet-B0</w:t>
            </w:r>
          </w:p>
        </w:tc>
        <w:tc>
          <w:tcPr>
            <w:tcW w:type="dxa" w:w="1728"/>
            <w:shd w:fill="FFFFFF"/>
            <w:tcMar>
              <w:top w:w="100" w:type="dxa"/>
              <w:bottom w:w="100" w:type="dxa"/>
              <w:left w:w="150" w:type="dxa"/>
              <w:right w:w="150" w:type="dxa"/>
            </w:tcMar>
          </w:tcPr>
          <w:p>
            <w:pPr>
              <w:jc w:val="left"/>
            </w:pPr>
            <w:r>
              <w:rPr>
                <w:sz w:val="19"/>
              </w:rPr>
              <w:t>20%</w:t>
            </w:r>
          </w:p>
        </w:tc>
        <w:tc>
          <w:tcPr>
            <w:tcW w:type="dxa" w:w="2160"/>
            <w:shd w:fill="FFFFFF"/>
            <w:tcMar>
              <w:top w:w="100" w:type="dxa"/>
              <w:bottom w:w="100" w:type="dxa"/>
              <w:left w:w="150" w:type="dxa"/>
              <w:right w:w="150" w:type="dxa"/>
            </w:tcMar>
          </w:tcPr>
          <w:p>
            <w:pPr>
              <w:jc w:val="left"/>
            </w:pPr>
            <w:r>
              <w:rPr>
                <w:sz w:val="19"/>
              </w:rPr>
              <w:t>1.00</w:t>
            </w:r>
          </w:p>
        </w:tc>
        <w:tc>
          <w:tcPr>
            <w:tcW w:type="dxa" w:w="1728"/>
            <w:shd w:fill="FFFFFF"/>
            <w:tcMar>
              <w:top w:w="100" w:type="dxa"/>
              <w:bottom w:w="100" w:type="dxa"/>
              <w:left w:w="150" w:type="dxa"/>
              <w:right w:w="150" w:type="dxa"/>
            </w:tcMar>
          </w:tcPr>
          <w:p>
            <w:pPr>
              <w:jc w:val="left"/>
            </w:pPr>
            <w:r>
              <w:rPr>
                <w:sz w:val="19"/>
              </w:rPr>
              <w:t>0.50</w:t>
            </w:r>
          </w:p>
        </w:tc>
      </w:tr>
      <w:tr>
        <w:tc>
          <w:tcPr>
            <w:tcW w:type="dxa" w:w="3600"/>
            <w:shd w:fill="F4F6F8"/>
            <w:tcMar>
              <w:top w:w="100" w:type="dxa"/>
              <w:bottom w:w="100" w:type="dxa"/>
              <w:left w:w="150" w:type="dxa"/>
              <w:right w:w="150" w:type="dxa"/>
            </w:tcMar>
          </w:tcPr>
          <w:p>
            <w:pPr>
              <w:jc w:val="left"/>
            </w:pPr>
            <w:r>
              <w:rPr>
                <w:sz w:val="19"/>
              </w:rPr>
              <w:t>DenseNet121 + Attention</w:t>
            </w:r>
          </w:p>
        </w:tc>
        <w:tc>
          <w:tcPr>
            <w:tcW w:type="dxa" w:w="1728"/>
            <w:shd w:fill="F4F6F8"/>
            <w:tcMar>
              <w:top w:w="100" w:type="dxa"/>
              <w:bottom w:w="100" w:type="dxa"/>
              <w:left w:w="150" w:type="dxa"/>
              <w:right w:w="150" w:type="dxa"/>
            </w:tcMar>
          </w:tcPr>
          <w:p>
            <w:pPr>
              <w:jc w:val="left"/>
            </w:pPr>
            <w:r>
              <w:rPr>
                <w:sz w:val="19"/>
              </w:rPr>
              <w:t>72%</w:t>
            </w:r>
          </w:p>
        </w:tc>
        <w:tc>
          <w:tcPr>
            <w:tcW w:type="dxa" w:w="2160"/>
            <w:shd w:fill="F4F6F8"/>
            <w:tcMar>
              <w:top w:w="100" w:type="dxa"/>
              <w:bottom w:w="100" w:type="dxa"/>
              <w:left w:w="150" w:type="dxa"/>
              <w:right w:w="150" w:type="dxa"/>
            </w:tcMar>
          </w:tcPr>
          <w:p>
            <w:pPr>
              <w:jc w:val="left"/>
            </w:pPr>
            <w:r>
              <w:rPr>
                <w:sz w:val="19"/>
              </w:rPr>
              <w:t>0.58</w:t>
            </w:r>
          </w:p>
        </w:tc>
        <w:tc>
          <w:tcPr>
            <w:tcW w:type="dxa" w:w="1728"/>
            <w:shd w:fill="F4F6F8"/>
            <w:tcMar>
              <w:top w:w="100" w:type="dxa"/>
              <w:bottom w:w="100" w:type="dxa"/>
              <w:left w:w="150" w:type="dxa"/>
              <w:right w:w="150" w:type="dxa"/>
            </w:tcMar>
          </w:tcPr>
          <w:p>
            <w:pPr>
              <w:jc w:val="left"/>
            </w:pPr>
            <w:r>
              <w:rPr>
                <w:sz w:val="19"/>
              </w:rPr>
              <w:t>0.74</w:t>
            </w:r>
          </w:p>
        </w:tc>
      </w:tr>
    </w:tbl>
    <w:p>
      <w:pPr>
        <w:spacing w:after="120"/>
      </w:pPr>
    </w:p>
    <w:p>
      <w:pPr>
        <w:spacing w:before="360" w:after="160"/>
      </w:pPr>
      <w:r>
        <w:rPr>
          <w:rFonts w:ascii="Calibri" w:hAnsi="Calibri"/>
          <w:b/>
          <w:color w:val="003366"/>
          <w:sz w:val="36"/>
        </w:rPr>
        <w:t>APPENDIX C: FINAL NOTEBOOK CLASSIFICATION REPORT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03366"/>
            <w:tcMar>
              <w:top w:w="120" w:type="dxa"/>
              <w:bottom w:w="120" w:type="dxa"/>
              <w:left w:w="150" w:type="dxa"/>
              <w:right w:w="150" w:type="dxa"/>
            </w:tcMar>
          </w:tcPr>
          <w:p>
            <w:pPr>
              <w:jc w:val="left"/>
            </w:pPr>
            <w:r>
              <w:rPr>
                <w:b/>
                <w:color w:val="FFFFFF"/>
                <w:sz w:val="20"/>
              </w:rPr>
              <w:t>Class</w:t>
            </w:r>
          </w:p>
        </w:tc>
        <w:tc>
          <w:tcPr>
            <w:tcW w:type="dxa" w:w="1440"/>
            <w:shd w:fill="003366"/>
            <w:tcMar>
              <w:top w:w="120" w:type="dxa"/>
              <w:bottom w:w="120" w:type="dxa"/>
              <w:left w:w="150" w:type="dxa"/>
              <w:right w:w="150" w:type="dxa"/>
            </w:tcMar>
          </w:tcPr>
          <w:p>
            <w:pPr>
              <w:jc w:val="left"/>
            </w:pPr>
            <w:r>
              <w:rPr>
                <w:b/>
                <w:color w:val="FFFFFF"/>
                <w:sz w:val="20"/>
              </w:rPr>
              <w:t>Precision</w:t>
            </w:r>
          </w:p>
        </w:tc>
        <w:tc>
          <w:tcPr>
            <w:tcW w:type="dxa" w:w="1440"/>
            <w:shd w:fill="003366"/>
            <w:tcMar>
              <w:top w:w="120" w:type="dxa"/>
              <w:bottom w:w="120" w:type="dxa"/>
              <w:left w:w="150" w:type="dxa"/>
              <w:right w:w="150" w:type="dxa"/>
            </w:tcMar>
          </w:tcPr>
          <w:p>
            <w:pPr>
              <w:jc w:val="left"/>
            </w:pPr>
            <w:r>
              <w:rPr>
                <w:b/>
                <w:color w:val="FFFFFF"/>
                <w:sz w:val="20"/>
              </w:rPr>
              <w:t>Recall</w:t>
            </w:r>
          </w:p>
        </w:tc>
        <w:tc>
          <w:tcPr>
            <w:tcW w:type="dxa" w:w="1440"/>
            <w:shd w:fill="003366"/>
            <w:tcMar>
              <w:top w:w="120" w:type="dxa"/>
              <w:bottom w:w="120" w:type="dxa"/>
              <w:left w:w="150" w:type="dxa"/>
              <w:right w:w="150" w:type="dxa"/>
            </w:tcMar>
          </w:tcPr>
          <w:p>
            <w:pPr>
              <w:jc w:val="left"/>
            </w:pPr>
            <w:r>
              <w:rPr>
                <w:b/>
                <w:color w:val="FFFFFF"/>
                <w:sz w:val="20"/>
              </w:rPr>
              <w:t>F1-Score</w:t>
            </w:r>
          </w:p>
        </w:tc>
        <w:tc>
          <w:tcPr>
            <w:tcW w:type="dxa" w:w="1440"/>
            <w:shd w:fill="003366"/>
            <w:tcMar>
              <w:top w:w="120" w:type="dxa"/>
              <w:bottom w:w="120" w:type="dxa"/>
              <w:left w:w="150" w:type="dxa"/>
              <w:right w:w="150" w:type="dxa"/>
            </w:tcMar>
          </w:tcPr>
          <w:p>
            <w:pPr>
              <w:jc w:val="left"/>
            </w:pPr>
            <w:r>
              <w:rPr>
                <w:b/>
                <w:color w:val="FFFFFF"/>
                <w:sz w:val="20"/>
              </w:rPr>
              <w:t>Support</w:t>
            </w:r>
          </w:p>
        </w:tc>
      </w:tr>
      <w:tr>
        <w:tc>
          <w:tcPr>
            <w:tcW w:type="dxa" w:w="2592"/>
            <w:shd w:fill="FFFFFF"/>
            <w:tcMar>
              <w:top w:w="100" w:type="dxa"/>
              <w:bottom w:w="100" w:type="dxa"/>
              <w:left w:w="150" w:type="dxa"/>
              <w:right w:w="150" w:type="dxa"/>
            </w:tcMar>
          </w:tcPr>
          <w:p>
            <w:pPr>
              <w:jc w:val="left"/>
            </w:pPr>
            <w:r>
              <w:rPr>
                <w:sz w:val="19"/>
              </w:rPr>
              <w:t>Class 0 - Normal</w:t>
            </w:r>
          </w:p>
        </w:tc>
        <w:tc>
          <w:tcPr>
            <w:tcW w:type="dxa" w:w="1440"/>
            <w:shd w:fill="FFFFFF"/>
            <w:tcMar>
              <w:top w:w="100" w:type="dxa"/>
              <w:bottom w:w="100" w:type="dxa"/>
              <w:left w:w="150" w:type="dxa"/>
              <w:right w:w="150" w:type="dxa"/>
            </w:tcMar>
          </w:tcPr>
          <w:p>
            <w:pPr>
              <w:jc w:val="left"/>
            </w:pPr>
            <w:r>
              <w:rPr>
                <w:sz w:val="19"/>
              </w:rPr>
              <w:t>0.84</w:t>
            </w:r>
          </w:p>
        </w:tc>
        <w:tc>
          <w:tcPr>
            <w:tcW w:type="dxa" w:w="1440"/>
            <w:shd w:fill="FFFFFF"/>
            <w:tcMar>
              <w:top w:w="100" w:type="dxa"/>
              <w:bottom w:w="100" w:type="dxa"/>
              <w:left w:w="150" w:type="dxa"/>
              <w:right w:w="150" w:type="dxa"/>
            </w:tcMar>
          </w:tcPr>
          <w:p>
            <w:pPr>
              <w:jc w:val="left"/>
            </w:pPr>
            <w:r>
              <w:rPr>
                <w:sz w:val="19"/>
              </w:rPr>
              <w:t>0.82</w:t>
            </w:r>
          </w:p>
        </w:tc>
        <w:tc>
          <w:tcPr>
            <w:tcW w:type="dxa" w:w="1440"/>
            <w:shd w:fill="FFFFFF"/>
            <w:tcMar>
              <w:top w:w="100" w:type="dxa"/>
              <w:bottom w:w="100" w:type="dxa"/>
              <w:left w:w="150" w:type="dxa"/>
              <w:right w:w="150" w:type="dxa"/>
            </w:tcMar>
          </w:tcPr>
          <w:p>
            <w:pPr>
              <w:jc w:val="left"/>
            </w:pPr>
            <w:r>
              <w:rPr>
                <w:sz w:val="19"/>
              </w:rPr>
              <w:t>0.83</w:t>
            </w:r>
          </w:p>
        </w:tc>
        <w:tc>
          <w:tcPr>
            <w:tcW w:type="dxa" w:w="1440"/>
            <w:shd w:fill="FFFFFF"/>
            <w:tcMar>
              <w:top w:w="100" w:type="dxa"/>
              <w:bottom w:w="100" w:type="dxa"/>
              <w:left w:w="150" w:type="dxa"/>
              <w:right w:w="150" w:type="dxa"/>
            </w:tcMar>
          </w:tcPr>
          <w:p>
            <w:pPr>
              <w:jc w:val="left"/>
            </w:pPr>
            <w:r>
              <w:rPr>
                <w:sz w:val="19"/>
              </w:rPr>
              <w:t>514</w:t>
            </w:r>
          </w:p>
        </w:tc>
      </w:tr>
      <w:tr>
        <w:tc>
          <w:tcPr>
            <w:tcW w:type="dxa" w:w="2592"/>
            <w:shd w:fill="F4F6F8"/>
            <w:tcMar>
              <w:top w:w="100" w:type="dxa"/>
              <w:bottom w:w="100" w:type="dxa"/>
              <w:left w:w="150" w:type="dxa"/>
              <w:right w:w="150" w:type="dxa"/>
            </w:tcMar>
          </w:tcPr>
          <w:p>
            <w:pPr>
              <w:jc w:val="left"/>
            </w:pPr>
            <w:r>
              <w:rPr>
                <w:sz w:val="19"/>
              </w:rPr>
              <w:t>Class 1 - Fibrosis</w:t>
            </w:r>
          </w:p>
        </w:tc>
        <w:tc>
          <w:tcPr>
            <w:tcW w:type="dxa" w:w="1440"/>
            <w:shd w:fill="F4F6F8"/>
            <w:tcMar>
              <w:top w:w="100" w:type="dxa"/>
              <w:bottom w:w="100" w:type="dxa"/>
              <w:left w:w="150" w:type="dxa"/>
              <w:right w:w="150" w:type="dxa"/>
            </w:tcMar>
          </w:tcPr>
          <w:p>
            <w:pPr>
              <w:jc w:val="left"/>
            </w:pPr>
            <w:r>
              <w:rPr>
                <w:sz w:val="19"/>
              </w:rPr>
              <w:t>0.35</w:t>
            </w:r>
          </w:p>
        </w:tc>
        <w:tc>
          <w:tcPr>
            <w:tcW w:type="dxa" w:w="1440"/>
            <w:shd w:fill="F4F6F8"/>
            <w:tcMar>
              <w:top w:w="100" w:type="dxa"/>
              <w:bottom w:w="100" w:type="dxa"/>
              <w:left w:w="150" w:type="dxa"/>
              <w:right w:w="150" w:type="dxa"/>
            </w:tcMar>
          </w:tcPr>
          <w:p>
            <w:pPr>
              <w:jc w:val="left"/>
            </w:pPr>
            <w:r>
              <w:rPr>
                <w:sz w:val="19"/>
              </w:rPr>
              <w:t>0.38</w:t>
            </w:r>
          </w:p>
        </w:tc>
        <w:tc>
          <w:tcPr>
            <w:tcW w:type="dxa" w:w="1440"/>
            <w:shd w:fill="F4F6F8"/>
            <w:tcMar>
              <w:top w:w="100" w:type="dxa"/>
              <w:bottom w:w="100" w:type="dxa"/>
              <w:left w:w="150" w:type="dxa"/>
              <w:right w:w="150" w:type="dxa"/>
            </w:tcMar>
          </w:tcPr>
          <w:p>
            <w:pPr>
              <w:jc w:val="left"/>
            </w:pPr>
            <w:r>
              <w:rPr>
                <w:sz w:val="19"/>
              </w:rPr>
              <w:t>0.36</w:t>
            </w:r>
          </w:p>
        </w:tc>
        <w:tc>
          <w:tcPr>
            <w:tcW w:type="dxa" w:w="1440"/>
            <w:shd w:fill="F4F6F8"/>
            <w:tcMar>
              <w:top w:w="100" w:type="dxa"/>
              <w:bottom w:w="100" w:type="dxa"/>
              <w:left w:w="150" w:type="dxa"/>
              <w:right w:w="150" w:type="dxa"/>
            </w:tcMar>
          </w:tcPr>
          <w:p>
            <w:pPr>
              <w:jc w:val="left"/>
            </w:pPr>
            <w:r>
              <w:rPr>
                <w:sz w:val="19"/>
              </w:rPr>
              <w:t>132</w:t>
            </w:r>
          </w:p>
        </w:tc>
      </w:tr>
      <w:tr>
        <w:tc>
          <w:tcPr>
            <w:tcW w:type="dxa" w:w="2592"/>
            <w:shd w:fill="FFFFFF"/>
            <w:tcMar>
              <w:top w:w="100" w:type="dxa"/>
              <w:bottom w:w="100" w:type="dxa"/>
              <w:left w:w="150" w:type="dxa"/>
              <w:right w:w="150" w:type="dxa"/>
            </w:tcMar>
          </w:tcPr>
          <w:p>
            <w:pPr>
              <w:jc w:val="left"/>
            </w:pPr>
            <w:r>
              <w:rPr>
                <w:sz w:val="19"/>
              </w:rPr>
              <w:t>Macro Average</w:t>
            </w:r>
          </w:p>
        </w:tc>
        <w:tc>
          <w:tcPr>
            <w:tcW w:type="dxa" w:w="1440"/>
            <w:shd w:fill="FFFFFF"/>
            <w:tcMar>
              <w:top w:w="100" w:type="dxa"/>
              <w:bottom w:w="100" w:type="dxa"/>
              <w:left w:w="150" w:type="dxa"/>
              <w:right w:w="150" w:type="dxa"/>
            </w:tcMar>
          </w:tcPr>
          <w:p>
            <w:pPr>
              <w:jc w:val="left"/>
            </w:pPr>
            <w:r>
              <w:rPr>
                <w:sz w:val="19"/>
              </w:rPr>
              <w:t>0.59</w:t>
            </w:r>
          </w:p>
        </w:tc>
        <w:tc>
          <w:tcPr>
            <w:tcW w:type="dxa" w:w="1440"/>
            <w:shd w:fill="FFFFFF"/>
            <w:tcMar>
              <w:top w:w="100" w:type="dxa"/>
              <w:bottom w:w="100" w:type="dxa"/>
              <w:left w:w="150" w:type="dxa"/>
              <w:right w:w="150" w:type="dxa"/>
            </w:tcMar>
          </w:tcPr>
          <w:p>
            <w:pPr>
              <w:jc w:val="left"/>
            </w:pPr>
            <w:r>
              <w:rPr>
                <w:sz w:val="19"/>
              </w:rPr>
              <w:t>0.60</w:t>
            </w:r>
          </w:p>
        </w:tc>
        <w:tc>
          <w:tcPr>
            <w:tcW w:type="dxa" w:w="1440"/>
            <w:shd w:fill="FFFFFF"/>
            <w:tcMar>
              <w:top w:w="100" w:type="dxa"/>
              <w:bottom w:w="100" w:type="dxa"/>
              <w:left w:w="150" w:type="dxa"/>
              <w:right w:w="150" w:type="dxa"/>
            </w:tcMar>
          </w:tcPr>
          <w:p>
            <w:pPr>
              <w:jc w:val="left"/>
            </w:pPr>
            <w:r>
              <w:rPr>
                <w:sz w:val="19"/>
              </w:rPr>
              <w:t>0.60</w:t>
            </w:r>
          </w:p>
        </w:tc>
        <w:tc>
          <w:tcPr>
            <w:tcW w:type="dxa" w:w="1440"/>
            <w:shd w:fill="FFFFFF"/>
            <w:tcMar>
              <w:top w:w="100" w:type="dxa"/>
              <w:bottom w:w="100" w:type="dxa"/>
              <w:left w:w="150" w:type="dxa"/>
              <w:right w:w="150" w:type="dxa"/>
            </w:tcMar>
          </w:tcPr>
          <w:p>
            <w:pPr>
              <w:jc w:val="left"/>
            </w:pPr>
            <w:r>
              <w:rPr>
                <w:sz w:val="19"/>
              </w:rPr>
              <w:t>646</w:t>
            </w:r>
          </w:p>
        </w:tc>
      </w:tr>
      <w:tr>
        <w:tc>
          <w:tcPr>
            <w:tcW w:type="dxa" w:w="2592"/>
            <w:shd w:fill="F4F6F8"/>
            <w:tcMar>
              <w:top w:w="100" w:type="dxa"/>
              <w:bottom w:w="100" w:type="dxa"/>
              <w:left w:w="150" w:type="dxa"/>
              <w:right w:w="150" w:type="dxa"/>
            </w:tcMar>
          </w:tcPr>
          <w:p>
            <w:pPr>
              <w:jc w:val="left"/>
            </w:pPr>
            <w:r>
              <w:rPr>
                <w:sz w:val="19"/>
              </w:rPr>
              <w:t>Weighted Average</w:t>
            </w:r>
          </w:p>
        </w:tc>
        <w:tc>
          <w:tcPr>
            <w:tcW w:type="dxa" w:w="1440"/>
            <w:shd w:fill="F4F6F8"/>
            <w:tcMar>
              <w:top w:w="100" w:type="dxa"/>
              <w:bottom w:w="100" w:type="dxa"/>
              <w:left w:w="150" w:type="dxa"/>
              <w:right w:w="150" w:type="dxa"/>
            </w:tcMar>
          </w:tcPr>
          <w:p>
            <w:pPr>
              <w:jc w:val="left"/>
            </w:pPr>
            <w:r>
              <w:rPr>
                <w:sz w:val="19"/>
              </w:rPr>
              <w:t>0.74</w:t>
            </w:r>
          </w:p>
        </w:tc>
        <w:tc>
          <w:tcPr>
            <w:tcW w:type="dxa" w:w="1440"/>
            <w:shd w:fill="F4F6F8"/>
            <w:tcMar>
              <w:top w:w="100" w:type="dxa"/>
              <w:bottom w:w="100" w:type="dxa"/>
              <w:left w:w="150" w:type="dxa"/>
              <w:right w:w="150" w:type="dxa"/>
            </w:tcMar>
          </w:tcPr>
          <w:p>
            <w:pPr>
              <w:jc w:val="left"/>
            </w:pPr>
            <w:r>
              <w:rPr>
                <w:sz w:val="19"/>
              </w:rPr>
              <w:t>0.73</w:t>
            </w:r>
          </w:p>
        </w:tc>
        <w:tc>
          <w:tcPr>
            <w:tcW w:type="dxa" w:w="1440"/>
            <w:shd w:fill="F4F6F8"/>
            <w:tcMar>
              <w:top w:w="100" w:type="dxa"/>
              <w:bottom w:w="100" w:type="dxa"/>
              <w:left w:w="150" w:type="dxa"/>
              <w:right w:w="150" w:type="dxa"/>
            </w:tcMar>
          </w:tcPr>
          <w:p>
            <w:pPr>
              <w:jc w:val="left"/>
            </w:pPr>
            <w:r>
              <w:rPr>
                <w:sz w:val="19"/>
              </w:rPr>
              <w:t>0.73</w:t>
            </w:r>
          </w:p>
        </w:tc>
        <w:tc>
          <w:tcPr>
            <w:tcW w:type="dxa" w:w="1440"/>
            <w:shd w:fill="F4F6F8"/>
            <w:tcMar>
              <w:top w:w="100" w:type="dxa"/>
              <w:bottom w:w="100" w:type="dxa"/>
              <w:left w:w="150" w:type="dxa"/>
              <w:right w:w="150" w:type="dxa"/>
            </w:tcMar>
          </w:tcPr>
          <w:p>
            <w:pPr>
              <w:jc w:val="left"/>
            </w:pPr>
            <w:r>
              <w:rPr>
                <w:sz w:val="19"/>
              </w:rPr>
              <w:t>646</w:t>
            </w:r>
          </w:p>
        </w:tc>
      </w:tr>
    </w:tbl>
    <w:p>
      <w:pPr>
        <w:spacing w:after="120"/>
      </w:pPr>
    </w:p>
    <w:p>
      <w:pPr>
        <w:spacing w:before="360" w:after="160"/>
      </w:pPr>
      <w:r>
        <w:rPr>
          <w:rFonts w:ascii="Calibri" w:hAnsi="Calibri"/>
          <w:b/>
          <w:color w:val="003366"/>
          <w:sz w:val="36"/>
        </w:rPr>
        <w:t>APPENDIX D: FINAL PROJECT STRUCTURE</w:t>
      </w:r>
    </w:p>
    <w:p>
      <w:pPr>
        <w:spacing w:after="120" w:line="276" w:lineRule="auto"/>
      </w:pPr>
      <w:r>
        <w:rPr>
          <w:i/>
        </w:rPr>
        <w:t>Medical_Image_Processing_Project/</w:t>
        <w:br/>
        <w:t>│</w:t>
        <w:br/>
        <w:t>├── 01_Project_Code/</w:t>
        <w:br/>
        <w:t>│   ├── CVProjectttt.ipynb</w:t>
        <w:br/>
        <w:t>│   ├── app.py</w:t>
        <w:br/>
        <w:t>│   └── requirements.txt</w:t>
        <w:br/>
        <w:t>│</w:t>
        <w:br/>
        <w:t>├── 02_Dataset/</w:t>
        <w:br/>
        <w:t>│   ├── 01_Kaggle_Lung_Disease_Dataset_Fibrosis/</w:t>
        <w:br/>
        <w:t>│   ├── 02_NIH_Chest_Xray_Dataset/</w:t>
        <w:br/>
        <w:t>│   ├── 03_Post_COVID_Lung_Fibrosis_Dataset/</w:t>
        <w:br/>
        <w:t>│   └── DATASET_INFORMATION.txt</w:t>
        <w:br/>
        <w:t>│</w:t>
        <w:br/>
        <w:t>├── 03_Trained_Model/</w:t>
        <w:br/>
        <w:t>│   └── final_fibrosis_model.keras</w:t>
        <w:br/>
        <w:t>│</w:t>
        <w:br/>
        <w:t>├── 04_Presentation/</w:t>
        <w:br/>
        <w:t>│   └── ProjectPresentation_Final.pptx</w:t>
        <w:br/>
        <w:t>│</w:t>
        <w:br/>
        <w:t>├── 05_Supporting_Documents/</w:t>
        <w:br/>
        <w:t>│   ├── Project.docx</w:t>
        <w:br/>
        <w:t>│   ├── PaperSkeleton.docx</w:t>
        <w:br/>
        <w:t>│   ├── train_idx.npy</w:t>
        <w:br/>
        <w:t>│   ├── test_idx.npy</w:t>
        <w:br/>
        <w:t>│   └── y_all.dat</w:t>
        <w:br/>
        <w:t>│</w:t>
        <w:br/>
        <w:t>└── 06_References/</w:t>
        <w:br/>
        <w:t xml:space="preserve">    ├── Reference papers</w:t>
        <w:br/>
        <w:t xml:space="preserve">    └── Supporting literature</w:t>
      </w:r>
    </w:p>
    <w:p>
      <w:pPr>
        <w:pageBreakBefore/>
        <w:spacing w:before="360" w:after="160"/>
      </w:pPr>
      <w:r>
        <w:rPr>
          <w:rFonts w:ascii="Calibri" w:hAnsi="Calibri"/>
          <w:b/>
          <w:color w:val="003366"/>
          <w:sz w:val="36"/>
        </w:rPr>
        <w:t>FINAL PROJECT SUMMARY</w:t>
      </w:r>
    </w:p>
    <w:p>
      <w:pPr>
        <w:spacing w:after="120" w:line="276" w:lineRule="auto"/>
      </w:pPr>
      <w:r>
        <w:rPr>
          <w:b/>
          <w:color w:val="111111"/>
        </w:rPr>
        <w:t xml:space="preserve">Summary: </w:t>
      </w:r>
      <w:r>
        <w:rPr>
          <w:i w:val="0"/>
        </w:rPr>
        <w:t>An explainable deep-learning-based screening framework that uses a fine-tuned ImageNet-pretrained ResNet50 to classify chest X-rays into Fibrosis and Normal categories, provides Grad-CAM visual explanations, evaluates generalization using independent external datasets, and delivers predictions through an interactive Streamlit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