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3671B" w14:textId="289DBEE5" w:rsidR="00C605E2" w:rsidRPr="00C605E2" w:rsidRDefault="00C605E2" w:rsidP="00C605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05E2">
        <w:rPr>
          <w:rFonts w:ascii="Times New Roman" w:eastAsia="Times New Roman" w:hAnsi="Times New Roman" w:cs="Times New Roman"/>
          <w:b/>
          <w:bCs/>
          <w:kern w:val="36"/>
          <w:sz w:val="48"/>
          <w:szCs w:val="48"/>
          <w14:ligatures w14:val="none"/>
        </w:rPr>
        <w:t xml:space="preserve">HR Attrition </w:t>
      </w:r>
      <w:r w:rsidR="009A3058">
        <w:rPr>
          <w:rFonts w:ascii="Times New Roman" w:eastAsia="Times New Roman" w:hAnsi="Times New Roman" w:cs="Times New Roman"/>
          <w:b/>
          <w:bCs/>
          <w:kern w:val="36"/>
          <w:sz w:val="48"/>
          <w:szCs w:val="48"/>
          <w14:ligatures w14:val="none"/>
        </w:rPr>
        <w:t>Workforce</w:t>
      </w:r>
      <w:r w:rsidR="00460CA6">
        <w:rPr>
          <w:rFonts w:ascii="Times New Roman" w:eastAsia="Times New Roman" w:hAnsi="Times New Roman" w:cs="Times New Roman"/>
          <w:b/>
          <w:bCs/>
          <w:kern w:val="36"/>
          <w:sz w:val="48"/>
          <w:szCs w:val="48"/>
          <w14:ligatures w14:val="none"/>
        </w:rPr>
        <w:t xml:space="preserve"> </w:t>
      </w:r>
      <w:r w:rsidR="007F1813">
        <w:rPr>
          <w:rFonts w:ascii="Times New Roman" w:eastAsia="Times New Roman" w:hAnsi="Times New Roman" w:cs="Times New Roman"/>
          <w:b/>
          <w:bCs/>
          <w:kern w:val="36"/>
          <w:sz w:val="48"/>
          <w:szCs w:val="48"/>
          <w14:ligatures w14:val="none"/>
        </w:rPr>
        <w:t>Dashboard</w:t>
      </w:r>
      <w:r w:rsidRPr="00C605E2">
        <w:rPr>
          <w:rFonts w:ascii="Times New Roman" w:eastAsia="Times New Roman" w:hAnsi="Times New Roman" w:cs="Times New Roman"/>
          <w:b/>
          <w:bCs/>
          <w:kern w:val="36"/>
          <w:sz w:val="48"/>
          <w:szCs w:val="48"/>
          <w14:ligatures w14:val="none"/>
        </w:rPr>
        <w:t xml:space="preserve"> — Insights</w:t>
      </w:r>
    </w:p>
    <w:p w14:paraId="5107621B"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b/>
          <w:bCs/>
          <w:kern w:val="0"/>
          <w14:ligatures w14:val="none"/>
        </w:rPr>
        <w:t>Tool:</w:t>
      </w:r>
      <w:r w:rsidRPr="00C605E2">
        <w:rPr>
          <w:rFonts w:ascii="Times New Roman" w:eastAsia="Times New Roman" w:hAnsi="Times New Roman" w:cs="Times New Roman"/>
          <w:kern w:val="0"/>
          <w14:ligatures w14:val="none"/>
        </w:rPr>
        <w:t xml:space="preserve"> Tableau </w:t>
      </w:r>
      <w:r w:rsidRPr="00C605E2">
        <w:rPr>
          <w:rFonts w:ascii="Times New Roman" w:eastAsia="Times New Roman" w:hAnsi="Times New Roman" w:cs="Times New Roman"/>
          <w:b/>
          <w:bCs/>
          <w:kern w:val="0"/>
          <w14:ligatures w14:val="none"/>
        </w:rPr>
        <w:t>Dataset:</w:t>
      </w:r>
      <w:r w:rsidRPr="00C605E2">
        <w:rPr>
          <w:rFonts w:ascii="Times New Roman" w:eastAsia="Times New Roman" w:hAnsi="Times New Roman" w:cs="Times New Roman"/>
          <w:kern w:val="0"/>
          <w14:ligatures w14:val="none"/>
        </w:rPr>
        <w:t xml:space="preserve"> IBM HR Analytics Employee Attrition dataset (1,470 employees, 35 fields) </w:t>
      </w:r>
      <w:r w:rsidRPr="00C605E2">
        <w:rPr>
          <w:rFonts w:ascii="Times New Roman" w:eastAsia="Times New Roman" w:hAnsi="Times New Roman" w:cs="Times New Roman"/>
          <w:b/>
          <w:bCs/>
          <w:kern w:val="0"/>
          <w14:ligatures w14:val="none"/>
        </w:rPr>
        <w:t>Dashboard components:</w:t>
      </w:r>
      <w:r w:rsidRPr="00C605E2">
        <w:rPr>
          <w:rFonts w:ascii="Times New Roman" w:eastAsia="Times New Roman" w:hAnsi="Times New Roman" w:cs="Times New Roman"/>
          <w:kern w:val="0"/>
          <w14:ligatures w14:val="none"/>
        </w:rPr>
        <w:t xml:space="preserve"> Bar chart, Box plot, Histogram, Pie chart, Scatter plot, Stacked bar chart</w:t>
      </w:r>
    </w:p>
    <w:p w14:paraId="234B83D8" w14:textId="77777777" w:rsidR="00C605E2" w:rsidRPr="00C605E2" w:rsidRDefault="00C605E2" w:rsidP="00C605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5E2">
        <w:rPr>
          <w:rFonts w:ascii="Times New Roman" w:eastAsia="Times New Roman" w:hAnsi="Times New Roman" w:cs="Times New Roman"/>
          <w:b/>
          <w:bCs/>
          <w:kern w:val="0"/>
          <w:sz w:val="36"/>
          <w:szCs w:val="36"/>
          <w14:ligatures w14:val="none"/>
        </w:rPr>
        <w:t>Overview</w:t>
      </w:r>
    </w:p>
    <w:p w14:paraId="230DCDBD"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 xml:space="preserve">This project explores employee attrition and </w:t>
      </w:r>
      <w:proofErr w:type="gramStart"/>
      <w:r w:rsidRPr="00C605E2">
        <w:rPr>
          <w:rFonts w:ascii="Times New Roman" w:eastAsia="Times New Roman" w:hAnsi="Times New Roman" w:cs="Times New Roman"/>
          <w:kern w:val="0"/>
          <w14:ligatures w14:val="none"/>
        </w:rPr>
        <w:t>pay</w:t>
      </w:r>
      <w:proofErr w:type="gramEnd"/>
      <w:r w:rsidRPr="00C605E2">
        <w:rPr>
          <w:rFonts w:ascii="Times New Roman" w:eastAsia="Times New Roman" w:hAnsi="Times New Roman" w:cs="Times New Roman"/>
          <w:kern w:val="0"/>
          <w14:ligatures w14:val="none"/>
        </w:rPr>
        <w:t xml:space="preserve"> patterns at a fictional company using Tableau. The dashboard combines six visuals to look at income by role, pay spread by education field, age-related attrition, department headcount, tenure vs. income, and the relationship between overtime and attrition.</w:t>
      </w:r>
    </w:p>
    <w:p w14:paraId="639A7E16" w14:textId="77777777" w:rsidR="00C605E2" w:rsidRPr="00C605E2" w:rsidRDefault="00C605E2" w:rsidP="00C605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5E2">
        <w:rPr>
          <w:rFonts w:ascii="Times New Roman" w:eastAsia="Times New Roman" w:hAnsi="Times New Roman" w:cs="Times New Roman"/>
          <w:b/>
          <w:bCs/>
          <w:kern w:val="0"/>
          <w:sz w:val="36"/>
          <w:szCs w:val="36"/>
          <w14:ligatures w14:val="none"/>
        </w:rPr>
        <w:t>Key Insights</w:t>
      </w:r>
    </w:p>
    <w:p w14:paraId="38E3F533"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t>1. Pay is driven mainly by job level, not by tenure</w:t>
      </w:r>
    </w:p>
    <w:p w14:paraId="1C426BE3"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The scatter plot (Years at Company vs. Monthly Income, colored by Department, sized by Job Level) shows Job Level correlates with income at 0.95, while Years at Company only correlates at 0.51. Getting promoted has a far bigger impact on pay than simply staying longer.</w:t>
      </w:r>
    </w:p>
    <w:p w14:paraId="3B31AC72"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t>2. Managers and Research Directors sit in a different pay tier</w:t>
      </w:r>
    </w:p>
    <w:p w14:paraId="7BB1681A"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The bar chart of average Monthly Income by Job Role shows Managers averaging about $17,182/month and Research Directors about $16,034/month — roughly 5–6x what Sales Representatives ($2,626) or Lab Technicians ($3,237) earn. There's a clear gap between the top two roles and every other role.</w:t>
      </w:r>
    </w:p>
    <w:p w14:paraId="5FF3B3B7"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t>3. Overtime is the strongest attrition signal in the data</w:t>
      </w:r>
    </w:p>
    <w:p w14:paraId="23426081"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 xml:space="preserve">The stacked bar chart (Attrition by </w:t>
      </w:r>
      <w:proofErr w:type="spellStart"/>
      <w:r w:rsidRPr="00C605E2">
        <w:rPr>
          <w:rFonts w:ascii="Times New Roman" w:eastAsia="Times New Roman" w:hAnsi="Times New Roman" w:cs="Times New Roman"/>
          <w:kern w:val="0"/>
          <w14:ligatures w14:val="none"/>
        </w:rPr>
        <w:t>OverTime</w:t>
      </w:r>
      <w:proofErr w:type="spellEnd"/>
      <w:r w:rsidRPr="00C605E2">
        <w:rPr>
          <w:rFonts w:ascii="Times New Roman" w:eastAsia="Times New Roman" w:hAnsi="Times New Roman" w:cs="Times New Roman"/>
          <w:kern w:val="0"/>
          <w14:ligatures w14:val="none"/>
        </w:rPr>
        <w:t>) shows employees who work overtime leave at a 30.5% rate, compared to 10.4% for those who don't — roughly 3x higher. Of all the patterns in the dashboard, this is the most actionable one for retention planning.</w:t>
      </w:r>
    </w:p>
    <w:p w14:paraId="447CF35B"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t xml:space="preserve">4. Younger employees </w:t>
      </w:r>
      <w:proofErr w:type="gramStart"/>
      <w:r w:rsidRPr="00C605E2">
        <w:rPr>
          <w:rFonts w:ascii="Times New Roman" w:eastAsia="Times New Roman" w:hAnsi="Times New Roman" w:cs="Times New Roman"/>
          <w:b/>
          <w:bCs/>
          <w:kern w:val="0"/>
          <w:sz w:val="27"/>
          <w:szCs w:val="27"/>
          <w14:ligatures w14:val="none"/>
        </w:rPr>
        <w:t>are</w:t>
      </w:r>
      <w:proofErr w:type="gramEnd"/>
      <w:r w:rsidRPr="00C605E2">
        <w:rPr>
          <w:rFonts w:ascii="Times New Roman" w:eastAsia="Times New Roman" w:hAnsi="Times New Roman" w:cs="Times New Roman"/>
          <w:b/>
          <w:bCs/>
          <w:kern w:val="0"/>
          <w:sz w:val="27"/>
          <w:szCs w:val="27"/>
          <w14:ligatures w14:val="none"/>
        </w:rPr>
        <w:t xml:space="preserve"> the bigger flight risk</w:t>
      </w:r>
    </w:p>
    <w:p w14:paraId="0890B045" w14:textId="77777777" w:rsid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 xml:space="preserve">The histogram of Age vs. Attrition shows attrition is heavily concentrated </w:t>
      </w:r>
      <w:proofErr w:type="gramStart"/>
      <w:r w:rsidRPr="00C605E2">
        <w:rPr>
          <w:rFonts w:ascii="Times New Roman" w:eastAsia="Times New Roman" w:hAnsi="Times New Roman" w:cs="Times New Roman"/>
          <w:kern w:val="0"/>
          <w14:ligatures w14:val="none"/>
        </w:rPr>
        <w:t>in</w:t>
      </w:r>
      <w:proofErr w:type="gramEnd"/>
      <w:r w:rsidRPr="00C605E2">
        <w:rPr>
          <w:rFonts w:ascii="Times New Roman" w:eastAsia="Times New Roman" w:hAnsi="Times New Roman" w:cs="Times New Roman"/>
          <w:kern w:val="0"/>
          <w14:ligatures w14:val="none"/>
        </w:rPr>
        <w:t xml:space="preserve"> younger employees: 27.9% of employees under 30 leave, versus 12.8% of employees 30 and older. The under-25 and 25–30 age bands both show noticeably higher attrition than older groups.</w:t>
      </w:r>
    </w:p>
    <w:p w14:paraId="7855524D" w14:textId="77777777" w:rsidR="00A01998" w:rsidRPr="00C605E2" w:rsidRDefault="00A01998" w:rsidP="00C605E2">
      <w:pPr>
        <w:spacing w:before="100" w:beforeAutospacing="1" w:after="100" w:afterAutospacing="1" w:line="240" w:lineRule="auto"/>
        <w:rPr>
          <w:rFonts w:ascii="Times New Roman" w:eastAsia="Times New Roman" w:hAnsi="Times New Roman" w:cs="Times New Roman"/>
          <w:kern w:val="0"/>
          <w14:ligatures w14:val="none"/>
        </w:rPr>
      </w:pPr>
    </w:p>
    <w:p w14:paraId="31C7021C"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lastRenderedPageBreak/>
        <w:t>5. Marketing pays the most consistently; HR shows the widest spread</w:t>
      </w:r>
    </w:p>
    <w:p w14:paraId="3AA8CB1B"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The box plot of Monthly Income by Education Field shows Marketing has the highest median income (~$6,118) with a relatively narrow spread. Human Resources and Life Sciences show wider gaps between typical and top earners, meaning pay varies more within those fields.</w:t>
      </w:r>
    </w:p>
    <w:p w14:paraId="7884A9F7"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t>6. R&amp;D dominates headcount and shapes company-wide attrition trends</w:t>
      </w:r>
    </w:p>
    <w:p w14:paraId="14795CCC"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The pie chart of Department headcount shows Research &amp; Development makes up 65% of the workforce, Sales 30%, and HR just 4%. Because R&amp;D is so much larger than the other departments, its attrition patterns have an outsized effect on the company's overall attrition rate.</w:t>
      </w:r>
    </w:p>
    <w:p w14:paraId="0EE9BF86" w14:textId="77777777" w:rsidR="00C605E2" w:rsidRPr="00C605E2" w:rsidRDefault="00C605E2" w:rsidP="00C605E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05E2">
        <w:rPr>
          <w:rFonts w:ascii="Times New Roman" w:eastAsia="Times New Roman" w:hAnsi="Times New Roman" w:cs="Times New Roman"/>
          <w:b/>
          <w:bCs/>
          <w:kern w:val="0"/>
          <w:sz w:val="27"/>
          <w:szCs w:val="27"/>
          <w14:ligatures w14:val="none"/>
        </w:rPr>
        <w:t xml:space="preserve">7. Tenure is </w:t>
      </w:r>
      <w:proofErr w:type="gramStart"/>
      <w:r w:rsidRPr="00C605E2">
        <w:rPr>
          <w:rFonts w:ascii="Times New Roman" w:eastAsia="Times New Roman" w:hAnsi="Times New Roman" w:cs="Times New Roman"/>
          <w:b/>
          <w:bCs/>
          <w:kern w:val="0"/>
          <w:sz w:val="27"/>
          <w:szCs w:val="27"/>
          <w14:ligatures w14:val="none"/>
        </w:rPr>
        <w:t>fairly even</w:t>
      </w:r>
      <w:proofErr w:type="gramEnd"/>
      <w:r w:rsidRPr="00C605E2">
        <w:rPr>
          <w:rFonts w:ascii="Times New Roman" w:eastAsia="Times New Roman" w:hAnsi="Times New Roman" w:cs="Times New Roman"/>
          <w:b/>
          <w:bCs/>
          <w:kern w:val="0"/>
          <w:sz w:val="27"/>
          <w:szCs w:val="27"/>
          <w14:ligatures w14:val="none"/>
        </w:rPr>
        <w:t xml:space="preserve"> across departments, but pay gaps persist</w:t>
      </w:r>
    </w:p>
    <w:p w14:paraId="3865411C"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Average tenure is similar across departments (6.9–7.3 years), yet Sales still averages higher income ($6,959/month) than R&amp;D ($6,281/month), despite R&amp;D employees staying slightly longer on average. This suggests role and job level matter more to pay than department alone.</w:t>
      </w:r>
    </w:p>
    <w:p w14:paraId="1F7FA950" w14:textId="77777777" w:rsidR="00C605E2" w:rsidRPr="00C605E2" w:rsidRDefault="00C605E2" w:rsidP="00C605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05E2">
        <w:rPr>
          <w:rFonts w:ascii="Times New Roman" w:eastAsia="Times New Roman" w:hAnsi="Times New Roman" w:cs="Times New Roman"/>
          <w:b/>
          <w:bCs/>
          <w:kern w:val="0"/>
          <w:sz w:val="36"/>
          <w:szCs w:val="36"/>
          <w14:ligatures w14:val="none"/>
        </w:rPr>
        <w:t>Summary</w:t>
      </w:r>
    </w:p>
    <w:p w14:paraId="7F8F293E" w14:textId="77777777" w:rsidR="00C605E2" w:rsidRPr="00C605E2" w:rsidRDefault="00C605E2" w:rsidP="00C605E2">
      <w:pPr>
        <w:spacing w:before="100" w:beforeAutospacing="1" w:after="100" w:afterAutospacing="1" w:line="240" w:lineRule="auto"/>
        <w:rPr>
          <w:rFonts w:ascii="Times New Roman" w:eastAsia="Times New Roman" w:hAnsi="Times New Roman" w:cs="Times New Roman"/>
          <w:kern w:val="0"/>
          <w14:ligatures w14:val="none"/>
        </w:rPr>
      </w:pPr>
      <w:r w:rsidRPr="00C605E2">
        <w:rPr>
          <w:rFonts w:ascii="Times New Roman" w:eastAsia="Times New Roman" w:hAnsi="Times New Roman" w:cs="Times New Roman"/>
          <w:kern w:val="0"/>
          <w14:ligatures w14:val="none"/>
        </w:rPr>
        <w:t>Overtime and age are the two clearest predictors of attrition in this dataset, while pay is shaped far more by job level than by how long someone has been with the company. R&amp;D's size means its trends carry the most weight in company-wide numbers, even though Sales and HR show somewhat different pay and tenure patterns.</w:t>
      </w:r>
    </w:p>
    <w:p w14:paraId="67C16253" w14:textId="77777777" w:rsidR="00390BE4" w:rsidRDefault="00390BE4"/>
    <w:sectPr w:rsidR="00390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E2"/>
    <w:rsid w:val="00390BE4"/>
    <w:rsid w:val="00460CA6"/>
    <w:rsid w:val="00755C42"/>
    <w:rsid w:val="007F1813"/>
    <w:rsid w:val="009A3058"/>
    <w:rsid w:val="00A01998"/>
    <w:rsid w:val="00C605E2"/>
    <w:rsid w:val="00F377CF"/>
    <w:rsid w:val="00FF3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91E07"/>
  <w15:chartTrackingRefBased/>
  <w15:docId w15:val="{720DA325-4557-485D-8896-E2F56058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5E2"/>
    <w:rPr>
      <w:rFonts w:eastAsiaTheme="majorEastAsia" w:cstheme="majorBidi"/>
      <w:color w:val="272727" w:themeColor="text1" w:themeTint="D8"/>
    </w:rPr>
  </w:style>
  <w:style w:type="paragraph" w:styleId="Title">
    <w:name w:val="Title"/>
    <w:basedOn w:val="Normal"/>
    <w:next w:val="Normal"/>
    <w:link w:val="TitleChar"/>
    <w:uiPriority w:val="10"/>
    <w:qFormat/>
    <w:rsid w:val="00C60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5E2"/>
    <w:pPr>
      <w:spacing w:before="160"/>
      <w:jc w:val="center"/>
    </w:pPr>
    <w:rPr>
      <w:i/>
      <w:iCs/>
      <w:color w:val="404040" w:themeColor="text1" w:themeTint="BF"/>
    </w:rPr>
  </w:style>
  <w:style w:type="character" w:customStyle="1" w:styleId="QuoteChar">
    <w:name w:val="Quote Char"/>
    <w:basedOn w:val="DefaultParagraphFont"/>
    <w:link w:val="Quote"/>
    <w:uiPriority w:val="29"/>
    <w:rsid w:val="00C605E2"/>
    <w:rPr>
      <w:i/>
      <w:iCs/>
      <w:color w:val="404040" w:themeColor="text1" w:themeTint="BF"/>
    </w:rPr>
  </w:style>
  <w:style w:type="paragraph" w:styleId="ListParagraph">
    <w:name w:val="List Paragraph"/>
    <w:basedOn w:val="Normal"/>
    <w:uiPriority w:val="34"/>
    <w:qFormat/>
    <w:rsid w:val="00C605E2"/>
    <w:pPr>
      <w:ind w:left="720"/>
      <w:contextualSpacing/>
    </w:pPr>
  </w:style>
  <w:style w:type="character" w:styleId="IntenseEmphasis">
    <w:name w:val="Intense Emphasis"/>
    <w:basedOn w:val="DefaultParagraphFont"/>
    <w:uiPriority w:val="21"/>
    <w:qFormat/>
    <w:rsid w:val="00C605E2"/>
    <w:rPr>
      <w:i/>
      <w:iCs/>
      <w:color w:val="0F4761" w:themeColor="accent1" w:themeShade="BF"/>
    </w:rPr>
  </w:style>
  <w:style w:type="paragraph" w:styleId="IntenseQuote">
    <w:name w:val="Intense Quote"/>
    <w:basedOn w:val="Normal"/>
    <w:next w:val="Normal"/>
    <w:link w:val="IntenseQuoteChar"/>
    <w:uiPriority w:val="30"/>
    <w:qFormat/>
    <w:rsid w:val="00C60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5E2"/>
    <w:rPr>
      <w:i/>
      <w:iCs/>
      <w:color w:val="0F4761" w:themeColor="accent1" w:themeShade="BF"/>
    </w:rPr>
  </w:style>
  <w:style w:type="character" w:styleId="IntenseReference">
    <w:name w:val="Intense Reference"/>
    <w:basedOn w:val="DefaultParagraphFont"/>
    <w:uiPriority w:val="32"/>
    <w:qFormat/>
    <w:rsid w:val="00C60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Tarmin Hassan</dc:creator>
  <cp:keywords/>
  <dc:description/>
  <cp:lastModifiedBy>Tarmin Hassan</cp:lastModifiedBy>
  <cp:revision>2</cp:revision>
  <dcterms:created xsi:type="dcterms:W3CDTF">2026-08-24T18:01:00Z</dcterms:created>
  <dcterms:modified xsi:type="dcterms:W3CDTF">2026-08-24T18:01:00Z</dcterms:modified>
</cp:coreProperties>
</file>