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Mapping MITRE ATT&amp;CK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555555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Scheda tecnica di Detection Engineering — Catena d'infezione Vidar Loader → Vidar Stealer / Lumma Stealer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20" w:lineRule="auto"/>
        <w:ind w:left="210" w:right="210" w:firstLine="0"/>
        <w:rPr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Ind w:w="210.0" w:type="dxa"/>
        <w:tblLayout w:type="fixed"/>
        <w:tblLook w:val="0600"/>
      </w:tblPr>
      <w:tblGrid>
        <w:gridCol w:w="2250"/>
        <w:gridCol w:w="6690"/>
        <w:tblGridChange w:id="0">
          <w:tblGrid>
            <w:gridCol w:w="2250"/>
            <w:gridCol w:w="66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6f9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color w:val="444444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444444"/>
                <w:sz w:val="16"/>
                <w:szCs w:val="16"/>
                <w:shd w:fill="auto" w:val="clear"/>
                <w:vertAlign w:val="baseline"/>
                <w:rtl w:val="0"/>
              </w:rPr>
              <w:t xml:space="preserve">Sample analizzato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6f9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66bddfcb52736_vidar.exe — MD5: fedb687ed23f77925b35623027f799bb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6f9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color w:val="444444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444444"/>
                <w:sz w:val="16"/>
                <w:szCs w:val="16"/>
                <w:shd w:fill="auto" w:val="clear"/>
                <w:vertAlign w:val="baseline"/>
                <w:rtl w:val="0"/>
              </w:rPr>
              <w:t xml:space="preserve">Data esecuzione sandbox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6f9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25/08/2024, 22:11 — durata 65s (log osservato fino a t+60s in coda di raccolta)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6f9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color w:val="444444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444444"/>
                <w:sz w:val="16"/>
                <w:szCs w:val="16"/>
                <w:shd w:fill="auto" w:val="clear"/>
                <w:vertAlign w:val="baseline"/>
                <w:rtl w:val="0"/>
              </w:rPr>
              <w:t xml:space="preserve">Matrice di riferimento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6f9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MITRE ATT&amp;CK for Enterprise (v15)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6f9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color w:val="444444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444444"/>
                <w:sz w:val="16"/>
                <w:szCs w:val="16"/>
                <w:shd w:fill="auto" w:val="clear"/>
                <w:vertAlign w:val="baseline"/>
                <w:rtl w:val="0"/>
              </w:rPr>
              <w:t xml:space="preserve">Destinatario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6f9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SOC / Detection Engineering / Threat Intelligence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1. Kill chain sintetica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60" w:right="1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120" w:firstLine="0"/>
        <w:jc w:val="center"/>
        <w:rPr>
          <w:color w:val="ffffff"/>
          <w:sz w:val="16"/>
          <w:szCs w:val="16"/>
          <w:shd w:fill="0b3d5c" w:val="clear"/>
        </w:rPr>
      </w:pPr>
      <w:r w:rsidDel="00000000" w:rsidR="00000000" w:rsidRPr="00000000">
        <w:rPr>
          <w:color w:val="ffffff"/>
          <w:sz w:val="16"/>
          <w:szCs w:val="16"/>
          <w:shd w:fill="0b3d5c" w:val="clear"/>
          <w:rtl w:val="0"/>
        </w:rPr>
        <w:t xml:space="preserve">1. Execution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0" w:right="120" w:firstLine="0"/>
        <w:jc w:val="center"/>
        <w:rPr>
          <w:color w:val="ffffff"/>
          <w:sz w:val="16"/>
          <w:szCs w:val="16"/>
          <w:shd w:fill="0b3d5c" w:val="clear"/>
        </w:rPr>
      </w:pPr>
      <w:r w:rsidDel="00000000" w:rsidR="00000000" w:rsidRPr="00000000">
        <w:rPr>
          <w:color w:val="ffffff"/>
          <w:sz w:val="16"/>
          <w:szCs w:val="16"/>
          <w:shd w:fill="0b3d5c" w:val="clear"/>
          <w:rtl w:val="0"/>
        </w:rPr>
        <w:t xml:space="preserve">Loader iniziale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120" w:firstLine="0"/>
        <w:jc w:val="center"/>
        <w:rPr>
          <w:color w:val="ffffff"/>
          <w:sz w:val="16"/>
          <w:szCs w:val="16"/>
          <w:shd w:fill="0b3d5c" w:val="clear"/>
        </w:rPr>
      </w:pPr>
      <w:r w:rsidDel="00000000" w:rsidR="00000000" w:rsidRPr="00000000">
        <w:rPr>
          <w:color w:val="ffffff"/>
          <w:sz w:val="16"/>
          <w:szCs w:val="16"/>
          <w:shd w:fill="0b3d5c" w:val="clear"/>
          <w:rtl w:val="0"/>
        </w:rPr>
        <w:t xml:space="preserve">2. Defense Evasion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0" w:right="120" w:firstLine="0"/>
        <w:jc w:val="center"/>
        <w:rPr>
          <w:color w:val="ffffff"/>
          <w:sz w:val="16"/>
          <w:szCs w:val="16"/>
          <w:shd w:fill="0b3d5c" w:val="clear"/>
        </w:rPr>
      </w:pPr>
      <w:r w:rsidDel="00000000" w:rsidR="00000000" w:rsidRPr="00000000">
        <w:rPr>
          <w:color w:val="ffffff"/>
          <w:sz w:val="16"/>
          <w:szCs w:val="16"/>
          <w:shd w:fill="0b3d5c" w:val="clear"/>
          <w:rtl w:val="0"/>
        </w:rPr>
        <w:t xml:space="preserve">Process injection in RegAsm.exe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120" w:firstLine="0"/>
        <w:jc w:val="center"/>
        <w:rPr>
          <w:color w:val="ffffff"/>
          <w:sz w:val="16"/>
          <w:szCs w:val="16"/>
          <w:shd w:fill="0b3d5c" w:val="clear"/>
        </w:rPr>
      </w:pPr>
      <w:r w:rsidDel="00000000" w:rsidR="00000000" w:rsidRPr="00000000">
        <w:rPr>
          <w:color w:val="ffffff"/>
          <w:sz w:val="16"/>
          <w:szCs w:val="16"/>
          <w:shd w:fill="0b3d5c" w:val="clear"/>
          <w:rtl w:val="0"/>
        </w:rPr>
        <w:t xml:space="preserve">3. Discovery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0" w:right="120" w:firstLine="0"/>
        <w:jc w:val="center"/>
        <w:rPr>
          <w:color w:val="ffffff"/>
          <w:sz w:val="16"/>
          <w:szCs w:val="16"/>
          <w:shd w:fill="0b3d5c" w:val="clear"/>
        </w:rPr>
      </w:pPr>
      <w:r w:rsidDel="00000000" w:rsidR="00000000" w:rsidRPr="00000000">
        <w:rPr>
          <w:color w:val="ffffff"/>
          <w:sz w:val="16"/>
          <w:szCs w:val="16"/>
          <w:shd w:fill="0b3d5c" w:val="clear"/>
          <w:rtl w:val="0"/>
        </w:rPr>
        <w:t xml:space="preserve">Anti-sandbox delay loop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120" w:firstLine="0"/>
        <w:jc w:val="center"/>
        <w:rPr>
          <w:color w:val="ffffff"/>
          <w:sz w:val="16"/>
          <w:szCs w:val="16"/>
          <w:shd w:fill="0b3d5c" w:val="clear"/>
        </w:rPr>
      </w:pPr>
      <w:r w:rsidDel="00000000" w:rsidR="00000000" w:rsidRPr="00000000">
        <w:rPr>
          <w:color w:val="ffffff"/>
          <w:sz w:val="16"/>
          <w:szCs w:val="16"/>
          <w:shd w:fill="0b3d5c" w:val="clear"/>
          <w:rtl w:val="0"/>
        </w:rPr>
        <w:t xml:space="preserve">4. C2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0" w:right="120" w:firstLine="0"/>
        <w:jc w:val="center"/>
        <w:rPr>
          <w:color w:val="ffffff"/>
          <w:sz w:val="16"/>
          <w:szCs w:val="16"/>
          <w:shd w:fill="0b3d5c" w:val="clear"/>
        </w:rPr>
      </w:pPr>
      <w:r w:rsidDel="00000000" w:rsidR="00000000" w:rsidRPr="00000000">
        <w:rPr>
          <w:color w:val="ffffff"/>
          <w:sz w:val="16"/>
          <w:szCs w:val="16"/>
          <w:shd w:fill="0b3d5c" w:val="clear"/>
          <w:rtl w:val="0"/>
        </w:rPr>
        <w:t xml:space="preserve">HTTP/TLS verso Hetzner/Cloudflare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120" w:firstLine="0"/>
        <w:jc w:val="center"/>
        <w:rPr>
          <w:color w:val="ffffff"/>
          <w:sz w:val="16"/>
          <w:szCs w:val="16"/>
          <w:shd w:fill="0b3d5c" w:val="clear"/>
        </w:rPr>
      </w:pPr>
      <w:r w:rsidDel="00000000" w:rsidR="00000000" w:rsidRPr="00000000">
        <w:rPr>
          <w:color w:val="ffffff"/>
          <w:sz w:val="16"/>
          <w:szCs w:val="16"/>
          <w:shd w:fill="0b3d5c" w:val="clear"/>
          <w:rtl w:val="0"/>
        </w:rPr>
        <w:t xml:space="preserve">5. Collection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0" w:right="120" w:firstLine="0"/>
        <w:jc w:val="center"/>
        <w:rPr>
          <w:color w:val="ffffff"/>
          <w:sz w:val="16"/>
          <w:szCs w:val="16"/>
          <w:shd w:fill="0b3d5c" w:val="clear"/>
        </w:rPr>
      </w:pPr>
      <w:r w:rsidDel="00000000" w:rsidR="00000000" w:rsidRPr="00000000">
        <w:rPr>
          <w:color w:val="ffffff"/>
          <w:sz w:val="16"/>
          <w:szCs w:val="16"/>
          <w:shd w:fill="0b3d5c" w:val="clear"/>
          <w:rtl w:val="0"/>
        </w:rPr>
        <w:t xml:space="preserve">Furto credenziali/browser data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120" w:firstLine="0"/>
        <w:jc w:val="center"/>
        <w:rPr>
          <w:color w:val="ffffff"/>
          <w:sz w:val="16"/>
          <w:szCs w:val="16"/>
          <w:shd w:fill="0b3d5c" w:val="clear"/>
        </w:rPr>
      </w:pPr>
      <w:r w:rsidDel="00000000" w:rsidR="00000000" w:rsidRPr="00000000">
        <w:rPr>
          <w:color w:val="ffffff"/>
          <w:sz w:val="16"/>
          <w:szCs w:val="16"/>
          <w:shd w:fill="0b3d5c" w:val="clear"/>
          <w:rtl w:val="0"/>
        </w:rPr>
        <w:t xml:space="preserve">6. Exfiltration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0" w:right="120" w:firstLine="0"/>
        <w:jc w:val="center"/>
        <w:rPr>
          <w:color w:val="ffffff"/>
          <w:sz w:val="16"/>
          <w:szCs w:val="16"/>
          <w:shd w:fill="0b3d5c" w:val="clear"/>
        </w:rPr>
      </w:pPr>
      <w:r w:rsidDel="00000000" w:rsidR="00000000" w:rsidRPr="00000000">
        <w:rPr>
          <w:color w:val="ffffff"/>
          <w:sz w:val="16"/>
          <w:szCs w:val="16"/>
          <w:shd w:fill="0b3d5c" w:val="clear"/>
          <w:rtl w:val="0"/>
        </w:rPr>
        <w:t xml:space="preserve">Invio dati ai C2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120" w:firstLine="0"/>
        <w:jc w:val="center"/>
        <w:rPr>
          <w:color w:val="ffffff"/>
          <w:sz w:val="16"/>
          <w:szCs w:val="16"/>
          <w:shd w:fill="0b3d5c" w:val="clear"/>
        </w:rPr>
      </w:pPr>
      <w:r w:rsidDel="00000000" w:rsidR="00000000" w:rsidRPr="00000000">
        <w:rPr>
          <w:color w:val="ffffff"/>
          <w:sz w:val="16"/>
          <w:szCs w:val="16"/>
          <w:shd w:fill="0b3d5c" w:val="clear"/>
          <w:rtl w:val="0"/>
        </w:rPr>
        <w:t xml:space="preserve">7. Cleanup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0" w:right="120" w:firstLine="0"/>
        <w:jc w:val="center"/>
        <w:rPr>
          <w:color w:val="ffffff"/>
          <w:sz w:val="16"/>
          <w:szCs w:val="16"/>
          <w:shd w:fill="0b3d5c" w:val="clear"/>
        </w:rPr>
      </w:pPr>
      <w:r w:rsidDel="00000000" w:rsidR="00000000" w:rsidRPr="00000000">
        <w:rPr>
          <w:color w:val="ffffff"/>
          <w:sz w:val="16"/>
          <w:szCs w:val="16"/>
          <w:shd w:fill="0b3d5c" w:val="clear"/>
          <w:rtl w:val="0"/>
        </w:rPr>
        <w:t xml:space="preserve">Autocancellazione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0" w:lineRule="auto"/>
        <w:rPr/>
      </w:pPr>
      <w:r w:rsidDel="00000000" w:rsidR="00000000" w:rsidRPr="00000000">
        <w:rPr>
          <w:rtl w:val="0"/>
        </w:rPr>
        <w:t xml:space="preserve">2. Mapping dettagliato tecniche ATT&amp;CK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dde3e8" w:space="0" w:sz="6" w:val="single"/>
          <w:left w:color="dde3e8" w:space="0" w:sz="6" w:val="single"/>
          <w:bottom w:color="dde3e8" w:space="0" w:sz="6" w:val="single"/>
          <w:right w:color="dde3e8" w:space="0" w:sz="6" w:val="single"/>
          <w:insideH w:color="dde3e8" w:space="0" w:sz="6" w:val="single"/>
          <w:insideV w:color="dde3e8" w:space="0" w:sz="6" w:val="single"/>
        </w:tblBorders>
        <w:tblLayout w:type="fixed"/>
        <w:tblLook w:val="0600"/>
      </w:tblPr>
      <w:tblGrid>
        <w:gridCol w:w="1029.6"/>
        <w:gridCol w:w="842.4"/>
        <w:gridCol w:w="2059.2"/>
        <w:gridCol w:w="5428.8"/>
        <w:tblGridChange w:id="0">
          <w:tblGrid>
            <w:gridCol w:w="1029.6"/>
            <w:gridCol w:w="842.4"/>
            <w:gridCol w:w="2059.2"/>
            <w:gridCol w:w="5428.8"/>
          </w:tblGrid>
        </w:tblGridChange>
      </w:tblGrid>
      <w:tr>
        <w:trPr>
          <w:cantSplit w:val="0"/>
          <w:tblHeader w:val="1"/>
        </w:trPr>
        <w:tc>
          <w:tcPr>
            <w:shd w:fill="0b3d5c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shd w:fill="auto" w:val="clear"/>
                <w:rtl w:val="0"/>
              </w:rPr>
              <w:t xml:space="preserve">Tattica</w:t>
            </w:r>
          </w:p>
        </w:tc>
        <w:tc>
          <w:tcPr>
            <w:shd w:fill="0b3d5c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shd w:fill="auto" w:val="clear"/>
                <w:rtl w:val="0"/>
              </w:rPr>
              <w:t xml:space="preserve">ID</w:t>
            </w:r>
          </w:p>
        </w:tc>
        <w:tc>
          <w:tcPr>
            <w:shd w:fill="0b3d5c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shd w:fill="auto" w:val="clear"/>
                <w:rtl w:val="0"/>
              </w:rPr>
              <w:t xml:space="preserve">Tecnica</w:t>
            </w:r>
          </w:p>
        </w:tc>
        <w:tc>
          <w:tcPr>
            <w:shd w:fill="0b3d5c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shd w:fill="auto" w:val="clear"/>
                <w:rtl w:val="0"/>
              </w:rPr>
              <w:t xml:space="preserve">Evidenza osservata nel sample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  <w:color w:val="ffffff"/>
                <w:sz w:val="16"/>
                <w:szCs w:val="16"/>
                <w:shd w:fill="0b3d5c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shd w:fill="0b3d5c" w:val="clear"/>
                <w:vertAlign w:val="baseline"/>
                <w:rtl w:val="0"/>
              </w:rPr>
              <w:t xml:space="preserve">Execution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Courier" w:cs="Courier" w:eastAsia="Courier" w:hAnsi="Courier"/>
                <w:b w:val="1"/>
                <w:bCs w:val="1"/>
                <w:color w:val="0b3d5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0b3d5c"/>
                <w:sz w:val="16"/>
                <w:szCs w:val="16"/>
                <w:vertAlign w:val="baseline"/>
                <w:rtl w:val="0"/>
              </w:rPr>
              <w:t xml:space="preserve">T1204.002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User Execution: Malicious File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Esecuzione manuale/iniziale di 66bddfcb52736_vidar.exe in ambiente sandbox (simula doppio click utente / esecuzione da archivio scaricato).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color w:val="ffffff"/>
                <w:sz w:val="16"/>
                <w:szCs w:val="16"/>
                <w:shd w:fill="0b3d5c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shd w:fill="0b3d5c" w:val="clear"/>
                <w:vertAlign w:val="baseline"/>
                <w:rtl w:val="0"/>
              </w:rPr>
              <w:t xml:space="preserve">Defense Evasion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  <w:color w:val="ffffff"/>
                <w:sz w:val="16"/>
                <w:szCs w:val="16"/>
                <w:shd w:fill="0b3d5c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shd w:fill="0b3d5c" w:val="clear"/>
                <w:vertAlign w:val="baseline"/>
                <w:rtl w:val="0"/>
              </w:rPr>
              <w:t xml:space="preserve">Execution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Courier" w:cs="Courier" w:eastAsia="Courier" w:hAnsi="Courier"/>
                <w:b w:val="1"/>
                <w:bCs w:val="1"/>
                <w:color w:val="0b3d5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0b3d5c"/>
                <w:sz w:val="16"/>
                <w:szCs w:val="16"/>
                <w:vertAlign w:val="baseline"/>
                <w:rtl w:val="0"/>
              </w:rPr>
              <w:t xml:space="preserve">T1218.010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System Binary Proxy Execution: Regsvcs/Regasm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Il payload viene eseguito/iniettato tramite RegAsm.exe (PID 6908, 4704, 6340), binario Microsoft firmato — usato per eludere controlli basati su reputazione/firma.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  <w:color w:val="ffffff"/>
                <w:sz w:val="16"/>
                <w:szCs w:val="16"/>
                <w:shd w:fill="0b3d5c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shd w:fill="0b3d5c" w:val="clear"/>
                <w:vertAlign w:val="baseline"/>
                <w:rtl w:val="0"/>
              </w:rPr>
              <w:t xml:space="preserve">Defense Evasion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Courier" w:cs="Courier" w:eastAsia="Courier" w:hAnsi="Courier"/>
                <w:b w:val="1"/>
                <w:bCs w:val="1"/>
                <w:color w:val="0b3d5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0b3d5c"/>
                <w:sz w:val="16"/>
                <w:szCs w:val="16"/>
                <w:vertAlign w:val="baseline"/>
                <w:rtl w:val="0"/>
              </w:rPr>
              <w:t xml:space="preserve">T1055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Process Injection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Comportamento di iniezione in processo legittimo osservato tramite l'albero processi (RegAsm.exe come host dei moduli Vidar/Lumma) — confermato da tag "vidar"/"lumma" associati al processo RegAsm e non al processo loader originale.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  <w:color w:val="ffffff"/>
                <w:sz w:val="16"/>
                <w:szCs w:val="16"/>
                <w:shd w:fill="0b3d5c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shd w:fill="0b3d5c" w:val="clear"/>
                <w:vertAlign w:val="baseline"/>
                <w:rtl w:val="0"/>
              </w:rPr>
              <w:t xml:space="preserve">Defense Evasion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Courier" w:cs="Courier" w:eastAsia="Courier" w:hAnsi="Courier"/>
                <w:b w:val="1"/>
                <w:bCs w:val="1"/>
                <w:color w:val="0b3d5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0b3d5c"/>
                <w:sz w:val="16"/>
                <w:szCs w:val="16"/>
                <w:vertAlign w:val="baseline"/>
                <w:rtl w:val="0"/>
              </w:rPr>
              <w:t xml:space="preserve">T1027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Obfuscated Files or Information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File droppati in C:\ProgramData\FHJDBKJKFIEC\ con nomi a 6 caratteri casuali (EBAKFI, IECFIE, FIJJKE, EGIJEB, CBAFID, KJJECG, GCBGCG, CGHCGI, JECBGC, AFBKKF, KKECFI, CFHIIJ, JEGDGI) senza estensione riconoscibile, di tipo "binary"/"sqlite"/"text" — payload e dati offuscati/cifrati a runtime.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  <w:color w:val="ffffff"/>
                <w:sz w:val="16"/>
                <w:szCs w:val="16"/>
                <w:shd w:fill="0b3d5c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shd w:fill="0b3d5c" w:val="clear"/>
                <w:vertAlign w:val="baseline"/>
                <w:rtl w:val="0"/>
              </w:rPr>
              <w:t xml:space="preserve">Defense Evasion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Courier" w:cs="Courier" w:eastAsia="Courier" w:hAnsi="Courier"/>
                <w:b w:val="1"/>
                <w:bCs w:val="1"/>
                <w:color w:val="0b3d5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0b3d5c"/>
                <w:sz w:val="16"/>
                <w:szCs w:val="16"/>
                <w:vertAlign w:val="baseline"/>
                <w:rtl w:val="0"/>
              </w:rPr>
              <w:t xml:space="preserve">T1036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Masquerading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Eseguibili droppati con nomi generici/casuali (HCAEHJJKFC.exe, CAFHDBGHJK.exe) in ProgramData, cartella comunemente usata da software legittimo, per confondersi con l'ambiente.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  <w:color w:val="ffffff"/>
                <w:sz w:val="16"/>
                <w:szCs w:val="16"/>
                <w:shd w:fill="0b3d5c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shd w:fill="0b3d5c" w:val="clear"/>
                <w:vertAlign w:val="baseline"/>
                <w:rtl w:val="0"/>
              </w:rPr>
              <w:t xml:space="preserve">Defense Evasion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Courier" w:cs="Courier" w:eastAsia="Courier" w:hAnsi="Courier"/>
                <w:b w:val="1"/>
                <w:bCs w:val="1"/>
                <w:color w:val="0b3d5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0b3d5c"/>
                <w:sz w:val="16"/>
                <w:szCs w:val="16"/>
                <w:vertAlign w:val="baseline"/>
                <w:rtl w:val="0"/>
              </w:rPr>
              <w:t xml:space="preserve">T1574.002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Hijack Execution Flow: DLL Side-Loading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Drop di DLL legittime del runtime Mozilla/NSS (freebl3.dll, mozglue.dll, msvcp140.dll, softokn3.dll, vcruntime140.dll, nss3.dll) accanto ai binari malevoli — set tipico usato da Vidar per decriptare i dati protetti (DPAPI/NSS) dei browser Gecko-based.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  <w:color w:val="ffffff"/>
                <w:sz w:val="16"/>
                <w:szCs w:val="16"/>
                <w:shd w:fill="0b3d5c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shd w:fill="0b3d5c" w:val="clear"/>
                <w:vertAlign w:val="baseline"/>
                <w:rtl w:val="0"/>
              </w:rPr>
              <w:t xml:space="preserve">Discovery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Courier" w:cs="Courier" w:eastAsia="Courier" w:hAnsi="Courier"/>
                <w:b w:val="1"/>
                <w:bCs w:val="1"/>
                <w:color w:val="0b3d5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0b3d5c"/>
                <w:sz w:val="16"/>
                <w:szCs w:val="16"/>
                <w:vertAlign w:val="baseline"/>
                <w:rtl w:val="0"/>
              </w:rPr>
              <w:t xml:space="preserve">T1497.003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Virtualization/Sandbox Evasion: Time Based Evasion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Scrittura ripetuta e ciclica del file C:\Users\admin\AppData\Local\Temp\delays.tmp (decine di riscritture da 1024 Kb, cadenza ~1s) — pattern classico di sleep/delay loop per eludere l'analisi automatizzata a tempo limitato.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  <w:color w:val="ffffff"/>
                <w:sz w:val="16"/>
                <w:szCs w:val="16"/>
                <w:shd w:fill="0b3d5c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shd w:fill="0b3d5c" w:val="clear"/>
                <w:vertAlign w:val="baseline"/>
                <w:rtl w:val="0"/>
              </w:rPr>
              <w:t xml:space="preserve">Command and Control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Courier" w:cs="Courier" w:eastAsia="Courier" w:hAnsi="Courier"/>
                <w:b w:val="1"/>
                <w:bCs w:val="1"/>
                <w:color w:val="0b3d5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0b3d5c"/>
                <w:sz w:val="16"/>
                <w:szCs w:val="16"/>
                <w:vertAlign w:val="baseline"/>
                <w:rtl w:val="0"/>
              </w:rPr>
              <w:t xml:space="preserve">T1071.001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Application Layer Protocol: Web Protocols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Comunicazione C2 su HTTP/HTTPS (porta 443/80) verso 195.201.118.191 (Hetzner) e 172.67.215.62 / caffegclasiqwp.shop (Cloudflare) — traffico persistente e voluminoso, fino a 2 Mb per singola risposta.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  <w:color w:val="ffffff"/>
                <w:sz w:val="16"/>
                <w:szCs w:val="16"/>
                <w:shd w:fill="0b3d5c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shd w:fill="0b3d5c" w:val="clear"/>
                <w:vertAlign w:val="baseline"/>
                <w:rtl w:val="0"/>
              </w:rPr>
              <w:t xml:space="preserve">Command and Control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Courier" w:cs="Courier" w:eastAsia="Courier" w:hAnsi="Courier"/>
                <w:b w:val="1"/>
                <w:bCs w:val="1"/>
                <w:color w:val="0b3d5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0b3d5c"/>
                <w:sz w:val="16"/>
                <w:szCs w:val="16"/>
                <w:vertAlign w:val="baseline"/>
                <w:rtl w:val="0"/>
              </w:rPr>
              <w:t xml:space="preserve">T1105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Ingress Tool Transfer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Download di ulteriori eseguibili via HTTP da IP nudo: hxxp://147.45.44.104/prog/66cb2df8bd684_lawrng.exe (321 Kb) e hxxp://147.45.44.104/prog/66cb2df1d4a01_vakerk.exe (193 Kb) — comportamento da loader multi-stage.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  <w:color w:val="ffffff"/>
                <w:sz w:val="16"/>
                <w:szCs w:val="16"/>
                <w:shd w:fill="0b3d5c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shd w:fill="0b3d5c" w:val="clear"/>
                <w:vertAlign w:val="baseline"/>
                <w:rtl w:val="0"/>
              </w:rPr>
              <w:t xml:space="preserve">Command and Control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Courier" w:cs="Courier" w:eastAsia="Courier" w:hAnsi="Courier"/>
                <w:b w:val="1"/>
                <w:bCs w:val="1"/>
                <w:color w:val="0b3d5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0b3d5c"/>
                <w:sz w:val="16"/>
                <w:szCs w:val="16"/>
                <w:vertAlign w:val="baseline"/>
                <w:rtl w:val="0"/>
              </w:rPr>
              <w:t xml:space="preserve">T1568.002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Dynamic Resolution: Domain Generation Algorithm / Dynamic DNS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Risoluzione di arpdabl.zapto.org, dominio DynDNS (No-IP/Zapto) — tipico fallback C2 per resistere al take-down.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  <w:color w:val="ffffff"/>
                <w:sz w:val="16"/>
                <w:szCs w:val="16"/>
                <w:shd w:fill="0b3d5c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shd w:fill="0b3d5c" w:val="clear"/>
                <w:vertAlign w:val="baseline"/>
                <w:rtl w:val="0"/>
              </w:rPr>
              <w:t xml:space="preserve">Command and Control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Courier" w:cs="Courier" w:eastAsia="Courier" w:hAnsi="Courier"/>
                <w:b w:val="1"/>
                <w:bCs w:val="1"/>
                <w:color w:val="0b3d5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0b3d5c"/>
                <w:sz w:val="16"/>
                <w:szCs w:val="16"/>
                <w:vertAlign w:val="baseline"/>
                <w:rtl w:val="0"/>
              </w:rPr>
              <w:t xml:space="preserve">T1102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Web Service (Dead Drop Resolver — sospetto)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Connessione verso steamcommunity.com con richiesta di una pagina profilo (76561199751190313[1].htm salvata in cache IE) — pattern coerente con l'uso di profili Steam come dead-drop resolver per la configurazione C2, tecnica nota di Vidar.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color w:val="ffffff"/>
                <w:sz w:val="16"/>
                <w:szCs w:val="16"/>
                <w:shd w:fill="0b3d5c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shd w:fill="0b3d5c" w:val="clear"/>
                <w:vertAlign w:val="baseline"/>
                <w:rtl w:val="0"/>
              </w:rPr>
              <w:t xml:space="preserve">Credential Access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  <w:color w:val="ffffff"/>
                <w:sz w:val="16"/>
                <w:szCs w:val="16"/>
                <w:shd w:fill="0b3d5c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shd w:fill="0b3d5c" w:val="clear"/>
                <w:vertAlign w:val="baseline"/>
                <w:rtl w:val="0"/>
              </w:rPr>
              <w:t xml:space="preserve">Collection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Courier" w:cs="Courier" w:eastAsia="Courier" w:hAnsi="Courier"/>
                <w:b w:val="1"/>
                <w:bCs w:val="1"/>
                <w:color w:val="0b3d5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0b3d5c"/>
                <w:sz w:val="16"/>
                <w:szCs w:val="16"/>
                <w:vertAlign w:val="baseline"/>
                <w:rtl w:val="0"/>
              </w:rPr>
              <w:t xml:space="preserve">T1555.003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Credentials from Password Stores: Credentials from Web Browsers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Presenza delle DLL NSS/Gecko sopra citate + comportamento noto della famiglia Vidar/Lumma: furto di password, cookie e dati di autofill salvati nei browser Chromium/Firefox-based.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  <w:color w:val="ffffff"/>
                <w:sz w:val="16"/>
                <w:szCs w:val="16"/>
                <w:shd w:fill="0b3d5c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shd w:fill="0b3d5c" w:val="clear"/>
                <w:vertAlign w:val="baseline"/>
                <w:rtl w:val="0"/>
              </w:rPr>
              <w:t xml:space="preserve">Collection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Courier" w:cs="Courier" w:eastAsia="Courier" w:hAnsi="Courier"/>
                <w:b w:val="1"/>
                <w:bCs w:val="1"/>
                <w:color w:val="0b3d5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0b3d5c"/>
                <w:sz w:val="16"/>
                <w:szCs w:val="16"/>
                <w:vertAlign w:val="baseline"/>
                <w:rtl w:val="0"/>
              </w:rPr>
              <w:t xml:space="preserve">T1560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Archive Collected Data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File C:\ProgramData\FHJDBKJKFIEC\AFBKKF (256 Kb, tipo sqlite) e KKECFI (5 Mb, "Oversized") coerenti con raccolta/archiviazione locale dei dati rubati prima dell'invio ai C2.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  <w:color w:val="ffffff"/>
                <w:sz w:val="16"/>
                <w:szCs w:val="16"/>
                <w:shd w:fill="0b3d5c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shd w:fill="0b3d5c" w:val="clear"/>
                <w:vertAlign w:val="baseline"/>
                <w:rtl w:val="0"/>
              </w:rPr>
              <w:t xml:space="preserve">Exfiltration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Courier" w:cs="Courier" w:eastAsia="Courier" w:hAnsi="Courier"/>
                <w:b w:val="1"/>
                <w:bCs w:val="1"/>
                <w:color w:val="0b3d5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0b3d5c"/>
                <w:sz w:val="16"/>
                <w:szCs w:val="16"/>
                <w:vertAlign w:val="baseline"/>
                <w:rtl w:val="0"/>
              </w:rPr>
              <w:t xml:space="preserve">T1041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Exfiltration Over C2 Channel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 dati raccolti vengono presumibilmente inviati tramite lo stesso canale HTTPS usato per il C2 (Hetzner/Cloudflare) — coerente con l'allarme dedicato "Lumma Stealer TLS Connection".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  <w:color w:val="ffffff"/>
                <w:sz w:val="16"/>
                <w:szCs w:val="16"/>
                <w:shd w:fill="0b3d5c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shd w:fill="0b3d5c" w:val="clear"/>
                <w:vertAlign w:val="baseline"/>
                <w:rtl w:val="0"/>
              </w:rPr>
              <w:t xml:space="preserve">Defense Evasion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rFonts w:ascii="Courier" w:cs="Courier" w:eastAsia="Courier" w:hAnsi="Courier"/>
                <w:b w:val="1"/>
                <w:bCs w:val="1"/>
                <w:color w:val="0b3d5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0b3d5c"/>
                <w:sz w:val="16"/>
                <w:szCs w:val="16"/>
                <w:vertAlign w:val="baseline"/>
                <w:rtl w:val="0"/>
              </w:rPr>
              <w:t xml:space="preserve">T1070.004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Indicator Removal: File Deletion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Comando osservato: cmd.exe /c timeout /t 10 &amp; rd /s /q "C:\ProgramData\FHJDBKJKFIEC" &amp; exit — autocancellazione della cartella di staging al termine dell'esecuzione, per rimuovere le tracce forensi su disco.</w:t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3. Indicatori di Compromissione (IOC) — pronti per l'ingest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3.1 Hash</w:t>
      </w:r>
    </w:p>
    <w:tbl>
      <w:tblPr>
        <w:tblStyle w:val="Table3"/>
        <w:tblW w:w="9360.0" w:type="dxa"/>
        <w:jc w:val="left"/>
        <w:tblBorders>
          <w:top w:color="dde3e8" w:space="0" w:sz="6" w:val="single"/>
          <w:left w:color="dde3e8" w:space="0" w:sz="6" w:val="single"/>
          <w:bottom w:color="dde3e8" w:space="0" w:sz="6" w:val="single"/>
          <w:right w:color="dde3e8" w:space="0" w:sz="6" w:val="single"/>
          <w:insideH w:color="dde3e8" w:space="0" w:sz="6" w:val="single"/>
          <w:insideV w:color="dde3e8" w:space="0" w:sz="6" w:val="single"/>
        </w:tblBorders>
        <w:tblLayout w:type="fixed"/>
        <w:tblLook w:val="0600"/>
      </w:tblPr>
      <w:tblGrid>
        <w:gridCol w:w="1872"/>
        <w:gridCol w:w="3276"/>
        <w:gridCol w:w="4212"/>
        <w:tblGridChange w:id="0">
          <w:tblGrid>
            <w:gridCol w:w="1872"/>
            <w:gridCol w:w="3276"/>
            <w:gridCol w:w="4212"/>
          </w:tblGrid>
        </w:tblGridChange>
      </w:tblGrid>
      <w:tr>
        <w:trPr>
          <w:cantSplit w:val="0"/>
          <w:tblHeader w:val="1"/>
        </w:trPr>
        <w:tc>
          <w:tcPr>
            <w:shd w:fill="0b3d5c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shd w:fill="auto" w:val="clear"/>
                <w:rtl w:val="0"/>
              </w:rPr>
              <w:t xml:space="preserve">Tipo</w:t>
            </w:r>
          </w:p>
        </w:tc>
        <w:tc>
          <w:tcPr>
            <w:shd w:fill="0b3d5c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shd w:fill="auto" w:val="clear"/>
                <w:rtl w:val="0"/>
              </w:rPr>
              <w:t xml:space="preserve">Valore</w:t>
            </w:r>
          </w:p>
        </w:tc>
        <w:tc>
          <w:tcPr>
            <w:shd w:fill="0b3d5c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shd w:fill="auto" w:val="clear"/>
                <w:rtl w:val="0"/>
              </w:rPr>
              <w:t xml:space="preserve">Contesto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MD5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fedb687ed23f77925b35623027f799bb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Sample principale — Vidar Loader (66bddfcb52736_vidar.exe)</w:t>
            </w:r>
          </w:p>
        </w:tc>
      </w:tr>
    </w:tbl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10" w:lineRule="auto"/>
        <w:rPr/>
      </w:pPr>
      <w:r w:rsidDel="00000000" w:rsidR="00000000" w:rsidRPr="00000000">
        <w:rPr>
          <w:rtl w:val="0"/>
        </w:rPr>
        <w:t xml:space="preserve">3.2 Indirizzi IP</w:t>
      </w:r>
    </w:p>
    <w:tbl>
      <w:tblPr>
        <w:tblStyle w:val="Table4"/>
        <w:tblW w:w="9360.0" w:type="dxa"/>
        <w:jc w:val="left"/>
        <w:tblBorders>
          <w:top w:color="dde3e8" w:space="0" w:sz="6" w:val="single"/>
          <w:left w:color="dde3e8" w:space="0" w:sz="6" w:val="single"/>
          <w:bottom w:color="dde3e8" w:space="0" w:sz="6" w:val="single"/>
          <w:right w:color="dde3e8" w:space="0" w:sz="6" w:val="single"/>
          <w:insideH w:color="dde3e8" w:space="0" w:sz="6" w:val="single"/>
          <w:insideV w:color="dde3e8" w:space="0" w:sz="6" w:val="single"/>
        </w:tblBorders>
        <w:tblLayout w:type="fixed"/>
        <w:tblLook w:val="0600"/>
      </w:tblPr>
      <w:tblGrid>
        <w:gridCol w:w="2059.2"/>
        <w:gridCol w:w="1872"/>
        <w:gridCol w:w="1404"/>
        <w:gridCol w:w="4024.8"/>
        <w:tblGridChange w:id="0">
          <w:tblGrid>
            <w:gridCol w:w="2059.2"/>
            <w:gridCol w:w="1872"/>
            <w:gridCol w:w="1404"/>
            <w:gridCol w:w="4024.8"/>
          </w:tblGrid>
        </w:tblGridChange>
      </w:tblGrid>
      <w:tr>
        <w:trPr>
          <w:cantSplit w:val="0"/>
          <w:tblHeader w:val="1"/>
        </w:trPr>
        <w:tc>
          <w:tcPr>
            <w:shd w:fill="0b3d5c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shd w:fill="auto" w:val="clear"/>
                <w:rtl w:val="0"/>
              </w:rPr>
              <w:t xml:space="preserve">IP</w:t>
            </w:r>
          </w:p>
        </w:tc>
        <w:tc>
          <w:tcPr>
            <w:shd w:fill="0b3d5c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shd w:fill="auto" w:val="clear"/>
                <w:rtl w:val="0"/>
              </w:rPr>
              <w:t xml:space="preserve">ASN / Hosting</w:t>
            </w:r>
          </w:p>
        </w:tc>
        <w:tc>
          <w:tcPr>
            <w:shd w:fill="0b3d5c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shd w:fill="auto" w:val="clear"/>
                <w:rtl w:val="0"/>
              </w:rPr>
              <w:t xml:space="preserve">Porta</w:t>
            </w:r>
          </w:p>
        </w:tc>
        <w:tc>
          <w:tcPr>
            <w:shd w:fill="0b3d5c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shd w:fill="auto" w:val="clear"/>
                <w:rtl w:val="0"/>
              </w:rPr>
              <w:t xml:space="preserve">Ruolo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147.45.44.104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OOO FREEnet Group (RU)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80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Staging server — hosting payload aggiuntivi (lawrng.exe, vakerk.exe)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195.201.118.191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Hetzner Online GmbH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443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C2 primario — traffico persistente RegAsm.exe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172.67.215.62 / 104.21.16.180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Cloudflare (proxy)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443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C2 secondario — Lumma Stealer TLS (dietro CDN)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vertAlign w:val="baseline"/>
                <w:rtl w:val="0"/>
              </w:rPr>
              <w:t xml:space="preserve">arpdabl.zapto.org → 0.0.0.0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DynDNS (No-IP/Zapto)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Dominio C2 dinamico, risolto ma non responsivo al momento dell'analisi (sinkhole/down)</w:t>
            </w:r>
          </w:p>
        </w:tc>
      </w:tr>
    </w:tbl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10" w:lineRule="auto"/>
        <w:rPr/>
      </w:pPr>
      <w:r w:rsidDel="00000000" w:rsidR="00000000" w:rsidRPr="00000000">
        <w:rPr>
          <w:rtl w:val="0"/>
        </w:rPr>
        <w:t xml:space="preserve">3.3 Domini</w:t>
      </w:r>
    </w:p>
    <w:tbl>
      <w:tblPr>
        <w:tblStyle w:val="Table5"/>
        <w:tblW w:w="9360.0" w:type="dxa"/>
        <w:jc w:val="left"/>
        <w:tblBorders>
          <w:top w:color="dde3e8" w:space="0" w:sz="6" w:val="single"/>
          <w:left w:color="dde3e8" w:space="0" w:sz="6" w:val="single"/>
          <w:bottom w:color="dde3e8" w:space="0" w:sz="6" w:val="single"/>
          <w:right w:color="dde3e8" w:space="0" w:sz="6" w:val="single"/>
          <w:insideH w:color="dde3e8" w:space="0" w:sz="6" w:val="single"/>
          <w:insideV w:color="dde3e8" w:space="0" w:sz="6" w:val="single"/>
        </w:tblBorders>
        <w:tblLayout w:type="fixed"/>
        <w:tblLook w:val="0600"/>
      </w:tblPr>
      <w:tblGrid>
        <w:gridCol w:w="3276"/>
        <w:gridCol w:w="6084"/>
        <w:tblGridChange w:id="0">
          <w:tblGrid>
            <w:gridCol w:w="3276"/>
            <w:gridCol w:w="6084"/>
          </w:tblGrid>
        </w:tblGridChange>
      </w:tblGrid>
      <w:tr>
        <w:trPr>
          <w:cantSplit w:val="0"/>
          <w:tblHeader w:val="1"/>
        </w:trPr>
        <w:tc>
          <w:tcPr>
            <w:shd w:fill="0b3d5c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shd w:fill="auto" w:val="clear"/>
                <w:rtl w:val="0"/>
              </w:rPr>
              <w:t xml:space="preserve">Dominio</w:t>
            </w:r>
          </w:p>
        </w:tc>
        <w:tc>
          <w:tcPr>
            <w:shd w:fill="0b3d5c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shd w:fill="auto" w:val="clear"/>
                <w:rtl w:val="0"/>
              </w:rPr>
              <w:t xml:space="preserve">Ruolo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caffegclasiqwp.shop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Dominio C2 Lumma Stealer, fronted via Cloudflare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arpdabl.zapto.org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Dominio DynDNS di fallback</w:t>
            </w:r>
          </w:p>
        </w:tc>
      </w:tr>
    </w:tbl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10" w:lineRule="auto"/>
        <w:rPr/>
      </w:pPr>
      <w:r w:rsidDel="00000000" w:rsidR="00000000" w:rsidRPr="00000000">
        <w:rPr>
          <w:rtl w:val="0"/>
        </w:rPr>
        <w:t xml:space="preserve">3.4 URL di download payload</w:t>
      </w:r>
    </w:p>
    <w:tbl>
      <w:tblPr>
        <w:tblStyle w:val="Table6"/>
        <w:tblW w:w="9360.0" w:type="dxa"/>
        <w:jc w:val="left"/>
        <w:tblBorders>
          <w:top w:color="dde3e8" w:space="0" w:sz="6" w:val="single"/>
          <w:left w:color="dde3e8" w:space="0" w:sz="6" w:val="single"/>
          <w:bottom w:color="dde3e8" w:space="0" w:sz="6" w:val="single"/>
          <w:right w:color="dde3e8" w:space="0" w:sz="6" w:val="single"/>
          <w:insideH w:color="dde3e8" w:space="0" w:sz="6" w:val="single"/>
          <w:insideV w:color="dde3e8" w:space="0" w:sz="6" w:val="single"/>
        </w:tblBorders>
        <w:tblLayout w:type="fixed"/>
        <w:tblLook w:val="0600"/>
      </w:tblPr>
      <w:tblGrid>
        <w:gridCol w:w="6552"/>
        <w:gridCol w:w="2807.9999999999995"/>
        <w:tblGridChange w:id="0">
          <w:tblGrid>
            <w:gridCol w:w="6552"/>
            <w:gridCol w:w="2807.9999999999995"/>
          </w:tblGrid>
        </w:tblGridChange>
      </w:tblGrid>
      <w:tr>
        <w:trPr>
          <w:cantSplit w:val="0"/>
          <w:tblHeader w:val="1"/>
        </w:trPr>
        <w:tc>
          <w:tcPr>
            <w:shd w:fill="0b3d5c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shd w:fill="auto" w:val="clear"/>
                <w:rtl w:val="0"/>
              </w:rPr>
              <w:t xml:space="preserve">URL</w:t>
            </w:r>
          </w:p>
        </w:tc>
        <w:tc>
          <w:tcPr>
            <w:shd w:fill="0b3d5c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shd w:fill="auto" w:val="clear"/>
                <w:rtl w:val="0"/>
              </w:rPr>
              <w:t xml:space="preserve">Dimensione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hxxp://147.45.44.104/prog/66cb2df8bd684_lawrng.exe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321 Kb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hxxp://147.45.44.104/prog/66cb2df1d4a01_vakerk.exe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193 Kb</w:t>
            </w:r>
          </w:p>
        </w:tc>
      </w:tr>
    </w:tbl>
    <w:p w:rsidR="00000000" w:rsidDel="00000000" w:rsidP="00000000" w:rsidRDefault="00000000" w:rsidRPr="00000000" w14:paraId="000000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10" w:lineRule="auto"/>
        <w:rPr/>
      </w:pPr>
      <w:r w:rsidDel="00000000" w:rsidR="00000000" w:rsidRPr="00000000">
        <w:rPr>
          <w:rtl w:val="0"/>
        </w:rPr>
        <w:t xml:space="preserve">3.5 Path e artefatti su filesystem</w:t>
      </w:r>
    </w:p>
    <w:tbl>
      <w:tblPr>
        <w:tblStyle w:val="Table7"/>
        <w:tblW w:w="9360.0" w:type="dxa"/>
        <w:jc w:val="left"/>
        <w:tblBorders>
          <w:top w:color="dde3e8" w:space="0" w:sz="6" w:val="single"/>
          <w:left w:color="dde3e8" w:space="0" w:sz="6" w:val="single"/>
          <w:bottom w:color="dde3e8" w:space="0" w:sz="6" w:val="single"/>
          <w:right w:color="dde3e8" w:space="0" w:sz="6" w:val="single"/>
          <w:insideH w:color="dde3e8" w:space="0" w:sz="6" w:val="single"/>
          <w:insideV w:color="dde3e8" w:space="0" w:sz="6" w:val="single"/>
        </w:tblBorders>
        <w:tblLayout w:type="fixed"/>
        <w:tblLook w:val="0600"/>
      </w:tblPr>
      <w:tblGrid>
        <w:gridCol w:w="5616"/>
        <w:gridCol w:w="3744"/>
        <w:tblGridChange w:id="0">
          <w:tblGrid>
            <w:gridCol w:w="5616"/>
            <w:gridCol w:w="3744"/>
          </w:tblGrid>
        </w:tblGridChange>
      </w:tblGrid>
      <w:tr>
        <w:trPr>
          <w:cantSplit w:val="0"/>
          <w:tblHeader w:val="1"/>
        </w:trPr>
        <w:tc>
          <w:tcPr>
            <w:shd w:fill="0b3d5c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shd w:fill="auto" w:val="clear"/>
                <w:rtl w:val="0"/>
              </w:rPr>
              <w:t xml:space="preserve">Path</w:t>
            </w:r>
          </w:p>
        </w:tc>
        <w:tc>
          <w:tcPr>
            <w:shd w:fill="0b3d5c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shd w:fill="auto" w:val="clear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C:\ProgramData\FHJDBKJKFIEC\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Cartella di staging — nome a 12 caratteri casuali (pattern dinamico, non affidabile come IOC statico tra campioni diversi)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C:\ProgramData\HCAEHJJKFC.exe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Payload droppato #1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C:\ProgramData\CAFHDBGHJK.exe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Payload droppato #2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C:\Users\[user]\AppData\Local\Temp\delays.tmp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File di sleep/anti-sandbox — riscritto ciclicamente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C:\ProgramData\{freebl3,mozglue,msvcp140,softokn3,vcruntime140,nss3}.dll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Set di DLL NSS legittime, usato per decriptare i dati browser Gecko-based (side-loading)</w:t>
            </w:r>
          </w:p>
        </w:tc>
      </w:tr>
    </w:tbl>
    <w:p w:rsidR="00000000" w:rsidDel="00000000" w:rsidP="00000000" w:rsidRDefault="00000000" w:rsidRPr="00000000" w14:paraId="0000009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Regole di detection consigliate (pseudocodice / Sigma-like)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20" w:lineRule="auto"/>
        <w:ind w:left="150" w:right="150" w:firstLine="0"/>
        <w:rPr>
          <w:rFonts w:ascii="Courier" w:cs="Courier" w:eastAsia="Courier" w:hAnsi="Courier"/>
          <w:sz w:val="16"/>
          <w:szCs w:val="16"/>
          <w:shd w:fill="f5f5f5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ourier" w:cs="Courier" w:eastAsia="Courier" w:hAnsi="Courier"/>
          <w:sz w:val="16"/>
          <w:szCs w:val="16"/>
          <w:shd w:fill="f5f5f5" w:val="clear"/>
          <w:rtl w:val="0"/>
        </w:rPr>
        <w:t xml:space="preserve">title: Process Injection via RegAsm.exe with network activity logsource: category=process_creation, product=windows detection: selection_process: Image|endswith: '\RegAsm.exe' ParentImage|endswith: - '\explorer.exe' - '\cmd.exe' - '\*.exe' # loader non standard, non lanciato da Visual Studio/regasm legittimo selection_network: Image|endswith: '\RegAsm.exe' DestinationPort: [443, 80] condition: selection_process and selection_network level: high falsepositives: - Sviluppo .NET legittimo che registra assembly COM (raro in ambiente utente finale)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20" w:lineRule="auto"/>
        <w:ind w:left="150" w:right="150" w:firstLine="0"/>
        <w:rPr>
          <w:rFonts w:ascii="Courier" w:cs="Courier" w:eastAsia="Courier" w:hAnsi="Courier"/>
          <w:sz w:val="16"/>
          <w:szCs w:val="16"/>
          <w:shd w:fill="f5f5f5" w:val="clear"/>
        </w:rPr>
      </w:pPr>
      <w:r w:rsidDel="00000000" w:rsidR="00000000" w:rsidRPr="00000000">
        <w:rPr>
          <w:rFonts w:ascii="Courier" w:cs="Courier" w:eastAsia="Courier" w:hAnsi="Courier"/>
          <w:sz w:val="16"/>
          <w:szCs w:val="16"/>
          <w:shd w:fill="f5f5f5" w:val="clear"/>
          <w:rtl w:val="0"/>
        </w:rPr>
        <w:t xml:space="preserve">title: Suspicious ProgramData staging folder with random name logsource: category=file_event, product=windows detection: selection: TargetFilename|contains: '\ProgramData\' TargetFilename|re: '\\ProgramData\\[A-Z]{10,14}\\[A-Z]{6}$' condition: selection level: medium note: Pattern di naming casuale in maiuscolo tipico di builder Vidar/Lumma recenti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20" w:lineRule="auto"/>
        <w:ind w:left="150" w:right="150" w:firstLine="0"/>
        <w:rPr>
          <w:rFonts w:ascii="Courier" w:cs="Courier" w:eastAsia="Courier" w:hAnsi="Courier"/>
          <w:sz w:val="16"/>
          <w:szCs w:val="16"/>
          <w:shd w:fill="f5f5f5" w:val="clear"/>
        </w:rPr>
      </w:pPr>
      <w:r w:rsidDel="00000000" w:rsidR="00000000" w:rsidRPr="00000000">
        <w:rPr>
          <w:rFonts w:ascii="Courier" w:cs="Courier" w:eastAsia="Courier" w:hAnsi="Courier"/>
          <w:sz w:val="16"/>
          <w:szCs w:val="16"/>
          <w:shd w:fill="f5f5f5" w:val="clear"/>
          <w:rtl w:val="0"/>
        </w:rPr>
        <w:t xml:space="preserve">title: Executable download from bare IP address over HTTP logsource: category=network_connection, product=windows detection: selection: dest_port: 80 http.uri|endswith: '.exe' dest_ip|re: '^\d{1,3}\.\d{1,3}\.\d{1,3}\.\d{1,3}$' # host = IP letterale, non FQDN condition: selection level: high mitre: T1105</w:t>
      </w:r>
    </w:p>
    <w:p w:rsidR="00000000" w:rsidDel="00000000" w:rsidP="00000000" w:rsidRDefault="00000000" w:rsidRPr="00000000" w14:paraId="0000009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0" w:lineRule="auto"/>
        <w:rPr/>
      </w:pPr>
      <w:r w:rsidDel="00000000" w:rsidR="00000000" w:rsidRPr="00000000">
        <w:rPr>
          <w:rtl w:val="0"/>
        </w:rPr>
        <w:t xml:space="preserve">5. Priorità di implementazione per il team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dde3e8" w:space="0" w:sz="6" w:val="single"/>
          <w:left w:color="dde3e8" w:space="0" w:sz="6" w:val="single"/>
          <w:bottom w:color="dde3e8" w:space="0" w:sz="6" w:val="single"/>
          <w:right w:color="dde3e8" w:space="0" w:sz="6" w:val="single"/>
          <w:insideH w:color="dde3e8" w:space="0" w:sz="6" w:val="single"/>
          <w:insideV w:color="dde3e8" w:space="0" w:sz="6" w:val="single"/>
        </w:tblBorders>
        <w:tblLayout w:type="fixed"/>
        <w:tblLook w:val="0600"/>
      </w:tblPr>
      <w:tblGrid>
        <w:gridCol w:w="936"/>
        <w:gridCol w:w="3276"/>
        <w:gridCol w:w="5148"/>
        <w:tblGridChange w:id="0">
          <w:tblGrid>
            <w:gridCol w:w="936"/>
            <w:gridCol w:w="3276"/>
            <w:gridCol w:w="5148"/>
          </w:tblGrid>
        </w:tblGridChange>
      </w:tblGrid>
      <w:tr>
        <w:trPr>
          <w:cantSplit w:val="0"/>
          <w:tblHeader w:val="1"/>
        </w:trPr>
        <w:tc>
          <w:tcPr>
            <w:shd w:fill="0b3d5c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shd w:fill="auto" w:val="clear"/>
                <w:rtl w:val="0"/>
              </w:rPr>
              <w:t xml:space="preserve">Priorità</w:t>
            </w:r>
          </w:p>
        </w:tc>
        <w:tc>
          <w:tcPr>
            <w:shd w:fill="0b3d5c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shd w:fill="auto" w:val="clear"/>
                <w:rtl w:val="0"/>
              </w:rPr>
              <w:t xml:space="preserve">Azione</w:t>
            </w:r>
          </w:p>
        </w:tc>
        <w:tc>
          <w:tcPr>
            <w:shd w:fill="0b3d5c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shd w:fill="auto" w:val="clear"/>
                <w:rtl w:val="0"/>
              </w:rPr>
              <w:t xml:space="preserve">Effort stimato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🔴 Alta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Blacklist IOC (hash, IP, domini) su EDR/Firewall/Proxy — vedi sezione 3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Basso — import diretto liste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🔴 Alta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Regola di detection su iniezione/rete anomala da RegAsm.exe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Medio — richiede tuning per evitare falsi positivi su sviluppo .NET legittimo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🟠 Media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Regola su download .exe da IP letterale via HTTP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Basso — pattern generico riutilizzabile per altre famiglie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🟡 Bassa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Detection su naming casuale in ProgramData</w:t>
            </w:r>
          </w:p>
        </w:tc>
        <w:tc>
          <w:tcPr>
            <w:tcBorders>
              <w:top w:color="dde3e8" w:space="0" w:sz="6" w:val="single"/>
              <w:left w:color="dde3e8" w:space="0" w:sz="6" w:val="single"/>
              <w:bottom w:color="dde3e8" w:space="0" w:sz="6" w:val="single"/>
              <w:right w:color="dde3e8" w:space="0" w:sz="6" w:val="single"/>
            </w:tcBorders>
            <w:shd w:fill="auto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Medio — alto rumore, da usare come segnale di correlazione, non standalone</w:t>
            </w:r>
          </w:p>
        </w:tc>
      </w:tr>
    </w:tbl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Rule="auto"/>
        <w:rPr>
          <w:i w:val="1"/>
          <w:iCs w:val="1"/>
          <w:color w:val="888888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i w:val="1"/>
          <w:iCs w:val="1"/>
          <w:color w:val="888888"/>
          <w:sz w:val="16"/>
          <w:szCs w:val="16"/>
          <w:rtl w:val="0"/>
        </w:rPr>
        <w:t xml:space="preserve">Scheda tecnica a supporto del Report Incidente per il Management (documento separato). Fonte: analisi sandbox ANY.RUN del 25/08/2024. Da aggiornare con eventuali nuovi IOC in caso di ulteriori campioni della stessa campagna.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color w:val="1a1a1a"/>
        <w:sz w:val="18"/>
        <w:szCs w:val="18"/>
      </w:rPr>
    </w:rPrDefault>
    <w:pPrDefault>
      <w:pPr>
        <w:widowControl w:val="0"/>
        <w:spacing w:line="348.000011444091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240" w:lineRule="auto"/>
    </w:pPr>
    <w:rPr>
      <w:b w:val="1"/>
      <w:bCs w:val="1"/>
      <w:i w:val="0"/>
      <w:iCs w:val="0"/>
      <w:color w:val="0b3d5c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35" w:before="300" w:lineRule="auto"/>
    </w:pPr>
    <w:rPr>
      <w:b w:val="1"/>
      <w:bCs w:val="1"/>
      <w:i w:val="0"/>
      <w:iCs w:val="0"/>
      <w:color w:val="0b3d5c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before="180" w:lineRule="auto"/>
    </w:pPr>
    <w:rPr>
      <w:b w:val="1"/>
      <w:bCs w:val="1"/>
      <w:i w:val="0"/>
      <w:iCs w:val="0"/>
      <w:color w:val="333333"/>
      <w:sz w:val="20"/>
      <w:szCs w:val="20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