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FB5A" w14:textId="387F7FB5" w:rsidR="00DF7027" w:rsidRDefault="00DF7027">
      <m:oMathPara>
        <m:oMath>
          <m:r>
            <w:rPr>
              <w:rFonts w:ascii="Cambria Math" w:hAnsi="Cambria Math"/>
            </w:rPr>
            <m:t>WACC=((E/V)×Re)+((D/V)×Rd×(1-Tc))</m:t>
          </m:r>
        </m:oMath>
      </m:oMathPara>
    </w:p>
    <w:p w14:paraId="515243D8" w14:textId="77777777" w:rsidR="00DF7027" w:rsidRDefault="00DF7027"/>
    <w:p w14:paraId="2E309168" w14:textId="6A81298D" w:rsidR="00B93793" w:rsidRDefault="00DF7027">
      <w:r w:rsidRPr="00DF7027">
        <w:t>WACC = 18.69% means KPC must earn at least 18.69% per year on its capital to satisfy its investors, and any future cash flow is discounted heavily — which is why a high-WACC DCF will likely produce a value below the KES 9.00 IPO price.</w:t>
      </w:r>
    </w:p>
    <w:p w14:paraId="7823FDF4" w14:textId="77777777" w:rsidR="00DF7027" w:rsidRDefault="00DF7027"/>
    <w:p w14:paraId="563A39D8" w14:textId="1F4F832E" w:rsidR="00DF7027" w:rsidRDefault="00DF7027">
      <w:r w:rsidRPr="00DF7027">
        <w:rPr>
          <w:color w:val="FF0000"/>
        </w:rPr>
        <w:t>RED FLAG</w:t>
      </w:r>
      <w:r>
        <w:t xml:space="preserve">: </w:t>
      </w:r>
      <w:r w:rsidRPr="00DF7027">
        <w:t xml:space="preserve">Based on the FY2025 financials in the Information Memorandum, KPC earns a return on equity of about 7.6% and a return on invested capital of about 9.3%. Both are far below </w:t>
      </w:r>
      <w:r>
        <w:t>the</w:t>
      </w:r>
      <w:r w:rsidRPr="00DF7027">
        <w:t xml:space="preserve"> WACC of 18.69%. </w:t>
      </w:r>
    </w:p>
    <w:p w14:paraId="3F95D146" w14:textId="17D283E3" w:rsidR="00DF7027" w:rsidRDefault="00DF7027">
      <w:r w:rsidRPr="00DF7027">
        <w:t xml:space="preserve">A company creates value only when it earns more than </w:t>
      </w:r>
      <w:proofErr w:type="gramStart"/>
      <w:r w:rsidRPr="00DF7027">
        <w:t>its</w:t>
      </w:r>
      <w:proofErr w:type="gramEnd"/>
      <w:r w:rsidRPr="00DF7027">
        <w:t xml:space="preserve"> cost of capital. On FY2025 numbers, KPC did not.</w:t>
      </w:r>
      <w:r>
        <w:t xml:space="preserve"> </w:t>
      </w:r>
      <w:r w:rsidRPr="00DF7027">
        <w:t>It means the company was not covering its cost of capital</w:t>
      </w:r>
      <w:r>
        <w:t xml:space="preserve"> according to historical book value</w:t>
      </w:r>
      <w:r w:rsidRPr="00DF7027">
        <w:t>. The IPO price of KES 9.00 implied an earnings yield of only 4.58%</w:t>
      </w:r>
      <w:r>
        <w:t>, which was far</w:t>
      </w:r>
      <w:r w:rsidRPr="00DF7027">
        <w:t xml:space="preserve"> below even the Kenyan risk-free rate of 12.64%.</w:t>
      </w:r>
    </w:p>
    <w:p w14:paraId="4B9D45DD" w14:textId="0AF1251D" w:rsidR="00DF7027" w:rsidRDefault="00DF7027">
      <w:r>
        <w:rPr>
          <w:noProof/>
        </w:rPr>
        <w:drawing>
          <wp:inline distT="0" distB="0" distL="0" distR="0" wp14:anchorId="0FE98131" wp14:editId="7E19A9F0">
            <wp:extent cx="3154128" cy="22288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976" cy="224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B1BB" w14:textId="651F93DE" w:rsidR="00DF7027" w:rsidRDefault="00DF7027">
      <w:r>
        <w:rPr>
          <w:noProof/>
        </w:rPr>
        <w:drawing>
          <wp:inline distT="0" distB="0" distL="0" distR="0" wp14:anchorId="4B6636C2" wp14:editId="45080120">
            <wp:extent cx="3155950" cy="1271628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716" cy="12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8E2F" w14:textId="50818B22" w:rsidR="004F7533" w:rsidRDefault="000451F0">
      <w:r w:rsidRPr="000451F0">
        <w:t xml:space="preserve">The counterintuitive insight: At WACC = 18.69%, higher growth (g = 5%) gives a lower value (KES 1.52) than lower growth (g = 3%, KES 1.85). This is because ROIC (10%) &lt; WACC (18.69%). When a company earns less than </w:t>
      </w:r>
      <w:proofErr w:type="gramStart"/>
      <w:r w:rsidRPr="000451F0">
        <w:t>its</w:t>
      </w:r>
      <w:proofErr w:type="gramEnd"/>
      <w:r w:rsidRPr="000451F0">
        <w:t xml:space="preserve"> cost of capital, growth destroys value. Every shilling reinvested earns 10% but costs 18.69%.</w:t>
      </w:r>
    </w:p>
    <w:p w14:paraId="14C36BF3" w14:textId="2810FF87" w:rsidR="000451F0" w:rsidRDefault="000451F0"/>
    <w:p w14:paraId="31A95B38" w14:textId="491D4CCF" w:rsidR="000451F0" w:rsidRDefault="000451F0"/>
    <w:p w14:paraId="047480C2" w14:textId="77777777" w:rsidR="000451F0" w:rsidRDefault="000451F0">
      <w:r>
        <w:rPr>
          <w:noProof/>
        </w:rPr>
        <w:lastRenderedPageBreak/>
        <w:drawing>
          <wp:inline distT="0" distB="0" distL="0" distR="0" wp14:anchorId="3BF47322" wp14:editId="2BF1BC57">
            <wp:extent cx="3335786" cy="2152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432" cy="215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D309" w14:textId="73D3190A" w:rsidR="000451F0" w:rsidRDefault="000451F0">
      <w:r>
        <w:rPr>
          <w:noProof/>
        </w:rPr>
        <w:drawing>
          <wp:inline distT="0" distB="0" distL="0" distR="0" wp14:anchorId="6F44188E" wp14:editId="226EF6A6">
            <wp:extent cx="3556000" cy="1578397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345" cy="158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546B" w14:textId="047C4A27" w:rsidR="000451F0" w:rsidRDefault="000451F0">
      <w:r>
        <w:rPr>
          <w:noProof/>
        </w:rPr>
        <w:drawing>
          <wp:inline distT="0" distB="0" distL="0" distR="0" wp14:anchorId="55EE63D7" wp14:editId="55712238">
            <wp:extent cx="3124200" cy="1930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38" cy="19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6C12" w14:textId="1DFE8AA9" w:rsidR="000451F0" w:rsidRDefault="000451F0"/>
    <w:p w14:paraId="491A25B9" w14:textId="1B718E3F" w:rsidR="000451F0" w:rsidRDefault="000451F0">
      <w:r w:rsidRPr="000451F0">
        <w:t>DCF says KPC was worth roughly KES 1.70–2.20 per share at IPO, not KES 9.00 — and that conclusion holds across every reasonable set of assumptions.</w:t>
      </w:r>
    </w:p>
    <w:p w14:paraId="04187666" w14:textId="22412C33" w:rsidR="000451F0" w:rsidRDefault="000451F0">
      <w:pPr>
        <w:rPr>
          <w:u w:val="single"/>
        </w:rPr>
      </w:pPr>
      <w:r w:rsidRPr="000451F0">
        <w:rPr>
          <w:u w:val="single"/>
        </w:rPr>
        <w:t>DCF SUMMARY</w:t>
      </w:r>
    </w:p>
    <w:p w14:paraId="391402F8" w14:textId="77777777" w:rsidR="000451F0" w:rsidRDefault="000451F0">
      <w:r w:rsidRPr="000451F0">
        <w:t>A DCF using a WACC of 18.69% values KPC at KES 1.70 per share — 81% below the KES 9.00 IPO price. Sensitivity analysis across WACC, terminal growth, and terminal ROIC never produces a value above KES 3.65, and even the most generous scenario tested reaches only KES 2.22.</w:t>
      </w:r>
    </w:p>
    <w:p w14:paraId="3949745F" w14:textId="4B989EE1" w:rsidR="000451F0" w:rsidRPr="000451F0" w:rsidRDefault="000451F0">
      <w:r w:rsidRPr="000451F0">
        <w:t xml:space="preserve"> The gap is structural: KPC earns 9.3% on invested capital, well below its 18.69% cost of capital, so growth destroys value rather than creating it.</w:t>
      </w:r>
    </w:p>
    <w:sectPr w:rsidR="000451F0" w:rsidRPr="0004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7"/>
    <w:rsid w:val="000451F0"/>
    <w:rsid w:val="00484E3D"/>
    <w:rsid w:val="004F7533"/>
    <w:rsid w:val="005453BC"/>
    <w:rsid w:val="00B93793"/>
    <w:rsid w:val="00DF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7637"/>
  <w15:chartTrackingRefBased/>
  <w15:docId w15:val="{ECD73DB7-9735-46E9-8A39-C92E5309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70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4051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Kimani</dc:creator>
  <cp:keywords/>
  <dc:description/>
  <cp:lastModifiedBy>Kimani</cp:lastModifiedBy>
  <cp:revision>2</cp:revision>
  <dcterms:created xsi:type="dcterms:W3CDTF">2026-10-12T15:10:00Z</dcterms:created>
  <dcterms:modified xsi:type="dcterms:W3CDTF">2026-10-15T10:41:00Z</dcterms:modified>
</cp:coreProperties>
</file>