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SUMMARY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 data analysis project.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UCI ONLIINE DATASET (https://archive.ics.uci.edu/dataset/352/online+retail)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LINK: https://archive.ics.uci.edu/static/public/352/online+retail.zip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the driving revenue of the business by analyzing the sales data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to enhance analytical thinking skills beyond mere coding proficiency.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PREPARATION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required cleaning due to several issues,, including missing customer IDs, inconsistent country labels, and duplicate records. This includes the presence of returns, which are negative values.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returns we retained and analysed separately to ensure net revenue calculations. Country names were standardized and duplicate rows systematically removed.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FINDINGS: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UK accounts for a whopping 84% of total revenue, indicating a strong geographical concentration.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is highly concentrated among a small number of customers with top customers contributing a significant portion of total sales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of the highest revenue contributors such as postage related entries are non product items with can almost distort product level analysis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selling products also show the highest return volumes, suggesting the need to evaluate the return rates and not absolute returns.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INSIGHTS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heavily relies on the UK market, which creates a geographic risk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concentration among a small set of customers invites potential vulnerability in case they decide to churn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level analysis must exclude non_product entries in order to avoid misleading conclusions, return behavior should be evaluated relative to sales volume.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RECOMMENDATIONS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Geographical diversification is vital to expand into underperforming regions to reduce reliance on the UK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retaining high value customers as they contribute a large portion of the revenue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Investigation of the return rates on the high return products to gauge quality of expectation issues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reporting should be refined, Reporting non -product items such as postage fees indeed skews performance analysis.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