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565C0" w:val="clear"/>
        <w:spacing w:after="0" w:before="144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Stock Tracking Tool</w:t>
      </w:r>
    </w:p>
    <w:p>
      <w:pPr>
        <w:shd w:fill="1565C0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90CAF9"/>
          <w:sz w:val="26"/>
          <w:szCs w:val="26"/>
        </w:rPr>
        <w:t xml:space="preserve">Professional Probabilistic Stock Dashboard</w:t>
      </w:r>
    </w:p>
    <w:p>
      <w:pPr>
        <w:shd w:fill="1565C0" w:val="clear"/>
        <w:spacing w:after="1440" w:before="0"/>
        <w:jc w:val="center"/>
      </w:pPr>
      <w:r>
        <w:t xml:space="preserve"/>
      </w:r>
    </w:p>
    <w:p>
      <w:pPr>
        <w:pBdr>
          <w:bottom w:val="single" w:color="1565C0" w:sz="4"/>
        </w:pBdr>
        <w:shd w:fill="E3F0FF" w:val="clear"/>
        <w:spacing w:after="480" w:before="0"/>
        <w:jc w:val="center"/>
      </w:pPr>
      <w:r>
        <w:rPr>
          <w:rFonts w:ascii="Arial" w:cs="Arial" w:eastAsia="Arial" w:hAnsi="Arial"/>
          <w:i/>
          <w:iCs/>
          <w:color w:val="1565C0"/>
          <w:sz w:val="22"/>
          <w:szCs w:val="22"/>
        </w:rPr>
        <w:t xml:space="preserve">Bridging retail trading with institutional-grade quantitative analysis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  Project Vision</w:t>
      </w:r>
    </w:p>
    <w:p>
      <w:pPr>
        <w:spacing w:after="320" w:before="160"/>
      </w:pPr>
      <w:r>
        <w:rPr>
          <w:rFonts w:ascii="Arial" w:cs="Arial" w:eastAsia="Arial" w:hAnsi="Arial"/>
          <w:sz w:val="22"/>
          <w:szCs w:val="22"/>
        </w:rPr>
        <w:t xml:space="preserve">The Stock Tracking Tool is designed to bridge the gap between retail trading and institutional-grade quantitative analysis. It transforms raw market data into actionable high-probability trading signals using a multi-factor weighted scoring engine.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  Core Functionalities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Real-Time Data &amp;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NSE Market Connectivity: Seamless lookup for any ticker on the National Stock Exchange (NSE).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Intelligent Ticker Handling: Automatically handles Indian stock suffixes (e.g., .NS) for a smoother search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Historical Context: Fetches up to 1 year of daily resolution data to provide a robust statistical sample for indicators.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Multi-Panel Synchronized Dashboard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Price Action Panel: High-performance candlesticks overlaid with: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 20: Short-term trend baseline.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VWAP: Institutional “fair value” anchor.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Ichimoku Cloud: Advanced support/resistance and trend forecasting.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Volume Profile Panel: Visualizes buy/sell pressure with color-coded volume histograms.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Momentum &amp; Timing Panel: A unified oscillator view featuring: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RSI (14): Relative strength and overbought/oversold conditions.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Stochastic (14, 3): Speed and momentum of price movements.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ADX (14): Trend strength index.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MACD Histograms: Dual-axis view for precise entry/exit timing.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Probabilistic Scoring Engine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The app calculates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Net Confidence Score (−100 to +100)</w:t>
      </w:r>
      <w:r>
        <w:rPr>
          <w:rFonts w:ascii="Arial" w:cs="Arial" w:eastAsia="Arial" w:hAnsi="Arial"/>
          <w:sz w:val="22"/>
          <w:szCs w:val="22"/>
        </w:rPr>
        <w:t xml:space="preserve"> based on four primary quantitative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rPr>
          <w:tblHeader/>
        </w:trP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6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Trend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35 pts</w:t>
            </w:r>
          </w:p>
        </w:tc>
        <w:tc>
          <w:tcPr>
            <w:tcW w:type="dxa" w:w="66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if the path of least resistance is up or down using SMA, ADX, and Ichimoku.</w:t>
            </w:r>
          </w:p>
        </w:tc>
      </w:tr>
      <w:t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Momentum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25 pts</w:t>
            </w:r>
          </w:p>
        </w:tc>
        <w:tc>
          <w:tcPr>
            <w:tcW w:type="dxa" w:w="66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if price moves are accelerating or exhausting via RSI and Stochastic.</w:t>
            </w:r>
          </w:p>
        </w:tc>
      </w:tr>
      <w:t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Timing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20 pts</w:t>
            </w:r>
          </w:p>
        </w:tc>
        <w:tc>
          <w:tcPr>
            <w:tcW w:type="dxa" w:w="66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Pinpoints specific entry windows using MACD and VWAP.</w:t>
            </w:r>
          </w:p>
        </w:tc>
      </w:tr>
      <w:t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20 pts</w:t>
            </w:r>
          </w:p>
        </w:tc>
        <w:tc>
          <w:tcPr>
            <w:tcW w:type="dxa" w:w="66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Cross-references volume and volatility (Bollinger Bands) to filter out fake-outs.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Algorithmic Transparency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Avoids “Black Box” signals by providing a detailed Logic Breakdown.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Buy or Sell signal includes the specific mathematical reasons from each category (e.g., +10: Price is securely above the Ichimoku Cloud).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 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React (Vite)</w:t>
            </w:r>
          </w:p>
        </w:tc>
        <w:tc>
          <w:tcPr>
            <w:tcW w:type="dxa" w:w="4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modular, and reactive UI updates.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Material UI (MUI)</w:t>
            </w:r>
          </w:p>
        </w:tc>
        <w:tc>
          <w:tcPr>
            <w:tcW w:type="dxa" w:w="4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Professional, consistent design system with pre-built components.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Charting</w:t>
            </w:r>
          </w:p>
        </w:tc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TradingView Lightweight Charts</w:t>
            </w:r>
          </w:p>
        </w:tc>
        <w:tc>
          <w:tcPr>
            <w:tcW w:type="dxa" w:w="4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 for fast, interactive financial charts.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Flask (Python)</w:t>
            </w:r>
          </w:p>
        </w:tc>
        <w:tc>
          <w:tcPr>
            <w:tcW w:type="dxa" w:w="4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API for handling heavy data processing.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yfinance</w:t>
            </w:r>
          </w:p>
        </w:tc>
        <w:tc>
          <w:tcPr>
            <w:tcW w:type="dxa" w:w="4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access to global and Indian market data.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Indicator Logic</w:t>
            </w:r>
          </w:p>
        </w:tc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 (Technical Analysis Library)</w:t>
            </w:r>
          </w:p>
        </w:tc>
        <w:tc>
          <w:tcPr>
            <w:tcW w:type="dxa" w:w="4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Vectorized calculations for institutional-grade reliability.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  Proposed Roadmap (Future Scope)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2: Backtesting: </w:t>
      </w:r>
      <w:r>
        <w:rPr>
          <w:rFonts w:ascii="Arial" w:cs="Arial" w:eastAsia="Arial" w:hAnsi="Arial"/>
          <w:sz w:val="22"/>
          <w:szCs w:val="22"/>
        </w:rPr>
        <w:t xml:space="preserve">Allow users to see how often the scoring engine’s signals have been correct in the past 6 months.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3: Custom Weighting: </w:t>
      </w:r>
      <w:r>
        <w:rPr>
          <w:rFonts w:ascii="Arial" w:cs="Arial" w:eastAsia="Arial" w:hAnsi="Arial"/>
          <w:sz w:val="22"/>
          <w:szCs w:val="22"/>
        </w:rPr>
        <w:t xml:space="preserve">Enable power users to adjust the importance of RSI vs. MACD in the final score.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4: Multi-Timeframe Analysis: </w:t>
      </w:r>
      <w:r>
        <w:rPr>
          <w:rFonts w:ascii="Arial" w:cs="Arial" w:eastAsia="Arial" w:hAnsi="Arial"/>
          <w:sz w:val="22"/>
          <w:szCs w:val="22"/>
        </w:rPr>
        <w:t xml:space="preserve">Fetch and compare daily vs. weekly signals for stronger confirmation.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5: Sentiment AI: </w:t>
      </w:r>
      <w:r>
        <w:rPr>
          <w:rFonts w:ascii="Arial" w:cs="Arial" w:eastAsia="Arial" w:hAnsi="Arial"/>
          <w:sz w:val="22"/>
          <w:szCs w:val="22"/>
        </w:rPr>
        <w:t xml:space="preserve">Integrate a Transformer model to analyze financial news headlines and adjust the confidence score based on news sentiment.</w:t>
      </w:r>
    </w:p>
    <w:p>
      <w:pPr>
        <w:spacing w:after="0" w:before="480"/>
      </w:pPr>
      <w:r>
        <w:t xml:space="preserve"/>
      </w:r>
    </w:p>
    <w:p>
      <w:pPr>
        <w:pBdr>
          <w:top w:val="single" w:color="1565C0" w:sz="4"/>
          <w:bottom w:val="single" w:color="1565C0" w:sz="4"/>
          <w:left w:val="single" w:color="1565C0" w:sz="4"/>
          <w:right w:val="single" w:color="1565C0" w:sz="4"/>
        </w:pBdr>
        <w:shd w:fill="E3F0FF" w:val="clear"/>
        <w:spacing w:after="160" w:before="160"/>
        <w:ind w:left="240" w:right="24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📌  Note: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This project currently focuses on the National Stock Exchange (NSE) but the architecture is scalable to international markets (NYSE, NASDAQ) with minimal configuration changes.</w:t>
      </w:r>
    </w:p>
    <w:sectPr>
      <w:headerReference w:type="default" r:id="rId7"/>
      <w:footerReference w:type="default" r:id="rId8"/>
      <w:pgSz w:w="12240" w:h="15840" w:orient="portrait"/>
      <w:pgMar w:top="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6"/>
      </w:pBdr>
      <w:tabs>
        <w:tab w:val="right" w:pos="9360"/>
      </w:tabs>
      <w:spacing w:before="120"/>
    </w:pPr>
    <w:r>
      <w:rPr>
        <w:rFonts w:ascii="Arial" w:cs="Arial" w:eastAsia="Arial" w:hAnsi="Arial"/>
        <w:color w:val="546E7A"/>
        <w:sz w:val="18"/>
        <w:szCs w:val="18"/>
      </w:rPr>
      <w:t xml:space="preserve">Stock Tracking Tool</w:t>
    </w:r>
    <w:r>
      <w:rPr>
        <w:rFonts w:ascii="Arial" w:cs="Arial" w:eastAsia="Arial" w:hAnsi="Arial"/>
        <w:color w:val="BDBDBD"/>
        <w:sz w:val="18"/>
        <w:szCs w:val="18"/>
      </w:rPr>
      <w:t xml:space="preserve">    |    Confidential</w:t>
    </w:r>
    <w:r>
      <w:rPr>
        <w:rFonts w:ascii="Arial" w:cs="Arial" w:eastAsia="Arial" w:hAnsi="Arial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46E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2026-04-09T05:09:43.679Z</dcterms:created>
  <dcterms:modified xsi:type="dcterms:W3CDTF">2026-04-09T05:09:43.682Z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