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TONY SYME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Stirling / Glasgow, Scotland  |  07886 759197  |  tonysyme.ts2@gmail.com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  Portfolio: Available on request  |  Work Authorisation: United Kingdom (Citizen)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f2937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Commercially minded, creative B2B Marketing Manager with over 5 years of experience leading multi-brand digital strategies, technical web deployments, and visual asset production. Proven track record of driving commercial growth in fast-paced distribution and live events sectors, including co-founding ventures that scaled turnover from £76K to £265K through targeted cross-channel campaigns. Expert in aligning digital infrastructure with physical print, media, and trade event operations. Adept at handling end-to-end campaign execution, website administration, and high-impact graphic design while maintaining complete brand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1f2937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B2B Campaign Strategy &amp; Execution: Trade customer acquisition, multi-channel promotional campaigns, automated email marketing, lead generation, commercial performance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Digital Design &amp; Print Media: High-quality digital artwork, B2B brochures, product catalogues, promotional literature, promotional graphics, brand identity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Website Administration &amp; SEO: Multi-site WordPress/WooCommerce deployment, third-party API integration, technical SEO framework audits, landing page optimisation.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 &amp; Event Coordination: Supplier/contractor liaison, showroom display and trade event logistics, cross-functional team leadership, budget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bottom w:color="1f2937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Marketing Lead</w:t>
      </w: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  |  AMAC Events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November 2024 –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Structured and spearheaded the marketing infrastructure for a fast-paced enterprise, securing £</w:t>
      </w:r>
      <w:r w:rsidDel="00000000" w:rsidR="00000000" w:rsidRPr="00000000">
        <w:rPr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00,000 turnover in its first year of trading.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promotional materials, campaign visuals, and high-quality digital assets for print and online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optimised high-performance ticket landing pages and web conversion journeys, supporting consistent platform uptime.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directly with corporate venues, suppliers, and external partners to deliver successful promotional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Creative Lead</w:t>
      </w: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  |  The Attic Club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2023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Handled full ownership of creative direction, promotional campaigns, and brand identity, scaling annual business turnover from £76,000 to £265,000.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multi-channel B2B communication, supplier documentation, invoice processing, and professional partner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Produced on-site visual content, graphics, and technical ticketing workflows to sustain long-term trade and customer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Recruited, onboarded, and managed permanent and temporary staff teams to ensure operational standards were maintained across live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Founder &amp; B2B Digital Consultant</w:t>
      </w: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  |  That Digital Guy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May 2023 –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custom web solutions, e-commerce architectures, and digital marketing funnels for diverse independent retailers and corporate clients, generating £80,000 in first-year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SEO frameworks and ran dedicated social campaigns (Meta Ads Manager) to increase client organic visibility and generate high-value trade inquiries.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Maintained centralised CRM systems and organised high-volume communications to safeguard data accuracy and project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Temporary Administrator – Project Support</w:t>
      </w: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  |  Blue Arrow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large-scale data migration and system synchronisation during a high-volume national transition project, ensuring record consistency within Salesforce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cross-functional corporate teams to support the rollout of structured administrative and data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Trainer &amp; Web Delivery Specialist</w:t>
      </w: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  |  Tablet Academy Scotland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October 2021 –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and delivered 88+ technical workshops and digital deployment programmes across Scotland on behalf of enterprise leaders, including Google and Microsoft.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Translated complex technical documentation into actionable toolkits for corporate stakeholders, guiding diverse user groups through onboarding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programme logistics, schedules, and cross-site communications to guarantee flawless large-scale execution under tight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Digital Marketer &amp; Admin Assistant</w:t>
      </w:r>
      <w:r w:rsidDel="00000000" w:rsidR="00000000" w:rsidRPr="00000000">
        <w:rPr>
          <w:b w:val="1"/>
          <w:bCs w:val="1"/>
          <w:color w:val="1f2937"/>
          <w:sz w:val="22"/>
          <w:szCs w:val="22"/>
          <w:rtl w:val="0"/>
        </w:rPr>
        <w:t xml:space="preserve">  |  Stewart Accounting Services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March 2020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Owned and managed the digital footprint for a chartered accounting firm, enhancing online B2B presence via targeted marketing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Audited and updated digital content, optimised landing pages, and integrated internal administration systems to streamline client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bottom w:color="1f2937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Volunteering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Saltire Volunteer Awards: Dedicated community volunteer with 500+ Saltire hours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Interests: Digital photography, advanced creative design tools, and exploring emerging AI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1f2937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Technical Systems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 &amp; Creative: Adobe InDesign, Adobe Photoshop, Canva, creative asset production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 &amp; Email Platforms: WordPress, WooCommerce, Wix, Mailchimp, landing page builders.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CRM &amp; Payments: Salesforce CRM, Square POS, Stripe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Productivity: Microsoft Office (Excel, Word, PowerPoint), Google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bottom w:color="1f2937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2937"/>
          <w:sz w:val="24"/>
          <w:szCs w:val="24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Modern Apprenticeship in Digital Marketing (SCQF Level 6 / SVQ Level 3) — Business Skills Sector | Approved April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Accredited Diploma in Internet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Facebook Ad Accelerator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LinkedIn Marketing Masterclass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Entrepreneurs Marketing System Certification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