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Zyan-Feld"/>
        <w:rPr>
          <w:rFonts w:ascii="Times" w:hAnsi="Times" w:cs="Times"/>
        </w:rPr>
      </w:pPr>
      <w:r>
        <w:rPr>
          <w:vanish w:val="0"/>
          <w:color w:val="000000"/>
        </w:rPr>
        <w:fldChar w:fldCharType="begin"/>
      </w:r>
      <w:r>
        <w:rPr>
          <w:vanish w:val="0"/>
          <w:color w:val="000000"/>
        </w:rPr>
        <w:instrText xml:space="preserve"> SET SR_Nummer "946.231.18" \* MERGEFORMAT </w:instrText>
      </w:r>
      <w:r>
        <w:rPr>
          <w:vanish w:val="0"/>
          <w:color w:val="000000"/>
        </w:rPr>
        <w:fldChar w:fldCharType="separate"/>
      </w:r>
      <w:bookmarkStart w:id="0" w:name="SR_Nummer"/>
      <w:r>
        <w:rPr>
          <w:noProof/>
          <w:vanish w:val="0"/>
          <w:color w:val="000000"/>
        </w:rPr>
        <w:t>946.231.18</w:t>
      </w:r>
      <w:bookmarkEnd w:id="0"/>
      <w:r>
        <w:rPr>
          <w:vanish w:val="0"/>
          <w:color w:val="000000"/>
        </w:rPr>
        <w:fldChar w:fldCharType="end"/>
      </w:r>
      <w:r>
        <w:rPr>
          <w:vanish w:val="0"/>
          <w:color w:val="000000"/>
        </w:rPr>
        <w:fldChar w:fldCharType="begin"/>
      </w:r>
      <w:r>
        <w:rPr>
          <w:vanish w:val="0"/>
          <w:color w:val="000000"/>
        </w:rPr>
        <w:instrText xml:space="preserve"> SET Standd " (Stand am 1. Januar 2022)" </w:instrText>
      </w:r>
      <w:r>
        <w:rPr>
          <w:vanish w:val="0"/>
          <w:color w:val="000000"/>
        </w:rPr>
        <w:fldChar w:fldCharType="separate"/>
      </w:r>
      <w:bookmarkStart w:id="1" w:name="Standd"/>
      <w:r>
        <w:rPr>
          <w:noProof/>
          <w:vanish w:val="0"/>
          <w:color w:val="000000"/>
        </w:rPr>
        <w:t xml:space="preserve"> (Stand am 1. Januar 2022)</w:t>
      </w:r>
      <w:bookmarkEnd w:id="1"/>
      <w:r>
        <w:rPr>
          <w:vanish w:val="0"/>
          <w:color w:val="000000"/>
        </w:rPr>
        <w:fldChar w:fldCharType="end"/>
      </w:r>
    </w:p>
    <w:p>
      <w:pPr>
        <w:pStyle w:val="Zyan-Feld"/>
      </w:pPr>
      <w:r>
        <w:t>Nicht löschen bitte "</w:t>
      </w:r>
      <w:r>
        <w:rPr>
          <w:rStyle w:val="Funotenzeichen"/>
          <w:noProof w:val="0"/>
        </w:rPr>
        <w:footnoteReference w:customMarkFollows="1" w:id="1"/>
        <w:t> </w:t>
      </w:r>
      <w:r>
        <w:t>" !!</w:t>
      </w:r>
    </w:p>
    <w:p>
      <w:pPr>
        <w:pStyle w:val="Zyan-Feld"/>
      </w:pPr>
      <w:r>
        <w:t>Generated by SR-Vorl.Dot, Dienstag, 17. Juli 2001, 17:54:17, mlbk / KAV</w:t>
      </w:r>
    </w:p>
    <w:p>
      <w:pPr>
        <w:pStyle w:val="SRNummer"/>
        <w:framePr w:wrap="around"/>
      </w:pPr>
      <w:r>
        <w:fldChar w:fldCharType="begin"/>
      </w:r>
      <w:r>
        <w:instrText xml:space="preserve">REF SR_Nummer \h \* MERGEFORMAT </w:instrText>
      </w:r>
      <w:r>
        <w:fldChar w:fldCharType="separate"/>
      </w:r>
      <w:r>
        <w:t>946.231.18</w:t>
      </w:r>
      <w:r>
        <w:fldChar w:fldCharType="end"/>
      </w:r>
      <w:r>
        <w:t xml:space="preserve"> </w:t>
      </w:r>
    </w:p>
    <w:p>
      <w:pPr>
        <w:pStyle w:val="Zyan-Feld"/>
      </w:pPr>
      <w:r>
        <w:t>Generated by SR-Vorl.ASVorlDot, 14. Mai 2004, Schweizerische Bundeskanzlei / Kompetenzzentrum Amtliche Veröffentlichungen (KAV)</w:t>
      </w:r>
    </w:p>
    <w:p>
      <w:pPr>
        <w:pStyle w:val="ErlassTitel"/>
      </w:pPr>
      <w:r>
        <w:t>Verordnung</w:t>
      </w:r>
      <w:r>
        <w:br/>
        <w:t>über Massnahmen gegenüber Sudan</w:t>
      </w:r>
    </w:p>
    <w:p>
      <w:pPr>
        <w:pStyle w:val="Abstand18pt"/>
      </w:pPr>
    </w:p>
    <w:p>
      <w:pPr>
        <w:pStyle w:val="ErlassDatum"/>
      </w:pPr>
      <w:r>
        <w:t>vom 25. Mai 2005</w:t>
      </w:r>
      <w:r>
        <w:fldChar w:fldCharType="begin"/>
      </w:r>
      <w:r>
        <w:instrText xml:space="preserve"> REF Standd \h  \* MERGEFORMAT </w:instrText>
      </w:r>
      <w:r>
        <w:fldChar w:fldCharType="separate"/>
      </w:r>
      <w:r>
        <w:rPr>
          <w:color w:val="000000"/>
        </w:rPr>
        <w:t xml:space="preserve"> (Stand am 1. Januar 2022)</w:t>
      </w:r>
      <w:r>
        <w:fldChar w:fldCharType="end"/>
      </w:r>
    </w:p>
    <w:p>
      <w:pPr>
        <w:pStyle w:val="ErlassLinie"/>
      </w:pPr>
    </w:p>
    <w:p>
      <w:pPr>
        <w:pStyle w:val="Autor"/>
        <w:jc w:val="both"/>
      </w:pPr>
      <w:r>
        <w:t>Der Schweizerische Bundesrat,</w:t>
      </w:r>
    </w:p>
    <w:p>
      <w:pPr>
        <w:pStyle w:val="Ingress"/>
      </w:pPr>
      <w:r>
        <w:t>gestützt auf Artikel 2 des Embargogesetzes vom 22. März 2002</w:t>
      </w:r>
      <w:r>
        <w:rPr>
          <w:rStyle w:val="Funotenzeichen"/>
          <w:noProof w:val="0"/>
        </w:rPr>
        <w:footnoteReference w:id="2"/>
      </w:r>
      <w:r>
        <w:t xml:space="preserve"> (EmbG), </w:t>
      </w:r>
      <w:r>
        <w:br/>
        <w:t>in Ausführung der Resolutionen 1556 (2004) und 1591 (2005)</w:t>
      </w:r>
      <w:r>
        <w:rPr>
          <w:rStyle w:val="Funotenzeichen"/>
          <w:noProof w:val="0"/>
        </w:rPr>
        <w:footnoteReference w:id="3"/>
      </w:r>
      <w:r>
        <w:t xml:space="preserve"> des Sicherheitsrates der Vereinten Nationen,</w:t>
      </w:r>
    </w:p>
    <w:p>
      <w:pPr>
        <w:pStyle w:val="Verb"/>
      </w:pPr>
      <w:r>
        <w:t>verordnet:</w:t>
      </w:r>
    </w:p>
    <w:p>
      <w:pPr>
        <w:pStyle w:val="berschrift1"/>
      </w:pPr>
      <w:r>
        <w:t>1. Abschnitt: Zwangsmassnahmen</w:t>
      </w:r>
    </w:p>
    <w:p>
      <w:pPr>
        <w:pStyle w:val="berschrift9"/>
      </w:pPr>
      <w:r>
        <w:rPr>
          <w:b/>
        </w:rPr>
        <w:t>Art. 1</w:t>
      </w:r>
      <w:r>
        <w:tab/>
        <w:t>Verbot der Lieferung von Rüstungsgütern und verwandtem Material</w:t>
      </w:r>
    </w:p>
    <w:p>
      <w:pPr>
        <w:pStyle w:val="Absatz"/>
      </w:pPr>
      <w:r>
        <w:rPr>
          <w:position w:val="4"/>
          <w:sz w:val="13"/>
          <w:szCs w:val="13"/>
        </w:rPr>
        <w:t>1</w:t>
      </w:r>
      <w:r>
        <w:rPr>
          <w:szCs w:val="13"/>
        </w:rPr>
        <w:t> </w:t>
      </w:r>
      <w:r>
        <w:t>Die Lieferung, der Verkauf, die Durchfuhr und die Vermittlung von Rüstungs</w:t>
      </w:r>
      <w:r>
        <w:softHyphen/>
        <w:t xml:space="preserve">gütern jeder Art, einschliesslich Waffen und Munition, Militärfahrzeuge und </w:t>
      </w:r>
      <w:r>
        <w:noBreakHyphen/>
        <w:t>ausrüstung, paramilitärische Ausrüstung sowie Zubehör und Ersatzteile dafür, nach Sudan sind verboten.</w:t>
      </w:r>
    </w:p>
    <w:p>
      <w:pPr>
        <w:pStyle w:val="Absatz"/>
      </w:pPr>
      <w:r>
        <w:rPr>
          <w:position w:val="4"/>
          <w:sz w:val="13"/>
        </w:rPr>
        <w:t>2</w:t>
      </w:r>
      <w:r>
        <w:t> Die Gewährung, der Verkauf und die Vermittlung von technischer Beratung, Ausbildung oder Unterstützung an Sudan im Zusammenhang mit der Lieferung, der Herstellung, dem Unterhalt oder der Verwendung von Rüstungsgütern nach Absatz 1 sind verboten.</w:t>
      </w:r>
    </w:p>
    <w:p>
      <w:pPr>
        <w:pStyle w:val="Absatz"/>
      </w:pPr>
      <w:r>
        <w:rPr>
          <w:position w:val="4"/>
          <w:sz w:val="13"/>
          <w:szCs w:val="13"/>
        </w:rPr>
        <w:t>3</w:t>
      </w:r>
      <w:r>
        <w:rPr>
          <w:szCs w:val="13"/>
        </w:rPr>
        <w:t> D</w:t>
      </w:r>
      <w:r>
        <w:t>as Staatssekretariat für Wirtschaft (SECO) kann nach Rücksprache mit den zuständigen Stellen des Eidgenössischen Departements für auswärtige Angelegenheiten (EDA) Ausnahmen von den Verboten der Absätze 1 und 2 bewilligen:</w:t>
      </w:r>
    </w:p>
    <w:p>
      <w:pPr>
        <w:pStyle w:val="Struktur1"/>
      </w:pPr>
      <w:r>
        <w:t>a.</w:t>
      </w:r>
      <w:r>
        <w:tab/>
        <w:t>zur ausschliesslichen Verwendung durch die Mission der Vereinten Nationen in Sudan (UNMIS);</w:t>
      </w:r>
    </w:p>
    <w:p>
      <w:pPr>
        <w:pStyle w:val="Struktur1"/>
      </w:pPr>
      <w:r>
        <w:t>b.</w:t>
      </w:r>
      <w:r>
        <w:tab/>
        <w:t>zur ausschliesslichen Verwendung durch regionale Organisationen in Ein</w:t>
      </w:r>
      <w:r>
        <w:softHyphen/>
        <w:t>sätzen, die der Überwachung, Überprüfung oder Friedensförderung dienen;</w:t>
      </w:r>
    </w:p>
    <w:p>
      <w:pPr>
        <w:pStyle w:val="Struktur1"/>
        <w:rPr>
          <w:iCs/>
        </w:rPr>
      </w:pPr>
      <w:r>
        <w:t>c.</w:t>
      </w:r>
      <w:r>
        <w:tab/>
        <w:t>für die Lieferung nichtletalen militärischen Geräts, das ausschliesslich für humanitäre oder Schutzzwecke bestimmt ist</w:t>
      </w:r>
      <w:r>
        <w:rPr>
          <w:iCs/>
        </w:rPr>
        <w:t>;</w:t>
      </w:r>
    </w:p>
    <w:p>
      <w:pPr>
        <w:pStyle w:val="Struktur1"/>
        <w:rPr>
          <w:iCs/>
        </w:rPr>
      </w:pPr>
      <w:r>
        <w:t>d.</w:t>
      </w:r>
      <w:r>
        <w:rPr>
          <w:i/>
        </w:rPr>
        <w:tab/>
      </w:r>
      <w:r>
        <w:t>für die Lieferung von Schutzkleidung (z.B. kugelsichere Westen) zur persönlichen Verwendung durch Personal der Vereinten Nationen, Medien</w:t>
      </w:r>
      <w:r>
        <w:softHyphen/>
        <w:t>vertreter und humanitäres Personal</w:t>
      </w:r>
      <w:r>
        <w:rPr>
          <w:iCs/>
        </w:rPr>
        <w:t>;</w:t>
      </w:r>
    </w:p>
    <w:p>
      <w:pPr>
        <w:pStyle w:val="Struktur1"/>
        <w:rPr>
          <w:iCs/>
        </w:rPr>
      </w:pPr>
      <w:r>
        <w:rPr>
          <w:iCs/>
        </w:rPr>
        <w:t>e.</w:t>
      </w:r>
      <w:r>
        <w:rPr>
          <w:iCs/>
        </w:rPr>
        <w:tab/>
        <w:t>zur Unterstützung des umfassenden Friedensabkommens von Nairobi vom 9. Januar 2005.</w:t>
      </w:r>
    </w:p>
    <w:p>
      <w:pPr>
        <w:pStyle w:val="Abstand4pt"/>
      </w:pPr>
    </w:p>
    <w:p>
      <w:pPr>
        <w:pStyle w:val="Absatz"/>
      </w:pPr>
      <w:r>
        <w:rPr>
          <w:position w:val="4"/>
          <w:sz w:val="13"/>
          <w:szCs w:val="13"/>
        </w:rPr>
        <w:lastRenderedPageBreak/>
        <w:t>4</w:t>
      </w:r>
      <w:r>
        <w:rPr>
          <w:szCs w:val="13"/>
        </w:rPr>
        <w:t xml:space="preserve"> Vorbehalten bleiben die Bestimmungen des </w:t>
      </w:r>
      <w:r>
        <w:t>Güterkontrollgesetzes vom 13. Dezember 1996</w:t>
      </w:r>
      <w:r>
        <w:rPr>
          <w:rStyle w:val="Funotenzeichen"/>
          <w:noProof w:val="0"/>
        </w:rPr>
        <w:footnoteReference w:id="4"/>
      </w:r>
      <w:r>
        <w:rPr>
          <w:szCs w:val="13"/>
        </w:rPr>
        <w:t xml:space="preserve"> und</w:t>
      </w:r>
      <w:r>
        <w:t xml:space="preserve"> des Kriegsmaterialgesetzes vom 13. Dezember 1996</w:t>
      </w:r>
      <w:r>
        <w:rPr>
          <w:rStyle w:val="Funotenzeichen"/>
          <w:noProof w:val="0"/>
        </w:rPr>
        <w:footnoteReference w:id="5"/>
      </w:r>
      <w:r>
        <w:t>.</w:t>
      </w:r>
    </w:p>
    <w:p>
      <w:pPr>
        <w:pStyle w:val="berschrift9"/>
      </w:pPr>
      <w:r>
        <w:rPr>
          <w:b/>
        </w:rPr>
        <w:t>Art. 2</w:t>
      </w:r>
      <w:r>
        <w:tab/>
        <w:t>Sperrung von Geldern und wirtschaftlichen Ressourcen</w:t>
      </w:r>
    </w:p>
    <w:p>
      <w:pPr>
        <w:pStyle w:val="Absatz"/>
      </w:pPr>
      <w:r>
        <w:rPr>
          <w:position w:val="4"/>
          <w:sz w:val="13"/>
        </w:rPr>
        <w:t>1</w:t>
      </w:r>
      <w:r>
        <w:t> Gelder und wirtschaftliche Ressourcen, die sich im Eigentum oder unter der Kontrolle der natürlichen Personen, Unternehmen und Organisationen nach dem Anhang befinden, sind gesperrt.</w:t>
      </w:r>
    </w:p>
    <w:p>
      <w:pPr>
        <w:pStyle w:val="Absatz"/>
      </w:pPr>
      <w:r>
        <w:rPr>
          <w:position w:val="4"/>
          <w:sz w:val="13"/>
        </w:rPr>
        <w:t>2</w:t>
      </w:r>
      <w:r>
        <w:t> Es ist verboten, den von der Sperrung betroffenen natürlichen Personen, Unternehmen und Organisationen Gelder zu überweisen oder Gelder und wirtschaftliche Ressourcen sonst wie direkt oder indirekt zur Verfügung zu stellen.</w:t>
      </w:r>
    </w:p>
    <w:p>
      <w:pPr>
        <w:pStyle w:val="Absatz"/>
      </w:pPr>
      <w:r>
        <w:rPr>
          <w:position w:val="4"/>
          <w:sz w:val="13"/>
        </w:rPr>
        <w:t>3</w:t>
      </w:r>
      <w:r>
        <w:t> Ausnahmsweise kann das SECO nach Rücksprache mit den zuständigen Stellen des EDA und des Eidgenössischen Finanzdepartements Zahlungen aus gesperrten Konten, Übertragungen gesperrter Vermögenswerte sowie die Freigabe gesperrter wirtschaftlicher Ressourcen zur Wahrung</w:t>
      </w:r>
      <w:r>
        <w:rPr>
          <w:i/>
        </w:rPr>
        <w:t xml:space="preserve"> </w:t>
      </w:r>
      <w:r>
        <w:t>schweizerischer Interessen oder zur Vermeidung von Härtefällen bewilligen.</w:t>
      </w:r>
    </w:p>
    <w:p>
      <w:pPr>
        <w:pStyle w:val="berschrift9"/>
      </w:pPr>
      <w:r>
        <w:rPr>
          <w:b/>
        </w:rPr>
        <w:t>Art. 3</w:t>
      </w:r>
      <w:r>
        <w:tab/>
        <w:t>Begriffsbestimmungen</w:t>
      </w:r>
    </w:p>
    <w:p>
      <w:pPr>
        <w:pStyle w:val="Absatz"/>
      </w:pPr>
      <w:r>
        <w:t>In dieser Verordnung bedeuten:</w:t>
      </w:r>
    </w:p>
    <w:p>
      <w:pPr>
        <w:pStyle w:val="Struktur1"/>
        <w:rPr>
          <w:szCs w:val="18"/>
        </w:rPr>
      </w:pPr>
      <w:r>
        <w:t>a.</w:t>
      </w:r>
      <w:r>
        <w:rPr>
          <w:rStyle w:val="Funotenzeichen"/>
          <w:noProof w:val="0"/>
        </w:rPr>
        <w:footnoteReference w:id="6"/>
      </w:r>
      <w:r>
        <w:tab/>
      </w:r>
      <w:r>
        <w:rPr>
          <w:i/>
        </w:rPr>
        <w:t xml:space="preserve">Gelder: </w:t>
      </w:r>
      <w:r>
        <w:t xml:space="preserve">finanzielle Vermögenswerte, einschliesslich Bargeld, Schecks, </w:t>
      </w:r>
      <w:r>
        <w:rPr>
          <w:szCs w:val="18"/>
        </w:rPr>
        <w:t xml:space="preserve">Geldforderungen, Wechsel, Geldanweisungen oder andere Zahlungsmittel, </w:t>
      </w:r>
      <w:r>
        <w:t xml:space="preserve">Guthaben, Schulden und Schuldenverpflichtungen, Wertpapiere und Schuldtitel, Wertpapierzertifikate, Obligationen, Schuldscheine, Optionsscheine, </w:t>
      </w:r>
      <w:r>
        <w:rPr>
          <w:szCs w:val="18"/>
        </w:rPr>
        <w:t>Pfandbriefe, Derivate; Zinserträge, Dividenden oder andere Einkünfte oder Wertzuwächse aus Vermögenswerten; Kredite, Rechte auf Verrechnung, Bürgschaften, Vertragserfüllungsgarantien oder andere finanzielle Zusagen; Akkreditive, Konnossemente, Sicherungsübereignungen, Dokumente zur Verbriefung von Anteilen an Fondsvermögen oder anderen Finanzressourcen und jedes andere Finanzierungsinstrument für Exporte;</w:t>
      </w:r>
    </w:p>
    <w:p>
      <w:pPr>
        <w:pStyle w:val="Struktur1"/>
      </w:pPr>
      <w:r>
        <w:t>b.</w:t>
      </w:r>
      <w:r>
        <w:tab/>
      </w:r>
      <w:r>
        <w:rPr>
          <w:i/>
        </w:rPr>
        <w:t xml:space="preserve">Sperrung von Geldern: </w:t>
      </w:r>
      <w:r>
        <w:t>die Verhinderung jeder Handlung, welche die Verwaltung oder die Nutzung der Gelder ermöglicht, mit Ausnahme von nor</w:t>
      </w:r>
      <w:r>
        <w:softHyphen/>
        <w:t>malen Verwaltungshandlungen von Finanzinstituten;</w:t>
      </w:r>
    </w:p>
    <w:p>
      <w:pPr>
        <w:pStyle w:val="Struktur1"/>
      </w:pPr>
      <w:r>
        <w:t>c.</w:t>
      </w:r>
      <w:r>
        <w:tab/>
      </w:r>
      <w:r>
        <w:rPr>
          <w:i/>
        </w:rPr>
        <w:t xml:space="preserve">wirtschaftliche Ressourcen: </w:t>
      </w:r>
      <w:r>
        <w:t>Vermögenswerte jeder Art, unabhängig davon, ob sie materiell oder immateriell, beweglich oder unbeweglich sind, insbesondere Immobilien und Luxusgüter, mit Ausnahme von Geldern nach Buchstabe a;</w:t>
      </w:r>
    </w:p>
    <w:p>
      <w:pPr>
        <w:pStyle w:val="Struktur1"/>
      </w:pPr>
      <w:r>
        <w:t>d.</w:t>
      </w:r>
      <w:r>
        <w:tab/>
      </w:r>
      <w:r>
        <w:rPr>
          <w:i/>
        </w:rPr>
        <w:t xml:space="preserve">Sperrung wirtschaftlicher Ressourcen: </w:t>
      </w:r>
      <w:r>
        <w:t>die Verhinderung ihrer Verwendung zum Erwerb von Geldern, Waren oder Dienstleistungen, einschliesslich des Verkaufs, des Vermietens oder des Verpfändens solcher Ressourcen.</w:t>
      </w:r>
    </w:p>
    <w:p>
      <w:pPr>
        <w:pStyle w:val="berschrift9"/>
      </w:pPr>
      <w:r>
        <w:rPr>
          <w:b/>
        </w:rPr>
        <w:lastRenderedPageBreak/>
        <w:t>Art. 4</w:t>
      </w:r>
      <w:r>
        <w:tab/>
        <w:t>Ein- und Durchreiseverbot</w:t>
      </w:r>
    </w:p>
    <w:p>
      <w:pPr>
        <w:pStyle w:val="Absatz"/>
      </w:pPr>
      <w:r>
        <w:rPr>
          <w:position w:val="4"/>
          <w:sz w:val="13"/>
          <w:szCs w:val="13"/>
        </w:rPr>
        <w:t>1</w:t>
      </w:r>
      <w:r>
        <w:rPr>
          <w:szCs w:val="13"/>
        </w:rPr>
        <w:t> </w:t>
      </w:r>
      <w:r>
        <w:t>Die Einreise in die Schweiz oder die Durchreise durch die Schweiz ist den im Anhang aufgeführten natürlichen Personen verboten.</w:t>
      </w:r>
    </w:p>
    <w:p>
      <w:pPr>
        <w:pStyle w:val="Absatz"/>
      </w:pPr>
      <w:r>
        <w:rPr>
          <w:position w:val="4"/>
          <w:sz w:val="13"/>
          <w:szCs w:val="13"/>
        </w:rPr>
        <w:t>2</w:t>
      </w:r>
      <w:r>
        <w:rPr>
          <w:szCs w:val="13"/>
        </w:rPr>
        <w:t> </w:t>
      </w:r>
      <w:r>
        <w:t>Das Staatssekretariat für Migration</w:t>
      </w:r>
      <w:r>
        <w:rPr>
          <w:rStyle w:val="Funotenzeichen"/>
          <w:noProof w:val="0"/>
        </w:rPr>
        <w:footnoteReference w:id="7"/>
      </w:r>
      <w:r>
        <w:t xml:space="preserve"> kann in Übereinstimmung mit den Beschlüssen des zuständigen Komitees des UNO-Sicherheitsrates oder zur Wahrung schweizerischer Interessen Ausnahmen gewähren.</w:t>
      </w:r>
    </w:p>
    <w:p>
      <w:pPr>
        <w:pStyle w:val="Abstand18pt"/>
      </w:pPr>
    </w:p>
    <w:p>
      <w:pPr>
        <w:pStyle w:val="berschrift1"/>
      </w:pPr>
      <w:r>
        <w:t>2. Abschnitt: Vollzug und Strafbestimmungen</w:t>
      </w:r>
    </w:p>
    <w:p>
      <w:pPr>
        <w:pStyle w:val="berschrift9"/>
      </w:pPr>
      <w:r>
        <w:rPr>
          <w:b/>
        </w:rPr>
        <w:t>Art. 5</w:t>
      </w:r>
      <w:r>
        <w:tab/>
        <w:t>Kontrolle und Vollzug</w:t>
      </w:r>
    </w:p>
    <w:p>
      <w:pPr>
        <w:pStyle w:val="Absatz"/>
      </w:pPr>
      <w:r>
        <w:rPr>
          <w:position w:val="4"/>
          <w:sz w:val="13"/>
          <w:szCs w:val="13"/>
        </w:rPr>
        <w:t>1</w:t>
      </w:r>
      <w:r>
        <w:rPr>
          <w:szCs w:val="13"/>
        </w:rPr>
        <w:t> </w:t>
      </w:r>
      <w:r>
        <w:t>Das SECO überwacht den Vollzug der Zwangsmassnahmen nach den Artikeln 1 und 2.</w:t>
      </w:r>
    </w:p>
    <w:p>
      <w:pPr>
        <w:pStyle w:val="Absatz"/>
      </w:pPr>
      <w:r>
        <w:rPr>
          <w:position w:val="4"/>
          <w:sz w:val="13"/>
        </w:rPr>
        <w:t>2</w:t>
      </w:r>
      <w:r>
        <w:t> Das Staatssekretariat für Migration überwacht den Vollzug des Ein- und Durchreiseverbots nach Artikel 4.</w:t>
      </w:r>
    </w:p>
    <w:p>
      <w:pPr>
        <w:pStyle w:val="Absatz"/>
      </w:pPr>
      <w:r>
        <w:rPr>
          <w:position w:val="4"/>
          <w:sz w:val="13"/>
          <w:szCs w:val="13"/>
        </w:rPr>
        <w:t>3</w:t>
      </w:r>
      <w:r>
        <w:rPr>
          <w:szCs w:val="13"/>
        </w:rPr>
        <w:t> </w:t>
      </w:r>
      <w:r>
        <w:t xml:space="preserve">Die Kontrolle an der Grenze obliegt dem </w:t>
      </w:r>
      <w:bookmarkStart w:id="2" w:name="_Hlk125106296"/>
      <w:r>
        <w:t>Bundesamt für Zoll und Grenzsicherheit</w:t>
      </w:r>
      <w:r>
        <w:rPr>
          <w:rStyle w:val="Funotenzeichen"/>
        </w:rPr>
        <w:footnoteReference w:id="8"/>
      </w:r>
      <w:bookmarkEnd w:id="2"/>
      <w:r>
        <w:t>.</w:t>
      </w:r>
    </w:p>
    <w:p>
      <w:pPr>
        <w:pStyle w:val="Absatz"/>
        <w:rPr>
          <w:szCs w:val="18"/>
        </w:rPr>
      </w:pPr>
      <w:r>
        <w:rPr>
          <w:position w:val="4"/>
          <w:sz w:val="13"/>
        </w:rPr>
        <w:t>4</w:t>
      </w:r>
      <w:r>
        <w:t xml:space="preserve"> Die zuständigen Behörden ergreifen auf Anweisung des SECO die für die Sperrung wirtschaftlicher Ressourcen notwendigen Massnahmen, zum Beispiel </w:t>
      </w:r>
      <w:r>
        <w:rPr>
          <w:szCs w:val="18"/>
        </w:rPr>
        <w:t>die Anmerkung einer Verfügungssperre im Grundbuch oder die Pfändung oder Versiegelung von Luxusgütern.</w:t>
      </w:r>
    </w:p>
    <w:p>
      <w:pPr>
        <w:pStyle w:val="berschrift9"/>
      </w:pPr>
      <w:r>
        <w:rPr>
          <w:b/>
        </w:rPr>
        <w:t>Art. 6</w:t>
      </w:r>
      <w:r>
        <w:tab/>
        <w:t>Meldepflichten</w:t>
      </w:r>
    </w:p>
    <w:p>
      <w:pPr>
        <w:pStyle w:val="Absatz"/>
      </w:pPr>
      <w:r>
        <w:rPr>
          <w:position w:val="4"/>
          <w:sz w:val="13"/>
        </w:rPr>
        <w:t>1</w:t>
      </w:r>
      <w:r>
        <w:t> Personen und Institutionen, die Gelder halten oder verwalten oder von wirtschaft</w:t>
      </w:r>
      <w:r>
        <w:softHyphen/>
        <w:t>lichen Ressourcen wissen, von denen anzunehmen ist, dass sie unter die Sperrung nach Artikel 2 Absatz 1 fallen, müssen dies dem SECO unverzüglich melden.</w:t>
      </w:r>
    </w:p>
    <w:p>
      <w:pPr>
        <w:pStyle w:val="Absatz"/>
      </w:pPr>
      <w:r>
        <w:rPr>
          <w:position w:val="4"/>
          <w:sz w:val="13"/>
        </w:rPr>
        <w:t>2</w:t>
      </w:r>
      <w:r>
        <w:t xml:space="preserve"> Die Meldungen müssen die Namen der Begünstigten sowie Gegenstand und Wert </w:t>
      </w:r>
      <w:r>
        <w:rPr>
          <w:szCs w:val="18"/>
        </w:rPr>
        <w:t>der gesperrten Gelder und wirtschaftlichen Ressourcen enthalten.</w:t>
      </w:r>
    </w:p>
    <w:p>
      <w:pPr>
        <w:pStyle w:val="berschrift9"/>
        <w:ind w:left="0" w:firstLine="0"/>
      </w:pPr>
      <w:r>
        <w:rPr>
          <w:b/>
        </w:rPr>
        <w:t>Art. 7</w:t>
      </w:r>
      <w:r>
        <w:tab/>
        <w:t>Strafbestimmungen</w:t>
      </w:r>
    </w:p>
    <w:p>
      <w:pPr>
        <w:pStyle w:val="Absatz"/>
        <w:rPr>
          <w:szCs w:val="18"/>
        </w:rPr>
      </w:pPr>
      <w:r>
        <w:rPr>
          <w:position w:val="4"/>
          <w:sz w:val="13"/>
        </w:rPr>
        <w:t>1</w:t>
      </w:r>
      <w:r>
        <w:t> Wer gegen Artikel 1, 2 oder 4 verstösst, wird nach Artikel 9 EmbG</w:t>
      </w:r>
      <w:r>
        <w:rPr>
          <w:szCs w:val="18"/>
        </w:rPr>
        <w:t xml:space="preserve"> bestraft.</w:t>
      </w:r>
    </w:p>
    <w:p>
      <w:pPr>
        <w:pStyle w:val="Absatz"/>
        <w:rPr>
          <w:szCs w:val="18"/>
        </w:rPr>
      </w:pPr>
      <w:r>
        <w:rPr>
          <w:position w:val="4"/>
          <w:sz w:val="13"/>
          <w:szCs w:val="18"/>
        </w:rPr>
        <w:t>2</w:t>
      </w:r>
      <w:r>
        <w:rPr>
          <w:szCs w:val="18"/>
        </w:rPr>
        <w:t> Wer gegen Artikel 6 verstösst, wird nach Artikel 10 EmbG bestraft.</w:t>
      </w:r>
    </w:p>
    <w:p>
      <w:pPr>
        <w:pStyle w:val="Absatz"/>
      </w:pPr>
      <w:r>
        <w:rPr>
          <w:position w:val="4"/>
          <w:sz w:val="13"/>
          <w:szCs w:val="13"/>
        </w:rPr>
        <w:t>3</w:t>
      </w:r>
      <w:r>
        <w:rPr>
          <w:szCs w:val="13"/>
        </w:rPr>
        <w:t> </w:t>
      </w:r>
      <w:r>
        <w:t>Verstösse nach den Artikeln 9 und 10 EmbG werden vom SECO verfolgt und beurteilt; dieses kann Beschlagnahmungen oder Einziehungen anordnen.</w:t>
      </w:r>
    </w:p>
    <w:p>
      <w:pPr>
        <w:pStyle w:val="Abstand18pt"/>
      </w:pPr>
    </w:p>
    <w:p>
      <w:pPr>
        <w:pStyle w:val="berschrift1"/>
      </w:pPr>
      <w:r>
        <w:lastRenderedPageBreak/>
        <w:t>3. Abschnitt: Automatische Übernahme von Listen und Inkrafttreten</w:t>
      </w:r>
      <w:r>
        <w:rPr>
          <w:rStyle w:val="Funotenzeichen"/>
          <w:b w:val="0"/>
          <w:noProof w:val="0"/>
        </w:rPr>
        <w:footnoteReference w:id="9"/>
      </w:r>
    </w:p>
    <w:p>
      <w:pPr>
        <w:pStyle w:val="berschrift9"/>
      </w:pPr>
      <w:r>
        <w:rPr>
          <w:b/>
        </w:rPr>
        <w:t>Art. 7</w:t>
      </w:r>
      <w:r>
        <w:rPr>
          <w:i/>
        </w:rPr>
        <w:t>a</w:t>
      </w:r>
      <w:r>
        <w:rPr>
          <w:rStyle w:val="Funotenzeichen"/>
          <w:noProof w:val="0"/>
        </w:rPr>
        <w:footnoteReference w:id="10"/>
      </w:r>
      <w:r>
        <w:tab/>
        <w:t>Automatische Übernahme von Listen der natürlichen Personen, Unternehmen und Organisationen, die Gegenstand von Sanktionen sind</w:t>
      </w:r>
    </w:p>
    <w:p>
      <w:pPr>
        <w:pStyle w:val="Absatz"/>
      </w:pPr>
      <w:r>
        <w:t>Die Listen, die der Sicherheitsrat der Vereinten Nationen bzw. das zuständige Komitee des Sicherheitsrats der Vereinten Nationen betreffend natürliche Personen, Unternehmen und Organisationen erlassen oder aktualisiert hat (Anhang), werden automatisch übernommen. Die Einträge nach dem Anhang werden weder in der Amtlichen Sammlung des Bundesrechts (AS) noch in der Systematischen Sammlung des Bundesrechts (SR) veröffentlicht.</w:t>
      </w:r>
    </w:p>
    <w:p>
      <w:pPr>
        <w:pStyle w:val="berschrift9"/>
      </w:pPr>
      <w:r>
        <w:rPr>
          <w:b/>
        </w:rPr>
        <w:t>Art. 8</w:t>
      </w:r>
      <w:r>
        <w:t xml:space="preserve"> </w:t>
      </w:r>
      <w:r>
        <w:tab/>
        <w:t>Inkrafttreten</w:t>
      </w:r>
      <w:r>
        <w:rPr>
          <w:rStyle w:val="Funotenzeichen"/>
          <w:noProof w:val="0"/>
        </w:rPr>
        <w:footnoteReference w:id="11"/>
      </w:r>
    </w:p>
    <w:p>
      <w:pPr>
        <w:pStyle w:val="Absatz"/>
      </w:pPr>
      <w:r>
        <w:t>Diese Verordnung tritt am 26. Mai 2005 in Kraft.</w:t>
      </w:r>
    </w:p>
    <w:p>
      <w:pPr>
        <w:pStyle w:val="Abstand18pt"/>
      </w:pPr>
    </w:p>
    <w:p>
      <w:pPr>
        <w:pStyle w:val="TitelAnhrechts"/>
      </w:pPr>
      <w:r>
        <w:lastRenderedPageBreak/>
        <w:t>Anhang</w:t>
      </w:r>
      <w:r>
        <w:rPr>
          <w:rStyle w:val="Funotenzeichen"/>
          <w:i w:val="0"/>
          <w:noProof w:val="0"/>
        </w:rPr>
        <w:footnoteReference w:id="12"/>
      </w:r>
    </w:p>
    <w:p>
      <w:pPr>
        <w:pStyle w:val="TitelAnhText"/>
      </w:pPr>
      <w:r>
        <w:t>(Art. 2 Abs. 1, Art. 4 Abs. 1 und Art. 7</w:t>
      </w:r>
      <w:r>
        <w:rPr>
          <w:i/>
        </w:rPr>
        <w:t>a</w:t>
      </w:r>
      <w:r>
        <w:t>)</w:t>
      </w:r>
    </w:p>
    <w:p>
      <w:pPr>
        <w:pStyle w:val="TitelAnhang"/>
      </w:pPr>
      <w:r>
        <w:t>Natürliche Personen, gegen die sich die Finanzsanktionen und das Ein- und Durchreiseverbot richten, sowie Unternehmen und Organisationen, gegen die sich die Finanzsanktionen richten</w:t>
      </w:r>
    </w:p>
    <w:p>
      <w:pPr>
        <w:pStyle w:val="Absatzkurs"/>
        <w:rPr>
          <w:b/>
        </w:rPr>
      </w:pPr>
      <w:r>
        <w:rPr>
          <w:b/>
        </w:rPr>
        <w:t>Anmerkung</w:t>
      </w:r>
    </w:p>
    <w:p>
      <w:pPr>
        <w:pStyle w:val="Absatzkurs"/>
      </w:pPr>
      <w:r>
        <w:t>1. Dieser Anhang entspricht den Listen der vom Sicherheitsrat der Vereinten Nationen bzw. der vom zuständigen Komitee des Sicherheitsrats der Vereinten Nationen bezeichneten natürlichen Personen, Unternehmen und Organisationen.</w:t>
      </w:r>
      <w:r>
        <w:rPr>
          <w:rStyle w:val="Funotenzeichen"/>
          <w:i w:val="0"/>
          <w:noProof w:val="0"/>
        </w:rPr>
        <w:footnoteReference w:id="13"/>
      </w:r>
    </w:p>
    <w:p>
      <w:pPr>
        <w:pStyle w:val="Absatzkurs"/>
      </w:pPr>
      <w:r>
        <w:t>2. Die Listen werden vom SECO in der Regel einen Werktag nach der Mitteilung durch die Vereinten Nationen in die Datenbank SESAM (SECO Sanctions Management) aufgenommen.</w:t>
      </w:r>
      <w:r>
        <w:rPr>
          <w:rStyle w:val="Funotenzeichen"/>
          <w:i w:val="0"/>
          <w:noProof w:val="0"/>
        </w:rPr>
        <w:footnoteReference w:id="14"/>
      </w:r>
    </w:p>
    <w:p>
      <w:pPr>
        <w:pStyle w:val="Abstand1Seite"/>
      </w:pPr>
    </w:p>
    <w:sectPr>
      <w:headerReference w:type="even" r:id="rId7"/>
      <w:headerReference w:type="default" r:id="rId8"/>
      <w:footerReference w:type="even" r:id="rId9"/>
      <w:footerReference w:type="default" r:id="rId10"/>
      <w:pgSz w:w="8391" w:h="11907" w:code="11"/>
      <w:pgMar w:top="737" w:right="680" w:bottom="850" w:left="1587" w:header="680" w:footer="567" w:gutter="0"/>
      <w:cols w:space="709"/>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pPr>
    <w:r>
      <w:fldChar w:fldCharType="begin"/>
    </w:r>
    <w:r>
      <w:instrText>PAGE</w:instrText>
    </w:r>
    <w:r>
      <w:fldChar w:fldCharType="separate"/>
    </w:r>
    <w:r>
      <w:rPr>
        <w:noProof/>
      </w:rPr>
      <w:t>2</w:t>
    </w:r>
    <w:r>
      <w:fldChar w:fldCharType="end"/>
    </w:r>
    <w:r>
      <w:t xml:space="preserve"> / </w:t>
    </w:r>
    <w:fldSimple w:instr=" NUMPAGES   \* MERGEFORMAT ">
      <w:r>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jc w:val="right"/>
    </w:pPr>
    <w:r>
      <w:fldChar w:fldCharType="begin"/>
    </w:r>
    <w:r>
      <w:instrText>PAGE</w:instrText>
    </w:r>
    <w:r>
      <w:fldChar w:fldCharType="separate"/>
    </w:r>
    <w:r>
      <w:rPr>
        <w:noProof/>
      </w:rPr>
      <w:t>3</w:t>
    </w:r>
    <w:r>
      <w:fldChar w:fldCharType="end"/>
    </w:r>
    <w:r>
      <w:t xml:space="preserve"> / </w:t>
    </w:r>
    <w:fldSimple w:instr=" NUMPAGES   \* MERGEFORMAT ">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rPr>
          <w:sz w:val="4"/>
          <w:szCs w:val="4"/>
        </w:rPr>
      </w:pPr>
      <w:r>
        <w:rPr>
          <w:sz w:val="4"/>
          <w:szCs w:val="4"/>
        </w:rPr>
        <w:t> </w:t>
      </w:r>
    </w:p>
  </w:footnote>
  <w:footnote w:type="continuationSeparator" w:id="0">
    <w:p>
      <w:pPr>
        <w:rPr>
          <w:sz w:val="4"/>
          <w:szCs w:val="4"/>
        </w:rPr>
      </w:pPr>
      <w:r>
        <w:rPr>
          <w:sz w:val="4"/>
          <w:szCs w:val="4"/>
        </w:rPr>
        <w:t> </w:t>
      </w:r>
    </w:p>
  </w:footnote>
  <w:footnote w:id="1">
    <w:p>
      <w:pPr>
        <w:pStyle w:val="AS-Fussnote"/>
      </w:pPr>
      <w:r>
        <w:t xml:space="preserve"> AS </w:t>
      </w:r>
      <w:r>
        <w:rPr>
          <w:b/>
        </w:rPr>
        <w:t>2005</w:t>
      </w:r>
      <w:r>
        <w:t xml:space="preserve"> 2223</w:t>
      </w:r>
    </w:p>
  </w:footnote>
  <w:footnote w:id="2">
    <w:p>
      <w:pPr>
        <w:pStyle w:val="Funotentext"/>
      </w:pPr>
      <w:r>
        <w:rPr>
          <w:rStyle w:val="Funotenzeichen"/>
          <w:noProof w:val="0"/>
        </w:rPr>
        <w:footnoteRef/>
      </w:r>
      <w:r>
        <w:tab/>
        <w:t xml:space="preserve">SR </w:t>
      </w:r>
      <w:r>
        <w:rPr>
          <w:b/>
          <w:bCs/>
        </w:rPr>
        <w:t>946.231</w:t>
      </w:r>
    </w:p>
  </w:footnote>
  <w:footnote w:id="3">
    <w:p>
      <w:pPr>
        <w:pStyle w:val="Funotentext"/>
      </w:pPr>
      <w:r>
        <w:rPr>
          <w:rStyle w:val="Funotenzeichen"/>
          <w:noProof w:val="0"/>
        </w:rPr>
        <w:footnoteRef/>
      </w:r>
      <w:r>
        <w:tab/>
        <w:t>www.un.org/fr/documents/scres.shtml</w:t>
      </w:r>
    </w:p>
  </w:footnote>
  <w:footnote w:id="4">
    <w:p>
      <w:pPr>
        <w:pStyle w:val="Funotentext"/>
      </w:pPr>
      <w:r>
        <w:rPr>
          <w:rStyle w:val="Funotenzeichen"/>
          <w:noProof w:val="0"/>
        </w:rPr>
        <w:footnoteRef/>
      </w:r>
      <w:r>
        <w:tab/>
        <w:t xml:space="preserve">SR </w:t>
      </w:r>
      <w:r>
        <w:rPr>
          <w:b/>
          <w:bCs/>
        </w:rPr>
        <w:t>946.202</w:t>
      </w:r>
    </w:p>
  </w:footnote>
  <w:footnote w:id="5">
    <w:p>
      <w:pPr>
        <w:pStyle w:val="Funotentext"/>
      </w:pPr>
      <w:r>
        <w:rPr>
          <w:rStyle w:val="Funotenzeichen"/>
          <w:noProof w:val="0"/>
        </w:rPr>
        <w:footnoteRef/>
      </w:r>
      <w:r>
        <w:tab/>
        <w:t xml:space="preserve">SR </w:t>
      </w:r>
      <w:r>
        <w:rPr>
          <w:b/>
          <w:bCs/>
        </w:rPr>
        <w:t>514.51</w:t>
      </w:r>
    </w:p>
  </w:footnote>
  <w:footnote w:id="6">
    <w:p>
      <w:pPr>
        <w:pStyle w:val="Funotentext"/>
      </w:pPr>
      <w:r>
        <w:rPr>
          <w:rStyle w:val="Funotenzeichen"/>
          <w:noProof w:val="0"/>
        </w:rPr>
        <w:footnoteRef/>
      </w:r>
      <w:r>
        <w:tab/>
        <w:t xml:space="preserve">Die Berichtigung vom 25. Aug. 2020 betrifft nur den französischen und italienischen Text (AS </w:t>
      </w:r>
      <w:r>
        <w:rPr>
          <w:b/>
        </w:rPr>
        <w:t>2020</w:t>
      </w:r>
      <w:r>
        <w:t xml:space="preserve"> 3607).</w:t>
      </w:r>
    </w:p>
  </w:footnote>
  <w:footnote w:id="7">
    <w:p>
      <w:pPr>
        <w:pStyle w:val="Funotentext"/>
      </w:pPr>
      <w:r>
        <w:rPr>
          <w:rStyle w:val="Funotenzeichen"/>
          <w:noProof w:val="0"/>
        </w:rPr>
        <w:footnoteRef/>
      </w:r>
      <w:r>
        <w:tab/>
        <w:t xml:space="preserve">Die Bezeichnung der Verwaltungseinheit wurde in Anwendung von Art. 16 Abs. 3 der Publikationsverordnung vom 17. Nov. 2004 (AS </w:t>
      </w:r>
      <w:r>
        <w:rPr>
          <w:b/>
        </w:rPr>
        <w:t>2004</w:t>
      </w:r>
      <w:r>
        <w:t xml:space="preserve"> 4937) auf den 1. Jan. 2015 </w:t>
      </w:r>
      <w:r>
        <w:br/>
        <w:t>angepasst. Diese Anpassung wurde im ganzen Text vorgenommen.</w:t>
      </w:r>
    </w:p>
  </w:footnote>
  <w:footnote w:id="8">
    <w:p>
      <w:pPr>
        <w:pStyle w:val="Funotentext"/>
      </w:pPr>
      <w:r>
        <w:rPr>
          <w:rStyle w:val="Funotenzeichen"/>
        </w:rPr>
        <w:footnoteRef/>
      </w:r>
      <w:r>
        <w:tab/>
        <w:t xml:space="preserve">Die Bezeichnung der Verwaltungseinheit wurde in Anwendung von Art. 20 Abs. 2 der Publikationsverordnung vom 7. Okt. 2015 (SR </w:t>
      </w:r>
      <w:r>
        <w:rPr>
          <w:b/>
        </w:rPr>
        <w:t>170.512.1</w:t>
      </w:r>
      <w:r>
        <w:t xml:space="preserve">) auf den 1. Jan. 2022 angepasst (AS </w:t>
      </w:r>
      <w:r>
        <w:rPr>
          <w:b/>
        </w:rPr>
        <w:t>2021</w:t>
      </w:r>
      <w:r>
        <w:t xml:space="preserve"> 589).</w:t>
      </w:r>
    </w:p>
  </w:footnote>
  <w:footnote w:id="9">
    <w:p>
      <w:pPr>
        <w:pStyle w:val="Funotentext"/>
      </w:pPr>
      <w:r>
        <w:rPr>
          <w:rStyle w:val="Funotenzeichen"/>
          <w:noProof w:val="0"/>
        </w:rPr>
        <w:footnoteRef/>
      </w:r>
      <w:r>
        <w:tab/>
        <w:t xml:space="preserve">Fassung gemäss Ziff. I 7 der V vom 4. März 2016 über die automatische Übernahme von Sanktionslisten des Sicherheitsrats der Vereinten Nationen, in Kraft seit 4. März 2016 </w:t>
      </w:r>
      <w:r>
        <w:br/>
        <w:t xml:space="preserve">(AS </w:t>
      </w:r>
      <w:r>
        <w:rPr>
          <w:b/>
        </w:rPr>
        <w:t>2016</w:t>
      </w:r>
      <w:r>
        <w:t xml:space="preserve"> 671).</w:t>
      </w:r>
    </w:p>
  </w:footnote>
  <w:footnote w:id="10">
    <w:p>
      <w:pPr>
        <w:pStyle w:val="Funotentext"/>
      </w:pPr>
      <w:r>
        <w:rPr>
          <w:rStyle w:val="Funotenzeichen"/>
          <w:noProof w:val="0"/>
        </w:rPr>
        <w:footnoteRef/>
      </w:r>
      <w:r>
        <w:tab/>
        <w:t xml:space="preserve">Eingefügt durch Ziff. I 9 der V vom 19. Dez. 2012 über die Änd. der Veröffentlichung der Anhänge von Embargoverordnungen (AS </w:t>
      </w:r>
      <w:r>
        <w:rPr>
          <w:b/>
        </w:rPr>
        <w:t>2013</w:t>
      </w:r>
      <w:r>
        <w:t xml:space="preserve"> 255). Fassung gemäss Ziff. I 7 der V vom 4. März 2016 über die automatische Übernahme von Sanktionslisten des Sicherheitsrats der Vereinten Nationen, in Kraft seit 4. März 2016 (AS </w:t>
      </w:r>
      <w:r>
        <w:rPr>
          <w:b/>
        </w:rPr>
        <w:t>2016</w:t>
      </w:r>
      <w:r>
        <w:t xml:space="preserve"> 671).</w:t>
      </w:r>
    </w:p>
  </w:footnote>
  <w:footnote w:id="11">
    <w:p>
      <w:pPr>
        <w:pStyle w:val="Funotentext"/>
      </w:pPr>
      <w:r>
        <w:rPr>
          <w:rStyle w:val="Funotenzeichen"/>
          <w:noProof w:val="0"/>
        </w:rPr>
        <w:footnoteRef/>
      </w:r>
      <w:r>
        <w:tab/>
        <w:t xml:space="preserve">Eingefügt durch Ziff. I 9 der V vom 19. Dez. 2012 über die Änd. der Veröffentlichung der Anhänge von Embargoverordnungen, in Kraft seit 1. Febr. 2013 (AS </w:t>
      </w:r>
      <w:r>
        <w:rPr>
          <w:b/>
        </w:rPr>
        <w:t>2013</w:t>
      </w:r>
      <w:r>
        <w:t xml:space="preserve"> 255).</w:t>
      </w:r>
    </w:p>
  </w:footnote>
  <w:footnote w:id="12">
    <w:p>
      <w:pPr>
        <w:pStyle w:val="Funotentext"/>
      </w:pPr>
      <w:r>
        <w:rPr>
          <w:rStyle w:val="Funotenzeichen"/>
          <w:noProof w:val="0"/>
        </w:rPr>
        <w:footnoteRef/>
      </w:r>
      <w:r>
        <w:tab/>
        <w:t xml:space="preserve">Fassung gemäss Ziff. I 7 der V vom 4. März 2016 über die automatische Übernahme von Sanktionslisten des Sicherheitsrats der Vereinten Nationen, in Kraft seit 4. März 2016 </w:t>
      </w:r>
      <w:r>
        <w:br/>
        <w:t xml:space="preserve">(AS </w:t>
      </w:r>
      <w:r>
        <w:rPr>
          <w:b/>
        </w:rPr>
        <w:t>2016</w:t>
      </w:r>
      <w:r>
        <w:t xml:space="preserve"> 671).</w:t>
      </w:r>
    </w:p>
  </w:footnote>
  <w:footnote w:id="13">
    <w:p>
      <w:pPr>
        <w:pStyle w:val="Funotentext"/>
        <w:rPr>
          <w:szCs w:val="16"/>
        </w:rPr>
      </w:pPr>
      <w:r>
        <w:rPr>
          <w:rStyle w:val="Funotenzeichen"/>
          <w:noProof w:val="0"/>
        </w:rPr>
        <w:footnoteRef/>
      </w:r>
      <w:r>
        <w:t xml:space="preserve"> </w:t>
      </w:r>
      <w:r>
        <w:tab/>
        <w:t xml:space="preserve">Die Liste ist im Internet unter folgender Adresse  abrufbar: </w:t>
      </w:r>
      <w:r>
        <w:rPr>
          <w:szCs w:val="16"/>
        </w:rPr>
        <w:t>www.un.org/en/sc/ &gt; Subsidiary Organs &gt; Sanctions &gt; The Sudan Sanctions Committee &gt; Sanctions List Materials.</w:t>
      </w:r>
    </w:p>
  </w:footnote>
  <w:footnote w:id="14">
    <w:p>
      <w:pPr>
        <w:pStyle w:val="Funotentext"/>
      </w:pPr>
      <w:r>
        <w:rPr>
          <w:rStyle w:val="Funotenzeichen"/>
          <w:noProof w:val="0"/>
        </w:rPr>
        <w:footnoteRef/>
      </w:r>
      <w:r>
        <w:t xml:space="preserve"> </w:t>
      </w:r>
      <w:r>
        <w:tab/>
      </w:r>
      <w:r>
        <w:rPr>
          <w:szCs w:val="22"/>
        </w:rPr>
        <w:t>Die Datenbank SESAM ist im Internet frei zugänglich unter: www.seco.admin.ch &gt; Aussenwirtschaft &amp; Wirtschaftliche Zusammenarbeit &gt; Exportkontrollen und Sanktionen &gt; Sanktionen/Embargos. Ein Ausdruck der Liste kann beim SECO, Ressort Sanktionen, Holzikofenweg 36, 3003 Bern, bestellt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
      <w:jc w:val="right"/>
    </w:pPr>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-20844</wp:posOffset>
              </wp:positionH>
              <wp:positionV relativeFrom="paragraph">
                <wp:posOffset>-36195</wp:posOffset>
              </wp:positionV>
              <wp:extent cx="1260000" cy="183600"/>
              <wp:effectExtent l="0" t="0" r="0" b="6985"/>
              <wp:wrapNone/>
              <wp:docPr id="1" name="Text Box 1" title="SR-Nr-L"/>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pPr>
                          <w:r>
                            <w:fldChar w:fldCharType="begin"/>
                          </w:r>
                          <w:r>
                            <w:instrText xml:space="preserve">REF SR_Nummer \h \* MERGEFORMAT </w:instrText>
                          </w:r>
                          <w:r>
                            <w:fldChar w:fldCharType="separate"/>
                          </w:r>
                          <w:r>
                            <w:t>946.231.18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itel: SR-Nr-L" style="position:absolute;left:0;text-align:left;margin-left:-1.65pt;margin-top:-2.85pt;width:99.2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" filled="f" stroked="f" strokeweight=".5pt">
              <v:textbox inset="0,0,0,0">
                <w:txbxContent>
                  <w:p>
                    <w:pPr>
                      <w:pStyle w:val="KopfzeileSR"/>
                    </w:pPr>
                    <w:r>
                      <w:fldChar w:fldCharType="begin"/>
                    </w:r>
                    <w:r>
                      <w:instrText xml:space="preserve">REF SR_Nummer \h \* MERGEFORMAT </w:instrText>
                    </w:r>
                    <w:r>
                      <w:fldChar w:fldCharType="separate"/>
                    </w:r>
                    <w:r>
                      <w:t>946.231.18</w:t>
                    </w:r>
                    <w:r>
                      <w:fldChar w:fldCharType="end"/>
                    </w:r>
                  </w:p>
                </w:txbxContent>
              </v:textbox>
            </v:shape>
          </w:pict>
        </mc:Fallback>
      </mc:AlternateContent>
    </w:r>
    <w:r>
      <w:t>Aussenhandel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Kopfzeile"/>
    </w:pPr>
    <w:r>
      <w:rPr>
        <w:noProof/>
        <w:lang w:eastAsia="de-CH"/>
      </w:rPr>
      <mc:AlternateContent>
        <mc:Choice Requires="wps">
          <w:drawing>
            <wp:anchor distT="0" distB="0" distL="114300" distR="114300" simplePos="0" relativeHeight="251661312" behindDoc="0" locked="0" layoutInCell="1" allowOverlap="1">
              <wp:simplePos x="0" y="0"/>
              <wp:positionH relativeFrom="column">
                <wp:posOffset>2649855</wp:posOffset>
              </wp:positionH>
              <wp:positionV relativeFrom="paragraph">
                <wp:posOffset>-36195</wp:posOffset>
              </wp:positionV>
              <wp:extent cx="1260000" cy="183600"/>
              <wp:effectExtent l="0" t="0" r="0" b="6985"/>
              <wp:wrapNone/>
              <wp:docPr id="2" name="Text Box 2" title="SR-Nr-R"/>
              <wp:cNvGraphicFramePr/>
              <a:graphic xmlns:a="http://schemas.openxmlformats.org/drawingml/2006/main">
                <a:graphicData uri="http://schemas.microsoft.com/office/word/2010/wordprocessingShape">
                  <wps:wsp>
                    <wps:cNvSpPr txBox="1"/>
                    <wps:spPr>
                      <a:xfrm>
                        <a:off x="0" y="0"/>
                        <a:ext cx="1260000" cy="183600"/>
                      </a:xfrm>
                      <a:prstGeom prst="rect">
                        <a:avLst/>
                      </a:prstGeom>
                      <a:noFill/>
                      <a:ln w="6350">
                        <a:noFill/>
                      </a:ln>
                    </wps:spPr>
                    <wps:txbx>
                      <w:txbxContent>
                        <w:p>
                          <w:pPr>
                            <w:pStyle w:val="KopfzeileSR"/>
                            <w:jc w:val="right"/>
                          </w:pPr>
                          <w:r>
                            <w:fldChar w:fldCharType="begin"/>
                          </w:r>
                          <w:r>
                            <w:instrText xml:space="preserve">REF SR_Nummer \h \* MERGEFORMAT </w:instrText>
                          </w:r>
                          <w:r>
                            <w:fldChar w:fldCharType="separate"/>
                          </w:r>
                          <w:r>
                            <w:t>946.231.18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alt="Titel: SR-Nr-R" style="position:absolute;margin-left:208.65pt;margin-top:-2.85pt;width:99.2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" filled="f" stroked="f" strokeweight=".5pt">
              <v:textbox inset="0,0,0,0">
                <w:txbxContent>
                  <w:p>
                    <w:pPr>
                      <w:pStyle w:val="KopfzeileSR"/>
                      <w:jc w:val="right"/>
                    </w:pPr>
                    <w:r>
                      <w:fldChar w:fldCharType="begin"/>
                    </w:r>
                    <w:r>
                      <w:instrText xml:space="preserve">REF SR_Nummer \h \* MERGEFORMAT </w:instrText>
                    </w:r>
                    <w:r>
                      <w:fldChar w:fldCharType="separate"/>
                    </w:r>
                    <w:r>
                      <w:t>946.231.18</w:t>
                    </w:r>
                    <w:r>
                      <w:fldChar w:fldCharType="end"/>
                    </w:r>
                  </w:p>
                </w:txbxContent>
              </v:textbox>
            </v:shape>
          </w:pict>
        </mc:Fallback>
      </mc:AlternateContent>
    </w:r>
    <w:r>
      <w:t>Massnahmen gegenüber Sudan.V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activeWritingStyle w:appName="MSWord" w:lang="de-CH" w:vendorID="64" w:dllVersion="6" w:nlCheck="1" w:checkStyle="1"/>
  <w:activeWritingStyle w:appName="MSWord" w:lang="en-US" w:vendorID="64" w:dllVersion="6" w:nlCheck="1" w:checkStyle="1"/>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686"/>
  <w:autoHyphenation/>
  <w:consecutiveHyphenLimit w:val="3"/>
  <w:hyphenationZone w:val="460"/>
  <w:doNotHyphenateCaps/>
  <w:clickAndTypeStyle w:val="Absatz"/>
  <w:evenAndOddHeaders/>
  <w:drawingGridHorizontalSpacing w:val="90"/>
  <w:drawingGridVerticalSpacing w:val="120"/>
  <w:displayHorizontalDrawingGridEvery w:val="0"/>
  <w:displayVerticalDrawingGridEvery w:val="3"/>
  <w:doNotShadeFormData/>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chartTrackingRefBased/>
  <w15:docId w15:val="{06EA79FC-C75F-43B2-8464-3748FD04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before="60" w:line="200" w:lineRule="exact"/>
      <w:jc w:val="both"/>
    </w:pPr>
    <w:rPr>
      <w:color w:val="FF00FF"/>
      <w:sz w:val="18"/>
      <w:lang w:eastAsia="de-DE"/>
    </w:rPr>
  </w:style>
  <w:style w:type="paragraph" w:styleId="berschrift1">
    <w:name w:val="heading 1"/>
    <w:qFormat/>
    <w:pPr>
      <w:keepNext/>
      <w:keepLines/>
      <w:tabs>
        <w:tab w:val="left" w:pos="1134"/>
      </w:tabs>
      <w:suppressAutoHyphens/>
      <w:spacing w:before="80" w:line="200" w:lineRule="exact"/>
      <w:outlineLvl w:val="0"/>
    </w:pPr>
    <w:rPr>
      <w:b/>
      <w:lang w:eastAsia="de-DE"/>
    </w:rPr>
  </w:style>
  <w:style w:type="paragraph" w:styleId="berschrift2">
    <w:name w:val="heading 2"/>
    <w:basedOn w:val="berschrift1"/>
    <w:qFormat/>
    <w:pPr>
      <w:outlineLvl w:val="1"/>
    </w:pPr>
  </w:style>
  <w:style w:type="paragraph" w:styleId="berschrift3">
    <w:name w:val="heading 3"/>
    <w:basedOn w:val="berschrift1"/>
    <w:qFormat/>
    <w:pPr>
      <w:outlineLvl w:val="2"/>
    </w:pPr>
  </w:style>
  <w:style w:type="paragraph" w:styleId="berschrift4">
    <w:name w:val="heading 4"/>
    <w:basedOn w:val="berschrift1"/>
    <w:qFormat/>
    <w:pPr>
      <w:outlineLvl w:val="3"/>
    </w:pPr>
  </w:style>
  <w:style w:type="paragraph" w:styleId="berschrift5">
    <w:name w:val="heading 5"/>
    <w:qFormat/>
    <w:pPr>
      <w:keepNext/>
      <w:keepLines/>
      <w:framePr w:w="907" w:wrap="around" w:vAnchor="text" w:hAnchor="text" w:x="-1020" w:y="63"/>
      <w:spacing w:before="40" w:line="130" w:lineRule="exact"/>
      <w:outlineLvl w:val="4"/>
    </w:pPr>
    <w:rPr>
      <w:sz w:val="13"/>
      <w:lang w:eastAsia="de-DE"/>
    </w:rPr>
  </w:style>
  <w:style w:type="paragraph" w:styleId="berschrift6">
    <w:name w:val="heading 6"/>
    <w:basedOn w:val="berschrift5"/>
    <w:qFormat/>
    <w:pPr>
      <w:framePr w:wrap="around"/>
      <w:outlineLvl w:val="5"/>
    </w:pPr>
  </w:style>
  <w:style w:type="paragraph" w:styleId="berschrift7">
    <w:name w:val="heading 7"/>
    <w:basedOn w:val="berschrift5"/>
    <w:qFormat/>
    <w:pPr>
      <w:framePr w:wrap="around"/>
      <w:outlineLvl w:val="6"/>
    </w:pPr>
  </w:style>
  <w:style w:type="paragraph" w:styleId="berschrift8">
    <w:name w:val="heading 8"/>
    <w:basedOn w:val="berschrift5"/>
    <w:qFormat/>
    <w:pPr>
      <w:framePr w:wrap="around"/>
      <w:outlineLvl w:val="7"/>
    </w:pPr>
  </w:style>
  <w:style w:type="paragraph" w:styleId="berschrift9">
    <w:name w:val="heading 9"/>
    <w:qFormat/>
    <w:pPr>
      <w:keepNext/>
      <w:keepLines/>
      <w:tabs>
        <w:tab w:val="left" w:pos="1134"/>
      </w:tabs>
      <w:suppressAutoHyphens/>
      <w:spacing w:before="280" w:line="200" w:lineRule="exact"/>
      <w:ind w:left="1134" w:hanging="1134"/>
      <w:outlineLvl w:val="8"/>
    </w:pPr>
    <w:rPr>
      <w:sz w:val="1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KeineListe">
    <w:name w:val="No List"/>
    <w:uiPriority w:val="99"/>
    <w:semiHidden/>
    <w:unhideWhenUsed/>
  </w:style>
  <w:style w:type="paragraph" w:customStyle="1" w:styleId="Tabkrper49pt">
    <w:name w:val="Tabkörper 4/9pt"/>
    <w:basedOn w:val="Tabkrper09pt"/>
    <w:pPr>
      <w:spacing w:before="80"/>
    </w:pPr>
  </w:style>
  <w:style w:type="paragraph" w:customStyle="1" w:styleId="Tabkrper09pt">
    <w:name w:val="Tabkörper 0/9pt"/>
    <w:pPr>
      <w:spacing w:line="200" w:lineRule="exact"/>
    </w:pPr>
    <w:rPr>
      <w:sz w:val="18"/>
      <w:lang w:eastAsia="de-DE"/>
    </w:rPr>
  </w:style>
  <w:style w:type="paragraph" w:styleId="Fuzeile">
    <w:name w:val="footer"/>
    <w:pPr>
      <w:spacing w:before="260" w:line="200" w:lineRule="exact"/>
    </w:pPr>
    <w:rPr>
      <w:sz w:val="18"/>
      <w:lang w:eastAsia="de-DE"/>
    </w:rPr>
  </w:style>
  <w:style w:type="paragraph" w:styleId="Kopfzeile">
    <w:name w:val="header"/>
    <w:pPr>
      <w:pBdr>
        <w:bottom w:val="single" w:sz="6" w:space="5" w:color="auto"/>
      </w:pBdr>
      <w:suppressAutoHyphens/>
      <w:spacing w:after="320" w:line="180" w:lineRule="exact"/>
    </w:pPr>
    <w:rPr>
      <w:sz w:val="16"/>
      <w:lang w:eastAsia="de-DE"/>
    </w:rPr>
  </w:style>
  <w:style w:type="character" w:styleId="Funotenzeichen">
    <w:name w:val="footnote reference"/>
    <w:rPr>
      <w:rFonts w:ascii="Times New Roman" w:hAnsi="Times New Roman"/>
      <w:noProof/>
      <w:position w:val="4"/>
      <w:sz w:val="13"/>
    </w:rPr>
  </w:style>
  <w:style w:type="paragraph" w:styleId="Funotentext">
    <w:name w:val="footnote text"/>
    <w:link w:val="FunotentextZchn"/>
    <w:pPr>
      <w:tabs>
        <w:tab w:val="left" w:pos="40"/>
      </w:tabs>
      <w:spacing w:line="160" w:lineRule="exact"/>
      <w:ind w:left="340" w:hanging="340"/>
    </w:pPr>
    <w:rPr>
      <w:sz w:val="16"/>
      <w:lang w:eastAsia="de-DE"/>
    </w:rPr>
  </w:style>
  <w:style w:type="paragraph" w:customStyle="1" w:styleId="Absatz">
    <w:name w:val="Absatz"/>
    <w:pPr>
      <w:spacing w:before="80" w:line="200" w:lineRule="exact"/>
      <w:jc w:val="both"/>
    </w:pPr>
    <w:rPr>
      <w:sz w:val="18"/>
      <w:lang w:eastAsia="de-DE"/>
    </w:rPr>
  </w:style>
  <w:style w:type="paragraph" w:customStyle="1" w:styleId="Autor">
    <w:name w:val="Autor"/>
    <w:next w:val="Ingress"/>
    <w:pPr>
      <w:keepNext/>
      <w:keepLines/>
      <w:suppressAutoHyphens/>
      <w:spacing w:line="200" w:lineRule="exact"/>
    </w:pPr>
    <w:rPr>
      <w:i/>
      <w:sz w:val="18"/>
      <w:lang w:eastAsia="de-DE"/>
    </w:rPr>
  </w:style>
  <w:style w:type="paragraph" w:customStyle="1" w:styleId="Ingress">
    <w:name w:val="Ingress"/>
    <w:next w:val="Verb"/>
    <w:pPr>
      <w:suppressAutoHyphens/>
      <w:spacing w:before="60" w:line="200" w:lineRule="exact"/>
    </w:pPr>
    <w:rPr>
      <w:sz w:val="18"/>
      <w:lang w:eastAsia="de-DE"/>
    </w:rPr>
  </w:style>
  <w:style w:type="paragraph" w:customStyle="1" w:styleId="Verb">
    <w:name w:val="Verb"/>
    <w:pPr>
      <w:suppressAutoHyphens/>
      <w:spacing w:before="60" w:after="360" w:line="200" w:lineRule="exact"/>
    </w:pPr>
    <w:rPr>
      <w:i/>
      <w:sz w:val="18"/>
      <w:lang w:eastAsia="de-DE"/>
    </w:rPr>
  </w:style>
  <w:style w:type="paragraph" w:customStyle="1" w:styleId="ErlassDatum">
    <w:name w:val="Erlass Datum"/>
    <w:next w:val="ErlassLinie"/>
    <w:pPr>
      <w:keepNext/>
      <w:keepLines/>
      <w:spacing w:before="60" w:line="200" w:lineRule="exact"/>
    </w:pPr>
    <w:rPr>
      <w:sz w:val="18"/>
      <w:lang w:eastAsia="de-DE"/>
    </w:rPr>
  </w:style>
  <w:style w:type="paragraph" w:customStyle="1" w:styleId="ErlassLinie">
    <w:name w:val="Erlass Linie"/>
    <w:next w:val="Autor"/>
    <w:pPr>
      <w:pBdr>
        <w:top w:val="single" w:sz="6" w:space="4" w:color="auto"/>
      </w:pBdr>
      <w:spacing w:before="200" w:line="200" w:lineRule="exact"/>
      <w:jc w:val="both"/>
    </w:pPr>
    <w:rPr>
      <w:sz w:val="18"/>
      <w:lang w:eastAsia="de-DE"/>
    </w:rPr>
  </w:style>
  <w:style w:type="paragraph" w:customStyle="1" w:styleId="Inkrafttreten">
    <w:name w:val="Inkrafttreten"/>
    <w:pPr>
      <w:spacing w:before="400" w:line="160" w:lineRule="exact"/>
    </w:pPr>
    <w:rPr>
      <w:sz w:val="16"/>
      <w:lang w:eastAsia="de-DE"/>
    </w:rPr>
  </w:style>
  <w:style w:type="paragraph" w:customStyle="1" w:styleId="Struktur2">
    <w:name w:val="Struktur 2"/>
    <w:pPr>
      <w:tabs>
        <w:tab w:val="left" w:pos="924"/>
      </w:tabs>
      <w:spacing w:before="40" w:line="200" w:lineRule="exact"/>
      <w:ind w:left="924" w:hanging="357"/>
      <w:jc w:val="both"/>
    </w:pPr>
    <w:rPr>
      <w:sz w:val="18"/>
      <w:lang w:eastAsia="de-DE"/>
    </w:rPr>
  </w:style>
  <w:style w:type="paragraph" w:customStyle="1" w:styleId="Struktur18pt">
    <w:name w:val="Struktur 1 /8pt"/>
    <w:pPr>
      <w:tabs>
        <w:tab w:val="left" w:pos="527"/>
      </w:tabs>
      <w:spacing w:before="60" w:line="160" w:lineRule="exact"/>
      <w:ind w:left="528" w:hanging="318"/>
      <w:jc w:val="both"/>
    </w:pPr>
    <w:rPr>
      <w:sz w:val="16"/>
      <w:lang w:eastAsia="de-DE"/>
    </w:rPr>
  </w:style>
  <w:style w:type="paragraph" w:customStyle="1" w:styleId="Tab-Struktur309pt">
    <w:name w:val="Tab-Struktur 3 0/9pt"/>
    <w:basedOn w:val="Tab-Struktur209pt"/>
    <w:pPr>
      <w:tabs>
        <w:tab w:val="left" w:pos="680"/>
      </w:tabs>
      <w:ind w:left="681"/>
    </w:pPr>
  </w:style>
  <w:style w:type="paragraph" w:customStyle="1" w:styleId="Tab-Struktur209pt">
    <w:name w:val="Tab-Struktur 2 0/9pt"/>
    <w:basedOn w:val="Tab-Struktur109pt"/>
    <w:pPr>
      <w:tabs>
        <w:tab w:val="left" w:pos="454"/>
      </w:tabs>
      <w:ind w:left="454"/>
    </w:pPr>
  </w:style>
  <w:style w:type="paragraph" w:customStyle="1" w:styleId="Tab-Struktur109pt">
    <w:name w:val="Tab-Struktur 1 0/9pt"/>
    <w:pPr>
      <w:tabs>
        <w:tab w:val="left" w:pos="227"/>
      </w:tabs>
      <w:spacing w:line="200" w:lineRule="exact"/>
      <w:ind w:left="227" w:hanging="227"/>
    </w:pPr>
    <w:rPr>
      <w:sz w:val="18"/>
      <w:lang w:eastAsia="de-DE"/>
    </w:rPr>
  </w:style>
  <w:style w:type="paragraph" w:customStyle="1" w:styleId="Tab-Struktur108pt">
    <w:name w:val="Tab-Struktur 1 0/8pt"/>
    <w:pPr>
      <w:tabs>
        <w:tab w:val="left" w:pos="227"/>
      </w:tabs>
      <w:spacing w:line="160" w:lineRule="exact"/>
      <w:ind w:left="227" w:hanging="227"/>
    </w:pPr>
    <w:rPr>
      <w:sz w:val="16"/>
      <w:lang w:eastAsia="de-DE"/>
    </w:rPr>
  </w:style>
  <w:style w:type="paragraph" w:customStyle="1" w:styleId="Struktur1">
    <w:name w:val="Struktur 1"/>
    <w:pPr>
      <w:tabs>
        <w:tab w:val="left" w:pos="567"/>
      </w:tabs>
      <w:spacing w:before="80" w:line="200" w:lineRule="exact"/>
      <w:ind w:left="567" w:hanging="357"/>
      <w:jc w:val="both"/>
    </w:pPr>
    <w:rPr>
      <w:sz w:val="18"/>
      <w:lang w:eastAsia="de-DE"/>
    </w:rPr>
  </w:style>
  <w:style w:type="paragraph" w:customStyle="1" w:styleId="SRNummer">
    <w:name w:val="SR Nummer"/>
    <w:next w:val="ErlassTitel"/>
    <w:pPr>
      <w:framePr w:wrap="around" w:hAnchor="text" w:xAlign="outside" w:y="-123"/>
      <w:spacing w:line="240" w:lineRule="exact"/>
      <w:jc w:val="right"/>
    </w:pPr>
    <w:rPr>
      <w:b/>
      <w:sz w:val="24"/>
      <w:lang w:eastAsia="de-DE"/>
    </w:rPr>
  </w:style>
  <w:style w:type="paragraph" w:customStyle="1" w:styleId="ErlassTitel">
    <w:name w:val="Erlass Titel"/>
    <w:next w:val="ErlassKurztitel"/>
    <w:pPr>
      <w:keepNext/>
      <w:keepLines/>
      <w:suppressAutoHyphens/>
      <w:spacing w:line="240" w:lineRule="exact"/>
    </w:pPr>
    <w:rPr>
      <w:b/>
      <w:sz w:val="24"/>
      <w:lang w:eastAsia="de-DE"/>
    </w:rPr>
  </w:style>
  <w:style w:type="paragraph" w:customStyle="1" w:styleId="ErlassKurztitel">
    <w:name w:val="Erlass Kurztitel"/>
    <w:next w:val="ErlassDatum"/>
    <w:pPr>
      <w:keepNext/>
      <w:keepLines/>
      <w:suppressAutoHyphens/>
      <w:spacing w:before="80" w:line="200" w:lineRule="exact"/>
    </w:pPr>
    <w:rPr>
      <w:b/>
      <w:lang w:eastAsia="de-DE"/>
    </w:rPr>
  </w:style>
  <w:style w:type="paragraph" w:customStyle="1" w:styleId="Struktur3">
    <w:name w:val="Struktur 3"/>
    <w:pPr>
      <w:tabs>
        <w:tab w:val="left" w:pos="1281"/>
      </w:tabs>
      <w:spacing w:line="200" w:lineRule="exact"/>
      <w:ind w:left="1281" w:hanging="357"/>
      <w:jc w:val="both"/>
    </w:pPr>
    <w:rPr>
      <w:sz w:val="18"/>
      <w:lang w:eastAsia="de-DE"/>
    </w:rPr>
  </w:style>
  <w:style w:type="paragraph" w:customStyle="1" w:styleId="Struktur4">
    <w:name w:val="Struktur 4"/>
    <w:pPr>
      <w:tabs>
        <w:tab w:val="left" w:pos="1639"/>
      </w:tabs>
      <w:spacing w:line="200" w:lineRule="exact"/>
      <w:ind w:left="1638" w:hanging="357"/>
      <w:jc w:val="both"/>
    </w:pPr>
    <w:rPr>
      <w:sz w:val="18"/>
      <w:lang w:eastAsia="de-DE"/>
    </w:rPr>
  </w:style>
  <w:style w:type="paragraph" w:customStyle="1" w:styleId="Struktur28pt">
    <w:name w:val="Struktur 2 /8pt"/>
    <w:pPr>
      <w:tabs>
        <w:tab w:val="left" w:pos="851"/>
      </w:tabs>
      <w:spacing w:before="20" w:line="160" w:lineRule="exact"/>
      <w:ind w:left="851" w:hanging="318"/>
      <w:jc w:val="both"/>
    </w:pPr>
    <w:rPr>
      <w:sz w:val="16"/>
      <w:lang w:eastAsia="de-DE"/>
    </w:rPr>
  </w:style>
  <w:style w:type="paragraph" w:customStyle="1" w:styleId="Struktur38pt">
    <w:name w:val="Struktur 3 /8pt"/>
    <w:pPr>
      <w:tabs>
        <w:tab w:val="left" w:pos="1168"/>
      </w:tabs>
      <w:spacing w:line="160" w:lineRule="exact"/>
      <w:ind w:left="1169" w:hanging="318"/>
      <w:jc w:val="both"/>
    </w:pPr>
    <w:rPr>
      <w:sz w:val="16"/>
      <w:lang w:eastAsia="de-DE"/>
    </w:rPr>
  </w:style>
  <w:style w:type="paragraph" w:customStyle="1" w:styleId="Referenz">
    <w:name w:val="Referenz"/>
    <w:pPr>
      <w:keepNext/>
      <w:keepLines/>
      <w:tabs>
        <w:tab w:val="left" w:pos="1134"/>
      </w:tabs>
      <w:spacing w:before="40" w:line="130" w:lineRule="exact"/>
    </w:pPr>
    <w:rPr>
      <w:sz w:val="13"/>
      <w:lang w:eastAsia="de-DE"/>
    </w:rPr>
  </w:style>
  <w:style w:type="paragraph" w:customStyle="1" w:styleId="Struktur48pt">
    <w:name w:val="Struktur 4 /8pt"/>
    <w:pPr>
      <w:tabs>
        <w:tab w:val="left" w:pos="1486"/>
      </w:tabs>
      <w:spacing w:line="160" w:lineRule="exact"/>
      <w:ind w:left="1486" w:hanging="318"/>
      <w:jc w:val="both"/>
    </w:pPr>
    <w:rPr>
      <w:sz w:val="16"/>
      <w:lang w:eastAsia="de-DE"/>
    </w:rPr>
  </w:style>
  <w:style w:type="paragraph" w:customStyle="1" w:styleId="Tabkrper08pt">
    <w:name w:val="Tabkörper 0/8pt"/>
    <w:pPr>
      <w:spacing w:line="160" w:lineRule="exact"/>
    </w:pPr>
    <w:rPr>
      <w:sz w:val="16"/>
      <w:lang w:eastAsia="de-DE"/>
    </w:rPr>
  </w:style>
  <w:style w:type="paragraph" w:customStyle="1" w:styleId="Tabkrper38pt">
    <w:name w:val="Tabkörper 3/8pt"/>
    <w:basedOn w:val="Tabkrper08pt"/>
    <w:pPr>
      <w:spacing w:before="60"/>
    </w:pPr>
  </w:style>
  <w:style w:type="paragraph" w:customStyle="1" w:styleId="Tabellenkopf">
    <w:name w:val="Tabellenkopf"/>
    <w:pPr>
      <w:keepNext/>
      <w:spacing w:line="130" w:lineRule="exact"/>
    </w:pPr>
    <w:rPr>
      <w:sz w:val="13"/>
      <w:lang w:eastAsia="de-DE"/>
    </w:rPr>
  </w:style>
  <w:style w:type="paragraph" w:customStyle="1" w:styleId="Tab-Untertit8pt">
    <w:name w:val="Tab-Untertit /8pt"/>
    <w:pPr>
      <w:keepNext/>
      <w:keepLines/>
      <w:spacing w:before="160" w:line="160" w:lineRule="exact"/>
    </w:pPr>
    <w:rPr>
      <w:b/>
      <w:sz w:val="16"/>
      <w:lang w:eastAsia="de-DE"/>
    </w:rPr>
  </w:style>
  <w:style w:type="paragraph" w:customStyle="1" w:styleId="KopfzeileSR">
    <w:name w:val="Kopfzeile SR"/>
    <w:pPr>
      <w:framePr w:wrap="around" w:hAnchor="text" w:xAlign="outside" w:y="-124"/>
      <w:suppressAutoHyphens/>
      <w:spacing w:line="260" w:lineRule="exact"/>
    </w:pPr>
    <w:rPr>
      <w:b/>
      <w:sz w:val="18"/>
      <w:lang w:eastAsia="de-DE"/>
    </w:rPr>
  </w:style>
  <w:style w:type="paragraph" w:customStyle="1" w:styleId="Tab-Untertit9pt">
    <w:name w:val="Tab-Untertit /9pt"/>
    <w:pPr>
      <w:keepNext/>
      <w:keepLines/>
      <w:spacing w:before="160" w:line="200" w:lineRule="exact"/>
    </w:pPr>
    <w:rPr>
      <w:b/>
      <w:sz w:val="18"/>
      <w:lang w:eastAsia="de-DE"/>
    </w:rPr>
  </w:style>
  <w:style w:type="paragraph" w:customStyle="1" w:styleId="TitelAnhang">
    <w:name w:val="Titel Anhang"/>
    <w:pPr>
      <w:keepNext/>
      <w:keepLines/>
      <w:suppressAutoHyphens/>
      <w:spacing w:before="240" w:after="160" w:line="220" w:lineRule="exact"/>
      <w:outlineLvl w:val="1"/>
    </w:pPr>
    <w:rPr>
      <w:b/>
      <w:sz w:val="22"/>
      <w:lang w:eastAsia="de-DE"/>
    </w:rPr>
  </w:style>
  <w:style w:type="paragraph" w:customStyle="1" w:styleId="Tab-Utit8pt-kurs">
    <w:name w:val="Tab-Utit /8pt-kurs"/>
    <w:pPr>
      <w:keepNext/>
      <w:keepLines/>
      <w:spacing w:before="120" w:line="160" w:lineRule="exact"/>
    </w:pPr>
    <w:rPr>
      <w:i/>
      <w:sz w:val="16"/>
      <w:lang w:eastAsia="de-DE"/>
    </w:rPr>
  </w:style>
  <w:style w:type="paragraph" w:customStyle="1" w:styleId="TitelAnhText">
    <w:name w:val="Titel Anh Text"/>
    <w:pPr>
      <w:keepNext/>
      <w:keepLines/>
      <w:suppressAutoHyphens/>
      <w:spacing w:line="200" w:lineRule="exact"/>
      <w:jc w:val="right"/>
    </w:pPr>
    <w:rPr>
      <w:sz w:val="18"/>
      <w:lang w:eastAsia="de-DE"/>
    </w:rPr>
  </w:style>
  <w:style w:type="paragraph" w:customStyle="1" w:styleId="TitelAnhKurztit">
    <w:name w:val="Titel Anh Kurztit"/>
    <w:pPr>
      <w:keepNext/>
      <w:suppressAutoHyphens/>
      <w:spacing w:before="80" w:line="200" w:lineRule="exact"/>
      <w:outlineLvl w:val="2"/>
    </w:pPr>
    <w:rPr>
      <w:b/>
      <w:lang w:eastAsia="de-DE"/>
    </w:rPr>
  </w:style>
  <w:style w:type="paragraph" w:customStyle="1" w:styleId="TitelAnhrechts">
    <w:name w:val="Titel Anh rechts"/>
    <w:pPr>
      <w:keepNext/>
      <w:keepLines/>
      <w:pageBreakBefore/>
      <w:suppressAutoHyphens/>
      <w:spacing w:line="200" w:lineRule="exact"/>
      <w:jc w:val="right"/>
      <w:outlineLvl w:val="0"/>
    </w:pPr>
    <w:rPr>
      <w:i/>
      <w:sz w:val="18"/>
      <w:lang w:eastAsia="de-DE"/>
    </w:rPr>
  </w:style>
  <w:style w:type="paragraph" w:customStyle="1" w:styleId="Tab-Utit9pt-kurs">
    <w:name w:val="Tab-Utit /9pt-kurs"/>
    <w:pPr>
      <w:keepNext/>
      <w:keepLines/>
      <w:spacing w:before="120" w:line="200" w:lineRule="exact"/>
    </w:pPr>
    <w:rPr>
      <w:i/>
      <w:sz w:val="18"/>
      <w:lang w:eastAsia="de-DE"/>
    </w:rPr>
  </w:style>
  <w:style w:type="paragraph" w:customStyle="1" w:styleId="Absatz8pt">
    <w:name w:val="Absatz /8pt"/>
    <w:pPr>
      <w:spacing w:before="60" w:line="160" w:lineRule="exact"/>
      <w:jc w:val="both"/>
    </w:pPr>
    <w:rPr>
      <w:sz w:val="16"/>
      <w:lang w:eastAsia="de-DE"/>
    </w:rPr>
  </w:style>
  <w:style w:type="paragraph" w:customStyle="1" w:styleId="FussnotentextMarg">
    <w:name w:val="Fussnotentext Marg"/>
    <w:pPr>
      <w:keepNext/>
      <w:keepLines/>
      <w:tabs>
        <w:tab w:val="left" w:pos="-980"/>
      </w:tabs>
      <w:spacing w:line="160" w:lineRule="exact"/>
      <w:ind w:left="-697" w:hanging="335"/>
    </w:pPr>
    <w:rPr>
      <w:sz w:val="16"/>
      <w:lang w:eastAsia="de-DE"/>
    </w:rPr>
  </w:style>
  <w:style w:type="paragraph" w:customStyle="1" w:styleId="Zyan-Feld">
    <w:name w:val="Zyan-Feld"/>
    <w:pPr>
      <w:spacing w:line="180" w:lineRule="exact"/>
    </w:pPr>
    <w:rPr>
      <w:vanish/>
      <w:color w:val="00FFFF"/>
      <w:sz w:val="18"/>
      <w:lang w:eastAsia="de-DE"/>
    </w:rPr>
  </w:style>
  <w:style w:type="paragraph" w:customStyle="1" w:styleId="Abstand18pt">
    <w:name w:val="Abstand /18pt"/>
    <w:pPr>
      <w:spacing w:before="340" w:line="20" w:lineRule="exact"/>
    </w:pPr>
    <w:rPr>
      <w:b/>
      <w:bCs/>
      <w:color w:val="008000"/>
      <w:sz w:val="290"/>
      <w:szCs w:val="290"/>
      <w:lang w:eastAsia="de-DE"/>
    </w:rPr>
  </w:style>
  <w:style w:type="paragraph" w:customStyle="1" w:styleId="ZifferrmI">
    <w:name w:val="Ziffer röm. I"/>
    <w:pPr>
      <w:keepNext/>
      <w:keepLines/>
      <w:suppressAutoHyphens/>
      <w:spacing w:after="60" w:line="200" w:lineRule="exact"/>
    </w:pPr>
    <w:rPr>
      <w:sz w:val="18"/>
      <w:lang w:eastAsia="de-DE"/>
    </w:rPr>
  </w:style>
  <w:style w:type="paragraph" w:customStyle="1" w:styleId="ZifferrmII">
    <w:name w:val="Ziffer röm. II"/>
    <w:basedOn w:val="ZifferrmI"/>
    <w:pPr>
      <w:spacing w:before="360"/>
    </w:pPr>
  </w:style>
  <w:style w:type="paragraph" w:customStyle="1" w:styleId="Bild">
    <w:name w:val="Bild"/>
    <w:pPr>
      <w:spacing w:line="200" w:lineRule="atLeast"/>
    </w:pPr>
    <w:rPr>
      <w:sz w:val="18"/>
      <w:lang w:eastAsia="de-DE"/>
    </w:rPr>
  </w:style>
  <w:style w:type="paragraph" w:customStyle="1" w:styleId="ErlassDatumAend">
    <w:name w:val="Erlass Datum Aend"/>
    <w:next w:val="ErlassLinie"/>
    <w:pPr>
      <w:keepNext/>
      <w:keepLines/>
    </w:pPr>
    <w:rPr>
      <w:b/>
      <w:lang w:eastAsia="de-DE"/>
    </w:rPr>
  </w:style>
  <w:style w:type="paragraph" w:customStyle="1" w:styleId="ErlassTitel10pt">
    <w:name w:val="Erlass Titel /10pt"/>
    <w:basedOn w:val="ErlassKurztitel"/>
    <w:next w:val="ErlassKurztitel"/>
  </w:style>
  <w:style w:type="paragraph" w:customStyle="1" w:styleId="VerweisArtkursiv">
    <w:name w:val="Verweis Art kursiv"/>
    <w:basedOn w:val="Absatz"/>
    <w:pPr>
      <w:keepNext/>
      <w:keepLines/>
      <w:spacing w:before="280"/>
      <w:jc w:val="left"/>
    </w:pPr>
    <w:rPr>
      <w:i/>
    </w:rPr>
  </w:style>
  <w:style w:type="paragraph" w:customStyle="1" w:styleId="Abstand1Seite">
    <w:name w:val="Abstand 1 Seite"/>
    <w:basedOn w:val="Abstand18pt"/>
    <w:pPr>
      <w:pageBreakBefore/>
      <w:spacing w:before="0" w:line="240" w:lineRule="auto"/>
    </w:pPr>
    <w:rPr>
      <w:color w:val="339966"/>
    </w:rPr>
  </w:style>
  <w:style w:type="paragraph" w:customStyle="1" w:styleId="TabkrperR09pt">
    <w:name w:val="Tabkörper R/0/9pt"/>
    <w:basedOn w:val="Tabkrper09pt"/>
    <w:pPr>
      <w:jc w:val="right"/>
    </w:pPr>
  </w:style>
  <w:style w:type="paragraph" w:customStyle="1" w:styleId="TabkrperR38pt">
    <w:name w:val="Tabkörper R/3/8pt"/>
    <w:basedOn w:val="Tabkrper38pt"/>
    <w:pPr>
      <w:jc w:val="right"/>
    </w:pPr>
  </w:style>
  <w:style w:type="paragraph" w:customStyle="1" w:styleId="TabellenkopfR">
    <w:name w:val="Tabellenkopf R"/>
    <w:basedOn w:val="Tabellenkopf"/>
    <w:pPr>
      <w:jc w:val="right"/>
    </w:pPr>
  </w:style>
  <w:style w:type="paragraph" w:customStyle="1" w:styleId="TabkrperR08pt">
    <w:name w:val="Tabkörper R/0/8pt"/>
    <w:basedOn w:val="Tabkrper08pt"/>
    <w:pPr>
      <w:jc w:val="right"/>
    </w:pPr>
  </w:style>
  <w:style w:type="paragraph" w:customStyle="1" w:styleId="ErlassSubtitel">
    <w:name w:val="Erlass Subtitel"/>
    <w:basedOn w:val="Absatz8pt"/>
    <w:next w:val="ErlassDatum"/>
    <w:pPr>
      <w:suppressAutoHyphens/>
      <w:spacing w:before="0"/>
      <w:jc w:val="left"/>
    </w:pPr>
  </w:style>
  <w:style w:type="paragraph" w:customStyle="1" w:styleId="Schlussint">
    <w:name w:val="Schluss int"/>
    <w:basedOn w:val="Absatz"/>
    <w:next w:val="UnterschriftenFI1"/>
    <w:pPr>
      <w:spacing w:before="400" w:after="280"/>
    </w:pPr>
  </w:style>
  <w:style w:type="paragraph" w:customStyle="1" w:styleId="Unterschriften">
    <w:name w:val="Unterschriften"/>
    <w:basedOn w:val="Absatz"/>
    <w:pPr>
      <w:tabs>
        <w:tab w:val="left" w:pos="2807"/>
        <w:tab w:val="left" w:pos="3402"/>
        <w:tab w:val="right" w:pos="6112"/>
      </w:tabs>
      <w:suppressAutoHyphens/>
      <w:spacing w:before="120"/>
      <w:jc w:val="left"/>
    </w:pPr>
  </w:style>
  <w:style w:type="paragraph" w:customStyle="1" w:styleId="Tabkrper08pt-kurs">
    <w:name w:val="Tabkörper 0/8pt-kurs"/>
    <w:basedOn w:val="Tabkrper08pt"/>
    <w:rPr>
      <w:i/>
    </w:rPr>
  </w:style>
  <w:style w:type="paragraph" w:customStyle="1" w:styleId="Tab-Struktur208pt">
    <w:name w:val="Tab-Struktur 2 0/8pt"/>
    <w:basedOn w:val="Tab-Struktur108pt"/>
    <w:pPr>
      <w:tabs>
        <w:tab w:val="left" w:pos="454"/>
      </w:tabs>
      <w:ind w:left="454"/>
    </w:pPr>
  </w:style>
  <w:style w:type="paragraph" w:customStyle="1" w:styleId="Tabkrper09pt-kurs">
    <w:name w:val="Tabkörper 0/9pt-kurs"/>
    <w:basedOn w:val="Tabkrper09pt"/>
    <w:rPr>
      <w:i/>
    </w:rPr>
  </w:style>
  <w:style w:type="paragraph" w:customStyle="1" w:styleId="Tabkrper38pt-kurs">
    <w:name w:val="Tabkörper 3/8pt-kurs"/>
    <w:basedOn w:val="Tabkrper38pt"/>
    <w:rPr>
      <w:i/>
    </w:rPr>
  </w:style>
  <w:style w:type="paragraph" w:customStyle="1" w:styleId="AS-Fussnote">
    <w:name w:val="AS-Fussnote"/>
    <w:basedOn w:val="Funotentext"/>
    <w:pPr>
      <w:suppressAutoHyphens/>
      <w:spacing w:after="40"/>
      <w:ind w:left="0" w:hanging="40"/>
    </w:pPr>
  </w:style>
  <w:style w:type="paragraph" w:customStyle="1" w:styleId="Tababstandnach">
    <w:name w:val="Tababstand nach"/>
    <w:basedOn w:val="Tabkrper08pt"/>
    <w:pPr>
      <w:spacing w:line="80" w:lineRule="exact"/>
    </w:pPr>
    <w:rPr>
      <w:sz w:val="8"/>
    </w:rPr>
  </w:style>
  <w:style w:type="paragraph" w:customStyle="1" w:styleId="TabellenkopfR-N">
    <w:name w:val="Tabellenkopf R-N"/>
    <w:basedOn w:val="TabellenkopfR"/>
    <w:pPr>
      <w:spacing w:before="60" w:after="60"/>
    </w:pPr>
  </w:style>
  <w:style w:type="paragraph" w:customStyle="1" w:styleId="TabellenkopfN">
    <w:name w:val="Tabellenkopf N"/>
    <w:basedOn w:val="Tabellenkopf"/>
    <w:pPr>
      <w:spacing w:before="60" w:after="60"/>
    </w:pPr>
  </w:style>
  <w:style w:type="paragraph" w:customStyle="1" w:styleId="AS-FussnoteMarg">
    <w:name w:val="AS-Fussnote Marg"/>
    <w:basedOn w:val="FussnotentextMarg"/>
    <w:pPr>
      <w:suppressAutoHyphens/>
      <w:spacing w:after="40"/>
      <w:ind w:left="-1037" w:hanging="40"/>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pacing w:line="200" w:lineRule="exact"/>
    </w:pPr>
    <w:rPr>
      <w:rFonts w:ascii="Courier" w:hAnsi="Courier"/>
      <w:color w:val="000066"/>
      <w:lang w:eastAsia="de-DE"/>
    </w:rPr>
  </w:style>
  <w:style w:type="paragraph" w:customStyle="1" w:styleId="KopfzeileMarg">
    <w:name w:val="Kopfzeile Marg"/>
    <w:basedOn w:val="Kopfzeile"/>
    <w:pPr>
      <w:tabs>
        <w:tab w:val="right" w:pos="5103"/>
      </w:tabs>
      <w:ind w:left="-1021"/>
    </w:pPr>
  </w:style>
  <w:style w:type="character" w:styleId="Seitenzahl">
    <w:name w:val="page number"/>
    <w:rPr>
      <w:rFonts w:ascii="Times New Roman" w:hAnsi="Times New Roman"/>
      <w:noProof/>
    </w:rPr>
  </w:style>
  <w:style w:type="paragraph" w:customStyle="1" w:styleId="FuzeileMarg">
    <w:name w:val="Fußzeile Marg"/>
    <w:basedOn w:val="Fuzeile"/>
    <w:pPr>
      <w:tabs>
        <w:tab w:val="right" w:pos="5103"/>
      </w:tabs>
      <w:ind w:left="-1021"/>
    </w:pPr>
  </w:style>
  <w:style w:type="paragraph" w:customStyle="1" w:styleId="Unterschriften1">
    <w:name w:val="Unterschriften 1"/>
    <w:basedOn w:val="Unterschriften"/>
    <w:pPr>
      <w:spacing w:before="480"/>
    </w:pPr>
  </w:style>
  <w:style w:type="character" w:customStyle="1" w:styleId="VerborgenKommentar">
    <w:name w:val="Verborgen (Kommentar)"/>
    <w:rPr>
      <w:rFonts w:ascii="Courier New" w:hAnsi="Courier New"/>
      <w:vanish/>
      <w:color w:val="FF00FF"/>
      <w:sz w:val="14"/>
    </w:rPr>
  </w:style>
  <w:style w:type="paragraph" w:customStyle="1" w:styleId="Tab-Struktur308pt">
    <w:name w:val="Tab-Struktur 3 0/8pt"/>
    <w:basedOn w:val="Tab-Struktur208pt"/>
    <w:pPr>
      <w:tabs>
        <w:tab w:val="left" w:pos="680"/>
      </w:tabs>
      <w:ind w:left="681"/>
    </w:pPr>
  </w:style>
  <w:style w:type="paragraph" w:customStyle="1" w:styleId="Tabkrper09pt-fett">
    <w:name w:val="Tabkörper 0/9pt-fett"/>
    <w:basedOn w:val="Tabkrper09pt"/>
    <w:rPr>
      <w:b/>
    </w:rPr>
  </w:style>
  <w:style w:type="paragraph" w:customStyle="1" w:styleId="Tabkrper08pt-fett">
    <w:name w:val="Tabkörper 0/8pt-fett"/>
    <w:basedOn w:val="Tabkrper08pt"/>
    <w:rPr>
      <w:b/>
    </w:rPr>
  </w:style>
  <w:style w:type="paragraph" w:customStyle="1" w:styleId="TabkrperR09pt-kurs">
    <w:name w:val="Tabkörper R/0/9pt-kurs"/>
    <w:basedOn w:val="TabkrperR09pt"/>
    <w:rPr>
      <w:i/>
    </w:rPr>
  </w:style>
  <w:style w:type="paragraph" w:customStyle="1" w:styleId="Tab-Struktur138pt">
    <w:name w:val="Tab-Struktur 1 3/8pt"/>
    <w:basedOn w:val="Tab-Struktur108pt"/>
    <w:pPr>
      <w:spacing w:before="60"/>
    </w:pPr>
  </w:style>
  <w:style w:type="paragraph" w:customStyle="1" w:styleId="Abstand4pt">
    <w:name w:val="Abstand /4pt"/>
    <w:basedOn w:val="Abstand18pt"/>
    <w:pPr>
      <w:spacing w:before="60"/>
    </w:pPr>
    <w:rPr>
      <w:color w:val="00FF00"/>
    </w:rPr>
  </w:style>
  <w:style w:type="paragraph" w:customStyle="1" w:styleId="Tab-Struktur229pt">
    <w:name w:val="Tab-Struktur 2 2/9pt"/>
    <w:basedOn w:val="Tab-Struktur209pt"/>
    <w:pPr>
      <w:spacing w:before="40"/>
    </w:pPr>
  </w:style>
  <w:style w:type="paragraph" w:customStyle="1" w:styleId="Tabkrper29pt">
    <w:name w:val="Tabkörper 2/9pt"/>
    <w:basedOn w:val="Tabkrper09pt"/>
    <w:pPr>
      <w:spacing w:before="40"/>
    </w:pPr>
  </w:style>
  <w:style w:type="paragraph" w:customStyle="1" w:styleId="Struktur12">
    <w:name w:val="Struktur 1.2"/>
    <w:basedOn w:val="Struktur1"/>
    <w:pPr>
      <w:tabs>
        <w:tab w:val="left" w:pos="210"/>
      </w:tabs>
      <w:ind w:left="924" w:hanging="924"/>
    </w:pPr>
  </w:style>
  <w:style w:type="paragraph" w:customStyle="1" w:styleId="Struktur23">
    <w:name w:val="Struktur 2.3"/>
    <w:basedOn w:val="Struktur2"/>
    <w:pPr>
      <w:tabs>
        <w:tab w:val="left" w:pos="210"/>
        <w:tab w:val="left" w:pos="567"/>
      </w:tabs>
      <w:ind w:left="1281" w:hanging="1281"/>
    </w:pPr>
  </w:style>
  <w:style w:type="paragraph" w:customStyle="1" w:styleId="Absatz-Struktur1">
    <w:name w:val="Absatz-Struktur 1"/>
    <w:pPr>
      <w:tabs>
        <w:tab w:val="left" w:pos="210"/>
      </w:tabs>
      <w:spacing w:before="80" w:line="200" w:lineRule="exact"/>
      <w:ind w:left="567" w:hanging="567"/>
      <w:jc w:val="both"/>
    </w:pPr>
    <w:rPr>
      <w:sz w:val="18"/>
      <w:lang w:eastAsia="de-DE"/>
    </w:rPr>
  </w:style>
  <w:style w:type="paragraph" w:customStyle="1" w:styleId="Tabkrper49pt-kurs">
    <w:name w:val="Tabkörper 4/9pt-kurs"/>
    <w:basedOn w:val="Tabkrper49pt"/>
    <w:rPr>
      <w:i/>
    </w:rPr>
  </w:style>
  <w:style w:type="paragraph" w:customStyle="1" w:styleId="TabkrperR49pt">
    <w:name w:val="Tabkörper R/4/9pt"/>
    <w:basedOn w:val="Tabkrper49pt"/>
    <w:pPr>
      <w:jc w:val="right"/>
    </w:pPr>
  </w:style>
  <w:style w:type="paragraph" w:customStyle="1" w:styleId="Absatz09pt">
    <w:name w:val="Absatz 0/9pt"/>
    <w:basedOn w:val="Absatz"/>
    <w:pPr>
      <w:spacing w:before="0"/>
    </w:pPr>
  </w:style>
  <w:style w:type="paragraph" w:customStyle="1" w:styleId="Absatz08pt">
    <w:name w:val="Absatz 0/8pt"/>
    <w:basedOn w:val="Absatz8pt"/>
    <w:pPr>
      <w:spacing w:before="0"/>
    </w:pPr>
  </w:style>
  <w:style w:type="paragraph" w:customStyle="1" w:styleId="Absatzkurs">
    <w:name w:val="Absatz kurs"/>
    <w:basedOn w:val="Absatz"/>
    <w:rPr>
      <w:i/>
    </w:rPr>
  </w:style>
  <w:style w:type="paragraph" w:customStyle="1" w:styleId="Tab-Struktur149pt">
    <w:name w:val="Tab-Struktur 1 4/9pt"/>
    <w:basedOn w:val="Tab-Struktur109pt"/>
    <w:pPr>
      <w:spacing w:before="80"/>
    </w:pPr>
  </w:style>
  <w:style w:type="paragraph" w:customStyle="1" w:styleId="Tabkrper49pt-fett">
    <w:name w:val="Tabkörper 4/9pt-fett"/>
    <w:basedOn w:val="Tabkrper49pt"/>
    <w:rPr>
      <w:b/>
    </w:rPr>
  </w:style>
  <w:style w:type="paragraph" w:customStyle="1" w:styleId="Tabkrper38pt-fett">
    <w:name w:val="Tabkörper 3/8pt-fett"/>
    <w:basedOn w:val="Tabkrper38pt"/>
    <w:rPr>
      <w:b/>
    </w:rPr>
  </w:style>
  <w:style w:type="paragraph" w:customStyle="1" w:styleId="TabkrperR29pt">
    <w:name w:val="Tabkörper R/2/9pt"/>
    <w:basedOn w:val="Tabkrper29pt"/>
    <w:pPr>
      <w:jc w:val="right"/>
    </w:pPr>
  </w:style>
  <w:style w:type="paragraph" w:styleId="Verzeichnis1">
    <w:name w:val="toc 1"/>
    <w:next w:val="Absatz"/>
    <w:pPr>
      <w:keepNext/>
      <w:keepLines/>
      <w:tabs>
        <w:tab w:val="right" w:pos="6124"/>
      </w:tabs>
      <w:suppressAutoHyphens/>
      <w:spacing w:before="160"/>
      <w:ind w:right="879"/>
    </w:pPr>
    <w:rPr>
      <w:b/>
      <w:sz w:val="22"/>
      <w:szCs w:val="22"/>
      <w:lang w:eastAsia="de-DE"/>
    </w:rPr>
  </w:style>
  <w:style w:type="paragraph" w:styleId="Verzeichnis2">
    <w:name w:val="toc 2"/>
    <w:basedOn w:val="Verzeichnis1"/>
    <w:next w:val="Absatz"/>
    <w:pPr>
      <w:spacing w:before="120"/>
      <w:ind w:left="142"/>
    </w:pPr>
  </w:style>
  <w:style w:type="paragraph" w:styleId="Verzeichnis3">
    <w:name w:val="toc 3"/>
    <w:basedOn w:val="Verzeichnis2"/>
    <w:next w:val="Absatz"/>
    <w:pPr>
      <w:spacing w:before="100"/>
      <w:ind w:left="284"/>
    </w:pPr>
    <w:rPr>
      <w:bCs/>
      <w:sz w:val="20"/>
    </w:rPr>
  </w:style>
  <w:style w:type="paragraph" w:styleId="Verzeichnis4">
    <w:name w:val="toc 4"/>
    <w:basedOn w:val="Verzeichnis3"/>
    <w:next w:val="Absatz"/>
    <w:pPr>
      <w:spacing w:before="80"/>
      <w:ind w:left="425"/>
    </w:pPr>
    <w:rPr>
      <w:bCs w:val="0"/>
    </w:rPr>
  </w:style>
  <w:style w:type="paragraph" w:styleId="Verzeichnis5">
    <w:name w:val="toc 5"/>
    <w:basedOn w:val="Verzeichnis4"/>
    <w:next w:val="Absatz"/>
    <w:pPr>
      <w:keepNext w:val="0"/>
      <w:keepLines w:val="0"/>
      <w:tabs>
        <w:tab w:val="right" w:leader="dot" w:pos="6124"/>
      </w:tabs>
      <w:spacing w:before="60"/>
      <w:ind w:left="567"/>
    </w:pPr>
    <w:rPr>
      <w:b w:val="0"/>
      <w:bCs/>
      <w:szCs w:val="20"/>
    </w:rPr>
  </w:style>
  <w:style w:type="paragraph" w:styleId="Verzeichnis6">
    <w:name w:val="toc 6"/>
    <w:basedOn w:val="Verzeichnis5"/>
    <w:next w:val="Absatz"/>
    <w:pPr>
      <w:spacing w:before="40"/>
      <w:ind w:left="709"/>
    </w:pPr>
    <w:rPr>
      <w:bCs w:val="0"/>
      <w:sz w:val="18"/>
    </w:rPr>
  </w:style>
  <w:style w:type="paragraph" w:styleId="Verzeichnis7">
    <w:name w:val="toc 7"/>
    <w:basedOn w:val="Verzeichnis6"/>
    <w:next w:val="Absatz"/>
    <w:pPr>
      <w:ind w:left="851"/>
    </w:pPr>
  </w:style>
  <w:style w:type="paragraph" w:styleId="Verzeichnis8">
    <w:name w:val="toc 8"/>
    <w:basedOn w:val="Verzeichnis7"/>
    <w:next w:val="Absatz"/>
    <w:pPr>
      <w:ind w:left="993"/>
    </w:pPr>
  </w:style>
  <w:style w:type="paragraph" w:styleId="Verzeichnis9">
    <w:name w:val="toc 9"/>
    <w:basedOn w:val="Verzeichnis8"/>
    <w:next w:val="Absatz"/>
  </w:style>
  <w:style w:type="paragraph" w:customStyle="1" w:styleId="Inhaltsverzeichnis">
    <w:name w:val="Inhaltsverzeichnis"/>
    <w:basedOn w:val="Standard"/>
    <w:pPr>
      <w:keepNext/>
      <w:pageBreakBefore/>
      <w:suppressAutoHyphens/>
      <w:spacing w:before="160" w:after="120" w:line="160" w:lineRule="exact"/>
      <w:jc w:val="left"/>
    </w:pPr>
    <w:rPr>
      <w:rFonts w:ascii="Times" w:hAnsi="Times"/>
      <w:b/>
      <w:color w:val="auto"/>
      <w:sz w:val="22"/>
    </w:rPr>
  </w:style>
  <w:style w:type="paragraph" w:customStyle="1" w:styleId="TitelAnh1">
    <w:name w:val="Titel Anh 1"/>
    <w:basedOn w:val="berschrift1"/>
    <w:pPr>
      <w:tabs>
        <w:tab w:val="left" w:pos="567"/>
      </w:tabs>
      <w:outlineLvl w:val="3"/>
    </w:pPr>
  </w:style>
  <w:style w:type="paragraph" w:customStyle="1" w:styleId="TitelAnh2">
    <w:name w:val="Titel Anh 2"/>
    <w:basedOn w:val="berschrift2"/>
    <w:pPr>
      <w:tabs>
        <w:tab w:val="left" w:pos="567"/>
      </w:tabs>
      <w:outlineLvl w:val="4"/>
    </w:pPr>
  </w:style>
  <w:style w:type="paragraph" w:customStyle="1" w:styleId="TitelAnh3">
    <w:name w:val="Titel Anh 3"/>
    <w:basedOn w:val="berschrift3"/>
    <w:pPr>
      <w:tabs>
        <w:tab w:val="left" w:pos="567"/>
      </w:tabs>
      <w:outlineLvl w:val="5"/>
    </w:pPr>
  </w:style>
  <w:style w:type="paragraph" w:customStyle="1" w:styleId="TitelAnh4">
    <w:name w:val="Titel Anh 4"/>
    <w:basedOn w:val="berschrift4"/>
    <w:pPr>
      <w:tabs>
        <w:tab w:val="left" w:pos="567"/>
      </w:tabs>
      <w:outlineLvl w:val="6"/>
    </w:pPr>
  </w:style>
  <w:style w:type="paragraph" w:customStyle="1" w:styleId="Error">
    <w:name w:val="Error"/>
    <w:rPr>
      <w:rFonts w:ascii="Arial" w:hAnsi="Arial"/>
      <w:i/>
      <w:color w:val="FF0000"/>
      <w:lang w:eastAsia="de-DE"/>
    </w:rPr>
  </w:style>
  <w:style w:type="paragraph" w:customStyle="1" w:styleId="Verzeichnis5Artikel">
    <w:name w:val="Verzeichnis 5 Artikel"/>
    <w:basedOn w:val="Verzeichnis5"/>
  </w:style>
  <w:style w:type="paragraph" w:customStyle="1" w:styleId="Verzeichnis6Artikel">
    <w:name w:val="Verzeichnis 6 Artikel"/>
    <w:basedOn w:val="Verzeichnis6"/>
    <w:rPr>
      <w:szCs w:val="18"/>
    </w:rPr>
  </w:style>
  <w:style w:type="paragraph" w:customStyle="1" w:styleId="Verzeichnis7Artikel">
    <w:name w:val="Verzeichnis 7 Artikel"/>
    <w:basedOn w:val="Verzeichnis7"/>
    <w:rPr>
      <w:szCs w:val="18"/>
    </w:rPr>
  </w:style>
  <w:style w:type="paragraph" w:customStyle="1" w:styleId="Verzeichnis8Artikel">
    <w:name w:val="Verzeichnis 8 Artikel"/>
    <w:basedOn w:val="Verzeichnis8"/>
    <w:rPr>
      <w:szCs w:val="18"/>
    </w:rPr>
  </w:style>
  <w:style w:type="character" w:customStyle="1" w:styleId="ErrorZ">
    <w:name w:val="ErrorZ"/>
    <w:rPr>
      <w:rFonts w:ascii="Arial" w:hAnsi="Arial"/>
      <w:i/>
      <w:color w:val="FF0000"/>
    </w:rPr>
  </w:style>
  <w:style w:type="paragraph" w:customStyle="1" w:styleId="UnterschriftenFI1">
    <w:name w:val="UnterschriftenFI 1"/>
    <w:basedOn w:val="Unterschriften1"/>
    <w:pPr>
      <w:tabs>
        <w:tab w:val="clear" w:pos="2807"/>
        <w:tab w:val="left" w:pos="1701"/>
      </w:tabs>
    </w:pPr>
  </w:style>
  <w:style w:type="paragraph" w:customStyle="1" w:styleId="UnterschriftenFI">
    <w:name w:val="UnterschriftenFI"/>
    <w:basedOn w:val="Unterschriften"/>
    <w:pPr>
      <w:tabs>
        <w:tab w:val="clear" w:pos="2807"/>
        <w:tab w:val="left" w:pos="1701"/>
      </w:tabs>
    </w:pPr>
  </w:style>
  <w:style w:type="character" w:customStyle="1" w:styleId="FunotentextZchn">
    <w:name w:val="Fußnotentext Zchn"/>
    <w:link w:val="Funotentext"/>
    <w:rPr>
      <w:sz w:val="16"/>
      <w:lang w:eastAsia="de-DE"/>
    </w:rPr>
  </w:style>
  <w:style w:type="paragraph" w:customStyle="1" w:styleId="Tabkrper383pt">
    <w:name w:val="Tabkörper 3/8/3pt"/>
    <w:basedOn w:val="Tabkrper38pt"/>
    <w:qFormat/>
    <w:pPr>
      <w:tabs>
        <w:tab w:val="left" w:pos="2892"/>
      </w:tabs>
      <w:spacing w:after="60"/>
    </w:pPr>
  </w:style>
  <w:style w:type="paragraph" w:customStyle="1" w:styleId="Tabkrper383pt-fett">
    <w:name w:val="Tabkörper 3/8/3pt-fett"/>
    <w:basedOn w:val="Tabkrper38pt-fett"/>
    <w:qFormat/>
    <w:pPr>
      <w:spacing w:after="60"/>
    </w:pPr>
  </w:style>
  <w:style w:type="paragraph" w:customStyle="1" w:styleId="Tabkrper383pt-kurs">
    <w:name w:val="Tabkörper 3/8/3pt-kurs"/>
    <w:basedOn w:val="Tabkrper38pt-kurs"/>
    <w:qFormat/>
    <w:pPr>
      <w:spacing w:after="60"/>
    </w:pPr>
  </w:style>
  <w:style w:type="paragraph" w:customStyle="1" w:styleId="TabkrperR383pt">
    <w:name w:val="Tabkörper R/3/8/3pt"/>
    <w:basedOn w:val="TabkrperR38pt"/>
    <w:qFormat/>
    <w:pPr>
      <w:spacing w:after="60"/>
    </w:pPr>
  </w:style>
  <w:style w:type="paragraph" w:customStyle="1" w:styleId="Tab-Struktur1383pt">
    <w:name w:val="Tab-Struktur 1 3/8/3pt"/>
    <w:basedOn w:val="Tab-Struktur138pt"/>
    <w:qFormat/>
    <w:pPr>
      <w:spacing w:after="60"/>
    </w:pPr>
  </w:style>
  <w:style w:type="paragraph" w:customStyle="1" w:styleId="Tab-Struktur2083pt">
    <w:name w:val="Tab-Struktur 2 0/8/3pt"/>
    <w:basedOn w:val="Tab-Struktur208pt"/>
    <w:qFormat/>
    <w:pPr>
      <w:spacing w:after="60"/>
    </w:pPr>
  </w:style>
  <w:style w:type="paragraph" w:customStyle="1" w:styleId="Tab-Struktur3083pt">
    <w:name w:val="Tab-Struktur 3 0/8/3pt"/>
    <w:basedOn w:val="Tab-Struktur308pt"/>
    <w:qFormat/>
    <w:pPr>
      <w:spacing w:after="60"/>
    </w:pPr>
  </w:style>
  <w:style w:type="paragraph" w:customStyle="1" w:styleId="Tab-Untertit83pt">
    <w:name w:val="Tab-Untertit /8/3pt"/>
    <w:basedOn w:val="Tab-Untertit8pt"/>
    <w:qFormat/>
    <w:pPr>
      <w:spacing w:after="60"/>
    </w:pPr>
  </w:style>
  <w:style w:type="paragraph" w:customStyle="1" w:styleId="Tab-Utit83pt-kurs">
    <w:name w:val="Tab-Utit /8/3pt-kurs"/>
    <w:basedOn w:val="Tab-Utit8pt-kurs"/>
    <w:qFormat/>
    <w:pPr>
      <w:spacing w:after="60"/>
    </w:pPr>
  </w:style>
  <w:style w:type="paragraph" w:customStyle="1" w:styleId="Tabkrper083pt">
    <w:name w:val="Tabkörper 0/8/3pt"/>
    <w:basedOn w:val="Tabkrper08pt"/>
    <w:qFormat/>
    <w:pPr>
      <w:spacing w:after="60"/>
    </w:pPr>
  </w:style>
  <w:style w:type="paragraph" w:customStyle="1" w:styleId="Tab-Struktur1083pt">
    <w:name w:val="Tab-Struktur 1 0/8/3pt"/>
    <w:basedOn w:val="Tab-Struktur108pt"/>
    <w:qFormat/>
    <w:pPr>
      <w:spacing w:after="60"/>
    </w:pPr>
  </w:style>
  <w:style w:type="table" w:styleId="Tabellenraster">
    <w:name w:val="Table Grid"/>
    <w:basedOn w:val="NormaleTabelle"/>
    <w:pPr>
      <w:spacing w:line="200" w:lineRule="exact"/>
      <w:jc w:val="both"/>
    </w:pPr>
    <w:rPr>
      <w:sz w:val="18"/>
      <w:szCs w:val="18"/>
    </w:rPr>
    <w:tblPr>
      <w:tblCellMar>
        <w:left w:w="0" w:type="dxa"/>
        <w:right w:w="0" w:type="dxa"/>
      </w:tblCellMar>
    </w:tblPr>
    <w:trPr>
      <w:cantSplit/>
      <w:hidden w:val="0"/>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57063\AppData\Roaming\Microsoft\Templates\SR-Vor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45B9E-86F5-4A50-8751-A09BADE49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SR-Vorl.dotm</Template>
  <TotalTime>0</TotalTime>
  <Pages>6</Pages>
  <Words>981</Words>
  <Characters>6585</Characters>
  <Application>Microsoft Office Word</Application>
  <DocSecurity>0</DocSecurity>
  <Lines>137</Lines>
  <Paragraphs>66</Paragraphs>
  <ScaleCrop>false</ScaleCrop>
  <HeadingPairs>
    <vt:vector size="2" baseType="variant">
      <vt:variant>
        <vt:lpstr>Titel</vt:lpstr>
      </vt:variant>
      <vt:variant>
        <vt:i4>1</vt:i4>
      </vt:variant>
    </vt:vector>
  </HeadingPairs>
  <TitlesOfParts>
    <vt:vector size="1" baseType="lpstr">
      <vt:lpstr>946.231.18 </vt:lpstr>
    </vt:vector>
  </TitlesOfParts>
  <Manager>Bernhard Moll, lic. jur., Stv. Leiter KAV, Schweizerische Bundeskanzlei (BK)</Manager>
  <Company>Autor Makros und Vorlagen: Stoupa &amp; Partners AG im Auftrag von K A V</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946.231.18</dc:title>
  <dc:subject>Verordnung über Massnahmen gegenüber Sudan_x000d_</dc:subject>
  <dc:creator>KAV - Kompetenzzentrum Amtliche Veröffentlichungen, BK</dc:creator>
  <cp:keywords>Rechtstext Formatvorlage DfV</cp:keywords>
  <dc:description>Dokumentvorlage AS / SR - Diverse Makros</dc:description>
  <cp:lastModifiedBy>Gabi Daniel BK</cp:lastModifiedBy>
  <cp:revision>2</cp:revision>
  <cp:lastPrinted>2023-01-24T09:07:00Z</cp:lastPrinted>
  <dcterms:created xsi:type="dcterms:W3CDTF">2023-01-24T09:07:00Z</dcterms:created>
  <dcterms:modified xsi:type="dcterms:W3CDTF">2023-01-24T09:07:00Z</dcterms:modified>
  <cp:category>Systematische Sammlung des Bundesrechts (SR)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Check">
    <vt:i4>39777</vt:i4>
  </property>
  <property fmtid="{D5CDD505-2E9C-101B-9397-08002B2CF9AE}" pid="3" name="GrundCheck">
    <vt:i4>44067</vt:i4>
  </property>
  <property fmtid="{D5CDD505-2E9C-101B-9397-08002B2CF9AE}" pid="4" name="Tage90Check">
    <vt:i4>44067</vt:i4>
  </property>
  <property fmtid="{D5CDD505-2E9C-101B-9397-08002B2CF9AE}" pid="5" name="Tage06Check">
    <vt:i4>44067</vt:i4>
  </property>
  <property fmtid="{D5CDD505-2E9C-101B-9397-08002B2CF9AE}" pid="6" name="MesserliCheck">
    <vt:i4>44950</vt:i4>
  </property>
</Properties>
</file>