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rPr>
        <w:fldChar w:fldCharType="begin"/>
      </w:r>
      <w:r>
        <w:rPr>
          <w:vanish w:val="0"/>
          <w:color w:val="000000"/>
        </w:rPr>
        <w:instrText xml:space="preserve"> SET SR_Nummer "946.231.143.6" \* MERGEFORMAT </w:instrText>
      </w:r>
      <w:r>
        <w:rPr>
          <w:vanish w:val="0"/>
          <w:color w:val="000000"/>
        </w:rPr>
        <w:fldChar w:fldCharType="separate"/>
      </w:r>
      <w:bookmarkStart w:id="0" w:name="SR_Nummer"/>
      <w:r>
        <w:rPr>
          <w:noProof/>
          <w:vanish w:val="0"/>
          <w:color w:val="000000"/>
        </w:rPr>
        <w:t>946.231.143.6</w:t>
      </w:r>
      <w:bookmarkEnd w:id="0"/>
      <w:r>
        <w:rPr>
          <w:vanish w:val="0"/>
          <w:color w:val="000000"/>
        </w:rPr>
        <w:fldChar w:fldCharType="end"/>
      </w:r>
      <w:r>
        <w:rPr>
          <w:vanish w:val="0"/>
          <w:color w:val="000000"/>
        </w:rPr>
        <w:fldChar w:fldCharType="begin"/>
      </w:r>
      <w:r>
        <w:rPr>
          <w:vanish w:val="0"/>
          <w:color w:val="000000"/>
        </w:rPr>
        <w:instrText xml:space="preserve"> SET Standd " (Stand am 11. Mai 2023)" </w:instrText>
      </w:r>
      <w:r>
        <w:rPr>
          <w:vanish w:val="0"/>
          <w:color w:val="000000"/>
        </w:rPr>
        <w:fldChar w:fldCharType="separate"/>
      </w:r>
      <w:bookmarkStart w:id="1" w:name="Standd"/>
      <w:r>
        <w:rPr>
          <w:noProof/>
          <w:vanish w:val="0"/>
          <w:color w:val="000000"/>
        </w:rPr>
        <w:t xml:space="preserve"> (Stand am 11. Mai 2023)</w:t>
      </w:r>
      <w:bookmarkEnd w:id="1"/>
      <w:r>
        <w:rPr>
          <w:vanish w:val="0"/>
          <w:color w:val="000000"/>
        </w:rPr>
        <w:fldChar w:fldCharType="end"/>
      </w:r>
    </w:p>
    <w:p>
      <w:pPr>
        <w:pStyle w:val="Zyan-Feld"/>
      </w:pPr>
      <w:r>
        <w:rPr>
          <w:rStyle w:val="Funotenzeichen"/>
          <w:noProof w:val="0"/>
        </w:rPr>
        <w:t>Nicht löschen bitte "</w:t>
      </w:r>
      <w:r>
        <w:rPr>
          <w:rStyle w:val="Funotenzeichen"/>
          <w:noProof w:val="0"/>
        </w:rPr>
        <w:footnoteReference w:customMarkFollows="1" w:id="1"/>
        <w:t> </w:t>
      </w:r>
      <w:r>
        <w:t>" !!</w:t>
      </w:r>
    </w:p>
    <w:p>
      <w:pPr>
        <w:pStyle w:val="Zyan-Feld"/>
      </w:pPr>
      <w:r>
        <w:t>Generated by SR-Vorl.Dot, Mittwoch, 5. November 2014, 07:21:58, Bratschi Alfred BK / Brabk</w:t>
      </w:r>
    </w:p>
    <w:p>
      <w:pPr>
        <w:pStyle w:val="SRNummer"/>
        <w:framePr w:wrap="around"/>
      </w:pPr>
      <w:r>
        <w:fldChar w:fldCharType="begin"/>
      </w:r>
      <w:r>
        <w:instrText xml:space="preserve">REF SR_Nummer \h \* MERGEFORMAT </w:instrText>
      </w:r>
      <w:r>
        <w:fldChar w:fldCharType="separate"/>
      </w:r>
      <w:r>
        <w:t>946.231.143.6</w:t>
      </w:r>
      <w:r>
        <w:fldChar w:fldCharType="end"/>
      </w:r>
      <w:r>
        <w:t xml:space="preserve"> </w:t>
      </w:r>
    </w:p>
    <w:p>
      <w:pPr>
        <w:pStyle w:val="ErlassTitel"/>
      </w:pPr>
      <w:r>
        <w:t xml:space="preserve">Verordnung </w:t>
      </w:r>
      <w:r>
        <w:br/>
        <w:t xml:space="preserve">über Massnahmen gegenüber der </w:t>
      </w:r>
      <w:r>
        <w:br/>
        <w:t>Islamischen Republik Iran</w:t>
      </w:r>
    </w:p>
    <w:p>
      <w:pPr>
        <w:pStyle w:val="Abstand18pt"/>
      </w:pPr>
    </w:p>
    <w:p>
      <w:pPr>
        <w:pStyle w:val="ErlassDatum"/>
      </w:pPr>
      <w:r>
        <w:t>vom 11. November 2015</w:t>
      </w:r>
      <w:r>
        <w:fldChar w:fldCharType="begin"/>
      </w:r>
      <w:r>
        <w:instrText xml:space="preserve"> REF Standd \h  \* MERGEFORMAT </w:instrText>
      </w:r>
      <w:r>
        <w:fldChar w:fldCharType="separate"/>
      </w:r>
      <w:r>
        <w:rPr>
          <w:color w:val="000000"/>
        </w:rPr>
        <w:t xml:space="preserve"> (Stand am 11. Mai 2023)</w:t>
      </w:r>
      <w:r>
        <w:fldChar w:fldCharType="end"/>
      </w:r>
    </w:p>
    <w:p>
      <w:pPr>
        <w:pStyle w:val="ErlassLinie"/>
      </w:pPr>
    </w:p>
    <w:p>
      <w:pPr>
        <w:pStyle w:val="Autor"/>
      </w:pPr>
      <w:r>
        <w:t>Der Schweizerische Bundesrat,</w:t>
      </w:r>
    </w:p>
    <w:p>
      <w:pPr>
        <w:pStyle w:val="Ingress"/>
      </w:pPr>
      <w:r>
        <w:t>gestützt auf Artikel 2 des Embargogesetzes vom 22. März 2002</w:t>
      </w:r>
      <w:r>
        <w:rPr>
          <w:rStyle w:val="Funotenzeichen"/>
          <w:noProof w:val="0"/>
        </w:rPr>
        <w:footnoteReference w:id="2"/>
      </w:r>
      <w:r>
        <w:t xml:space="preserve"> (EmbG),</w:t>
      </w:r>
    </w:p>
    <w:p>
      <w:pPr>
        <w:pStyle w:val="Verb"/>
      </w:pPr>
      <w:r>
        <w:t>verordnet:</w:t>
      </w:r>
    </w:p>
    <w:p>
      <w:pPr>
        <w:pStyle w:val="berschrift1"/>
      </w:pPr>
      <w:r>
        <w:t>1. Abschnitt: Begriffe</w:t>
      </w:r>
    </w:p>
    <w:p>
      <w:pPr>
        <w:pStyle w:val="berschrift9"/>
      </w:pPr>
      <w:r>
        <w:rPr>
          <w:b/>
        </w:rPr>
        <w:t>Art. 1</w:t>
      </w:r>
    </w:p>
    <w:p>
      <w:pPr>
        <w:pStyle w:val="Absatz"/>
      </w:pPr>
      <w:r>
        <w:t>In dieser Verordnung bedeuten:</w:t>
      </w:r>
    </w:p>
    <w:p>
      <w:pPr>
        <w:pStyle w:val="Struktur1"/>
        <w:rPr>
          <w:szCs w:val="18"/>
        </w:rPr>
      </w:pPr>
      <w:r>
        <w:t>a.</w:t>
      </w:r>
      <w:r>
        <w:rPr>
          <w:rStyle w:val="Funotenzeichen"/>
          <w:noProof w:val="0"/>
        </w:rPr>
        <w:footnoteReference w:id="3"/>
      </w:r>
      <w:r>
        <w:tab/>
      </w:r>
      <w:r>
        <w:rPr>
          <w:i/>
        </w:rPr>
        <w:t xml:space="preserve">Gelder: </w:t>
      </w:r>
      <w:r>
        <w:t xml:space="preserve">finanzielle Vermögenswerte, einschliesslich Bargeld, Schecks, </w:t>
      </w:r>
      <w:r>
        <w:rPr>
          <w:szCs w:val="18"/>
        </w:rPr>
        <w:t xml:space="preserve">Geldforderungen, Wechsel, Geldanweisungen oder anderer Zahlungsmittel, </w:t>
      </w:r>
      <w:r>
        <w:rPr>
          <w:spacing w:val="-4"/>
        </w:rPr>
        <w:t>Guthaben, Schulden und Schuldverpflichtungen, Wertpapieren und Schuldtiteln</w:t>
      </w:r>
      <w:r>
        <w:t xml:space="preserve">, </w:t>
      </w:r>
      <w:r>
        <w:rPr>
          <w:spacing w:val="-2"/>
        </w:rPr>
        <w:t>Wertpapierzertifikaten, Obligationen, Schuldscheinen, Optionsscheinen</w:t>
      </w:r>
      <w:r>
        <w:t xml:space="preserve">, </w:t>
      </w:r>
      <w:r>
        <w:rPr>
          <w:szCs w:val="18"/>
        </w:rPr>
        <w:t xml:space="preserve">Pfandbriefen, Derivaten; Zinserträge, Dividenden oder andere Einkünfte </w:t>
      </w:r>
      <w:r>
        <w:rPr>
          <w:szCs w:val="18"/>
        </w:rPr>
        <w:br/>
        <w:t>oder Wertzuwächse aus Vermögenswerten; Kredite, Rechte auf Verrechnung, Bürgschaften, Vertragserfüllungsgarantien oder andere finanzielle Zusagen; Akkreditive, Konnossemente, Sicherungsübereignungen, Dokumente zur Verbriefung von Anteilen an Fondsvermögen oder anderen Finanzressourcen und jedes andere Finanzierungsinstrument für Exporte;</w:t>
      </w:r>
    </w:p>
    <w:p>
      <w:pPr>
        <w:pStyle w:val="Struktur1"/>
        <w:rPr>
          <w:szCs w:val="18"/>
        </w:rPr>
      </w:pPr>
      <w:r>
        <w:t>b.</w:t>
      </w:r>
      <w:r>
        <w:rPr>
          <w:i/>
        </w:rPr>
        <w:tab/>
        <w:t>Sperrung von Geldern</w:t>
      </w:r>
      <w:r>
        <w:t>:</w:t>
      </w:r>
      <w:r>
        <w:rPr>
          <w:i/>
        </w:rPr>
        <w:t xml:space="preserve"> </w:t>
      </w:r>
      <w:r>
        <w:t>die Verhinderung jeder Handlung, welche die Verwaltung oder die Nutzung von Geldern ermöglicht, mit Ausnahme von normalen Verwaltungshandlungen von Finanzinstituten;</w:t>
      </w:r>
    </w:p>
    <w:p>
      <w:pPr>
        <w:pStyle w:val="Struktur1"/>
      </w:pPr>
      <w:r>
        <w:t>c.</w:t>
      </w:r>
      <w:r>
        <w:tab/>
      </w:r>
      <w:r>
        <w:rPr>
          <w:i/>
        </w:rPr>
        <w:t>iranische Person oder Organisation</w:t>
      </w:r>
      <w:r>
        <w:t>:</w:t>
      </w:r>
    </w:p>
    <w:p>
      <w:pPr>
        <w:pStyle w:val="Struktur2"/>
      </w:pPr>
      <w:r>
        <w:t>1.</w:t>
      </w:r>
      <w:r>
        <w:tab/>
        <w:t>der iranische Staat sowie jede Behörde dieses Staates,</w:t>
      </w:r>
    </w:p>
    <w:p>
      <w:pPr>
        <w:pStyle w:val="Struktur2"/>
      </w:pPr>
      <w:r>
        <w:t>2.</w:t>
      </w:r>
      <w:r>
        <w:tab/>
        <w:t>jede natürliche Person mit Aufenthaltsort oder Wohnsitz im Iran, ausgenommen diplomatisches Personal der Schweiz und von Drittstaaten, das in offizieller Funktion im Iran tätig ist,</w:t>
      </w:r>
    </w:p>
    <w:p>
      <w:pPr>
        <w:pStyle w:val="Struktur2"/>
      </w:pPr>
      <w:r>
        <w:t>3.</w:t>
      </w:r>
      <w:r>
        <w:tab/>
        <w:t>jede juristische Person oder Organisation mit Sitz im Iran,</w:t>
      </w:r>
    </w:p>
    <w:p>
      <w:pPr>
        <w:pStyle w:val="Struktur2"/>
      </w:pPr>
      <w:r>
        <w:t>4.</w:t>
      </w:r>
      <w:r>
        <w:tab/>
        <w:t>jede juristische Person oder Organisation innerhalb oder ausserhalb des Iran, die sich im Eigentum oder unter der direkten oder indirekten Kontrolle einer oder mehrerer der vorgenannten Personen oder Organi</w:t>
      </w:r>
      <w:r>
        <w:softHyphen/>
        <w:t>sationen befindet;</w:t>
      </w:r>
    </w:p>
    <w:p>
      <w:pPr>
        <w:pStyle w:val="Struktur1"/>
      </w:pPr>
      <w:r>
        <w:lastRenderedPageBreak/>
        <w:t>d.</w:t>
      </w:r>
      <w:r>
        <w:tab/>
      </w:r>
      <w:r>
        <w:rPr>
          <w:i/>
        </w:rPr>
        <w:t>wirtschaftliche Ressourcen</w:t>
      </w:r>
      <w:r>
        <w:t>:</w:t>
      </w:r>
      <w:r>
        <w:rPr>
          <w:i/>
        </w:rPr>
        <w:t xml:space="preserve"> </w:t>
      </w:r>
      <w:r>
        <w:t>Vermögenswerte jeder Art, unabhängig davon, ob sie materiell oder immateriell, beweglich oder unbeweglich sind, insbe</w:t>
      </w:r>
      <w:r>
        <w:softHyphen/>
        <w:t>sondere Immobilien und Luxusgüter, mit Ausnahme von Geldern nach Buchstabe a;</w:t>
      </w:r>
    </w:p>
    <w:p>
      <w:pPr>
        <w:pStyle w:val="Struktur1"/>
      </w:pPr>
      <w:r>
        <w:t>e.</w:t>
      </w:r>
      <w:r>
        <w:tab/>
      </w:r>
      <w:r>
        <w:rPr>
          <w:i/>
        </w:rPr>
        <w:t>Sperrung wirtschaftlicher Ressourcen</w:t>
      </w:r>
      <w:r>
        <w:t>:</w:t>
      </w:r>
      <w:r>
        <w:rPr>
          <w:i/>
        </w:rPr>
        <w:t xml:space="preserve"> </w:t>
      </w:r>
      <w:r>
        <w:t>die Verhinderung ihrer Verwendung zum Erwerb von Geldern, Waren oder Dienstleistungen, einschliesslich des Verkaufs, des Vermietens oder des Verpfändens solcher Ressourcen.</w:t>
      </w:r>
    </w:p>
    <w:p>
      <w:pPr>
        <w:pStyle w:val="Abstand18pt"/>
      </w:pPr>
    </w:p>
    <w:p>
      <w:pPr>
        <w:pStyle w:val="berschrift1"/>
        <w:rPr>
          <w:b w:val="0"/>
        </w:rPr>
      </w:pPr>
      <w:r>
        <w:t>2. Abschnitt: Beschränkungen des Handels</w:t>
      </w:r>
    </w:p>
    <w:p>
      <w:pPr>
        <w:pStyle w:val="berschrift9"/>
        <w:rPr>
          <w:i/>
        </w:rPr>
      </w:pPr>
      <w:r>
        <w:rPr>
          <w:b/>
        </w:rPr>
        <w:t>Art. 2</w:t>
      </w:r>
      <w:r>
        <w:tab/>
        <w:t>Verbote betreffend Güter, Technologie und Software für Trägersysteme</w:t>
      </w:r>
    </w:p>
    <w:p>
      <w:pPr>
        <w:pStyle w:val="Absatz"/>
      </w:pPr>
      <w:r>
        <w:rPr>
          <w:position w:val="4"/>
          <w:sz w:val="13"/>
          <w:szCs w:val="13"/>
        </w:rPr>
        <w:t>1</w:t>
      </w:r>
      <w:r>
        <w:rPr>
          <w:szCs w:val="13"/>
        </w:rPr>
        <w:t> Der Verkauf, d</w:t>
      </w:r>
      <w:r>
        <w:t>ie Lieferung, die Ausfuhr und die Durchfuhr von Gütern, Technologie und Software für Trägersysteme an iranische Personen oder Organisationen oder zur Verwendung im Iran sind verboten. Die betreffenden Güter sowie die betreffende Technologie und Software sind in Anhang 1 aufgeführt.</w:t>
      </w:r>
    </w:p>
    <w:p>
      <w:pPr>
        <w:pStyle w:val="Absatz"/>
      </w:pPr>
      <w:r>
        <w:rPr>
          <w:position w:val="4"/>
          <w:sz w:val="13"/>
        </w:rPr>
        <w:t>2</w:t>
      </w:r>
      <w:r>
        <w:t> Dienstleistungen jeder Art, einschliesslich Finanzdienstleistungen, Vermittlungs</w:t>
      </w:r>
      <w:r>
        <w:softHyphen/>
        <w:t>diensten und technischer Beratung, der Gewährung von Finanzmitteln sowie Inves</w:t>
      </w:r>
      <w:r>
        <w:softHyphen/>
        <w:t>titionen, Beteiligungen und Joint Ventures, im Zusammenhang mit dem Verkauf, der Lieferung, der Ausfuhr, der Durchfuhr, der Bereitstellung, der Instandhaltung, der Herstellung oder der Verwendung von Gütern, Technologie und Software nach Anhang 1 sind verboten.</w:t>
      </w:r>
    </w:p>
    <w:p>
      <w:pPr>
        <w:pStyle w:val="Absatz"/>
        <w:rPr>
          <w:color w:val="000000"/>
        </w:rPr>
      </w:pPr>
      <w:r>
        <w:rPr>
          <w:color w:val="000000"/>
          <w:position w:val="4"/>
          <w:sz w:val="13"/>
        </w:rPr>
        <w:t>3</w:t>
      </w:r>
      <w:r>
        <w:rPr>
          <w:color w:val="000000"/>
        </w:rPr>
        <w:t> Die Verbote nach den Absätzen 1 und 2 gelten auch für andere Güter, die ganz oder teilweise für die Entwicklung von Trägersystemen für Kernwaffen im Iran bestimmt sein könnten.</w:t>
      </w:r>
    </w:p>
    <w:p>
      <w:pPr>
        <w:pStyle w:val="Absatz"/>
      </w:pPr>
      <w:r>
        <w:rPr>
          <w:position w:val="4"/>
          <w:sz w:val="13"/>
        </w:rPr>
        <w:t>4</w:t>
      </w:r>
      <w:r>
        <w:t> Die Beschaffung, die Einfuhr, die Durchfuhr, die Beförderung und die Vermittlung von Gütern, Technologie und Software nach Anhang 1 aus dem Iran sind verboten.</w:t>
      </w:r>
    </w:p>
    <w:p>
      <w:pPr>
        <w:pStyle w:val="berschrift9"/>
      </w:pPr>
      <w:r>
        <w:rPr>
          <w:b/>
        </w:rPr>
        <w:t>Art. 3</w:t>
      </w:r>
      <w:r>
        <w:tab/>
        <w:t>Bewilligungspflicht betreffend Nukleargüter und doppelt verwendbare Güter</w:t>
      </w:r>
    </w:p>
    <w:p>
      <w:pPr>
        <w:pStyle w:val="Absatz"/>
        <w:rPr>
          <w:szCs w:val="13"/>
        </w:rPr>
      </w:pPr>
      <w:r>
        <w:rPr>
          <w:position w:val="4"/>
          <w:sz w:val="13"/>
          <w:szCs w:val="13"/>
        </w:rPr>
        <w:t>1</w:t>
      </w:r>
      <w:r>
        <w:rPr>
          <w:szCs w:val="13"/>
        </w:rPr>
        <w:t> Bewilligungspflichtig sind:</w:t>
      </w:r>
    </w:p>
    <w:p>
      <w:pPr>
        <w:pStyle w:val="Struktur1"/>
      </w:pPr>
      <w:r>
        <w:rPr>
          <w:szCs w:val="13"/>
        </w:rPr>
        <w:t>a.</w:t>
      </w:r>
      <w:r>
        <w:rPr>
          <w:szCs w:val="13"/>
        </w:rPr>
        <w:tab/>
        <w:t>der Verkauf, d</w:t>
      </w:r>
      <w:r>
        <w:t>ie Lieferung, die Ausfuhr und die Durchfuhr von Nuklear</w:t>
      </w:r>
      <w:r>
        <w:softHyphen/>
        <w:t>gütern, doppelt verwendbaren Gütern, Technologie und Software nach Anhang 2 an iranische Personen oder Organisationen oder zur Verwendung im Iran;</w:t>
      </w:r>
    </w:p>
    <w:p>
      <w:pPr>
        <w:pStyle w:val="Struktur1"/>
      </w:pPr>
      <w:r>
        <w:t>b.</w:t>
      </w:r>
      <w:r>
        <w:tab/>
        <w:t>Dienstleistungen jeder Art, einschliesslich Finanzdienstleistungen, Vermitt</w:t>
      </w:r>
      <w:r>
        <w:softHyphen/>
        <w:t>lungsdiensten und technischer Beratung, der Gewährung von Finanzmitteln sowie Investitionen, Beteiligungen und Joint Ventures, im Zusammenhang mit dem Verkauf, der Lieferung, der Ausfuhr, der Durchfuhr, der Bereitstellung, der Instandhaltung, der Herstellung oder der Verwendung von Gütern, Technologie und Software nach Anhang 2;</w:t>
      </w:r>
    </w:p>
    <w:p>
      <w:pPr>
        <w:pStyle w:val="Struktur1"/>
      </w:pPr>
      <w:r>
        <w:lastRenderedPageBreak/>
        <w:t>c.</w:t>
      </w:r>
      <w:r>
        <w:tab/>
        <w:t>die Beschaffung, die Einfuhr, die Durchfuhr, die Beförderung und die Vermittlung von Nukleargütern, doppelt verwendbaren Gütern, Technologie und Software nach Anhang 2 aus dem Iran.</w:t>
      </w:r>
    </w:p>
    <w:p>
      <w:pPr>
        <w:pStyle w:val="Absatz"/>
      </w:pPr>
      <w:r>
        <w:rPr>
          <w:position w:val="4"/>
          <w:sz w:val="13"/>
        </w:rPr>
        <w:t>2</w:t>
      </w:r>
      <w:r>
        <w:t> Absatz 1 gilt auch für andere Güter, die ganz oder teilweise für die Aktivitäten des Iran im Bereich der Anreicherung von Uran, der Wiederaufarbeitung von Kernbrennstoffen und des Schweren Wassers bestimmt sein könnten, die nicht mit dem Gemeinsamen umfassenden Aktionsplan vom 14. Juli 2015</w:t>
      </w:r>
      <w:r>
        <w:rPr>
          <w:rStyle w:val="Funotenzeichen"/>
          <w:noProof w:val="0"/>
        </w:rPr>
        <w:footnoteReference w:id="4"/>
      </w:r>
      <w:r>
        <w:t xml:space="preserve"> zur iranischen Atomfrage und zur Aufhebung der internationalen Sanktionen gegenüber dem Iran (Joint Comprehensive Plan of Action, JCPOA) vereinbar sind.</w:t>
      </w:r>
    </w:p>
    <w:p>
      <w:pPr>
        <w:pStyle w:val="Absatz"/>
      </w:pPr>
      <w:r>
        <w:rPr>
          <w:position w:val="4"/>
          <w:sz w:val="13"/>
        </w:rPr>
        <w:t>3</w:t>
      </w:r>
      <w:r>
        <w:t> Das Staatssekretariat für Wirtschaft (SECO) erteilt die Bewilligung für Güter nach Absatz 2 sowie nach Anhang 2 Teil 1 und damit zusammenhängende Dienstleistungen im Verfahren nach Artikel 16 der Güterkontrollverordnung vom 3. Juni 2016</w:t>
      </w:r>
      <w:r>
        <w:rPr>
          <w:rStyle w:val="Funotenzeichen"/>
          <w:noProof w:val="0"/>
        </w:rPr>
        <w:footnoteReference w:id="5"/>
      </w:r>
      <w:r>
        <w:t xml:space="preserve"> (GKV)</w:t>
      </w:r>
      <w:r>
        <w:rPr>
          <w:rStyle w:val="Funotenzeichen"/>
          <w:noProof w:val="0"/>
        </w:rPr>
        <w:footnoteReference w:id="6"/>
      </w:r>
      <w:r>
        <w:t>, wenn:</w:t>
      </w:r>
    </w:p>
    <w:p>
      <w:pPr>
        <w:pStyle w:val="Struktur1"/>
      </w:pPr>
      <w:r>
        <w:t>a.</w:t>
      </w:r>
      <w:r>
        <w:tab/>
        <w:t>die Anforderungen der Richtlinien vom 13. November 2013 beziehungsweise vom Juni 2013 der Gruppe der Nuklearlieferländer (NSG)</w:t>
      </w:r>
      <w:r>
        <w:rPr>
          <w:rStyle w:val="Funotenzeichen"/>
          <w:noProof w:val="0"/>
        </w:rPr>
        <w:footnoteReference w:id="7"/>
      </w:r>
      <w:r>
        <w:t xml:space="preserve"> erfüllt sind;</w:t>
      </w:r>
    </w:p>
    <w:p>
      <w:pPr>
        <w:pStyle w:val="Struktur1"/>
      </w:pPr>
      <w:r>
        <w:t>b.</w:t>
      </w:r>
      <w:r>
        <w:tab/>
        <w:t>der Iran die Rechte zur Prüfung der Endverwendung und des Ortes der Endverwendung jedes gelieferten Gutes erteilt hat und die Rechte wirksam wahrgenommen werden können;</w:t>
      </w:r>
    </w:p>
    <w:p>
      <w:pPr>
        <w:pStyle w:val="Struktur1"/>
      </w:pPr>
      <w:r>
        <w:t>c.</w:t>
      </w:r>
      <w:r>
        <w:tab/>
        <w:t>die Tätigkeiten mit dem JCPOA vereinbar sind.</w:t>
      </w:r>
      <w:r>
        <w:rPr>
          <w:rStyle w:val="Funotenzeichen"/>
          <w:noProof w:val="0"/>
        </w:rPr>
        <w:footnoteReference w:id="8"/>
      </w:r>
    </w:p>
    <w:p>
      <w:pPr>
        <w:pStyle w:val="Absatz"/>
      </w:pPr>
      <w:r>
        <w:rPr>
          <w:position w:val="4"/>
          <w:sz w:val="13"/>
        </w:rPr>
        <w:t>3bis</w:t>
      </w:r>
      <w:r>
        <w:t> Das SECO erteilt die Bewilligung für Güter nach Anhang 2 Teil 2 und damit zusammenhängende Dienstleistungen, wenn kein Grund zur Annahme besteht, dass die Tätigkeit ganz oder teilweise für die Aktivitäten des Iran im Bereich der Anreicherung von Uran, der Wiederaufbereitung von Kernbrennstoffen und des Schweren Wassers oder anderen Aktivitäten im Nuklearbereich beitragen könnte, die nicht mit dem JCPOA vereinbar sind.</w:t>
      </w:r>
      <w:r>
        <w:rPr>
          <w:rStyle w:val="Funotenzeichen"/>
          <w:noProof w:val="0"/>
        </w:rPr>
        <w:footnoteReference w:id="9"/>
      </w:r>
    </w:p>
    <w:p>
      <w:pPr>
        <w:pStyle w:val="Absatz"/>
      </w:pPr>
      <w:r>
        <w:rPr>
          <w:position w:val="4"/>
          <w:sz w:val="13"/>
        </w:rPr>
        <w:t>3ter</w:t>
      </w:r>
      <w:r>
        <w:t> Von der Bewilligungspflicht nach Absatz 1 Buchstabe b ausgenommen sind Dienstleistungen für Güter, für welche das SECO eine Bewilligung nach Absatz 3</w:t>
      </w:r>
      <w:r>
        <w:rPr>
          <w:position w:val="4"/>
          <w:sz w:val="13"/>
        </w:rPr>
        <w:t>bis</w:t>
      </w:r>
      <w:r>
        <w:t xml:space="preserve"> erteilt hat.</w:t>
      </w:r>
      <w:r>
        <w:rPr>
          <w:rStyle w:val="Funotenzeichen"/>
          <w:noProof w:val="0"/>
        </w:rPr>
        <w:footnoteReference w:id="10"/>
      </w:r>
    </w:p>
    <w:p>
      <w:pPr>
        <w:pStyle w:val="Abstand18pt"/>
      </w:pPr>
    </w:p>
    <w:p>
      <w:pPr>
        <w:pStyle w:val="Absatz"/>
      </w:pPr>
      <w:r>
        <w:rPr>
          <w:position w:val="4"/>
          <w:sz w:val="13"/>
        </w:rPr>
        <w:lastRenderedPageBreak/>
        <w:t>4</w:t>
      </w:r>
      <w:r>
        <w:t> Sofern dies aufgrund der Resolution 2231 (2015) des UNO-Sicherheitsrats vom 20. Juli 2015</w:t>
      </w:r>
      <w:r>
        <w:rPr>
          <w:rStyle w:val="Funotenzeichen"/>
          <w:noProof w:val="0"/>
        </w:rPr>
        <w:footnoteReference w:id="11"/>
      </w:r>
      <w:r>
        <w:t xml:space="preserve"> erforderlich ist, holt das SECO die Stellungnahme des UNO-Sicherheitsrats oder der Gemeinsamen Kommission nach dem JCPOA ein.</w:t>
      </w:r>
    </w:p>
    <w:p>
      <w:pPr>
        <w:pStyle w:val="Absatz"/>
      </w:pPr>
      <w:r>
        <w:rPr>
          <w:position w:val="4"/>
          <w:sz w:val="13"/>
        </w:rPr>
        <w:t>5</w:t>
      </w:r>
      <w:r>
        <w:t> Die Ausübung einer Tätigkeit nach Absatz 1 ist dem SECO innerhalb von fünf Arbeitstagen zu melden. Das SECO meldet die Ausübung dem UNO-Sicherheitsrat und der Internationalen Atomenergiebehörde nach Massgabe der Resolution 2231 (2015) des UNO-Sicherheitsrats.</w:t>
      </w:r>
    </w:p>
    <w:p>
      <w:pPr>
        <w:pStyle w:val="berschrift9"/>
        <w:rPr>
          <w:i/>
        </w:rPr>
      </w:pPr>
      <w:r>
        <w:rPr>
          <w:b/>
        </w:rPr>
        <w:t>Art. 4</w:t>
      </w:r>
      <w:r>
        <w:tab/>
        <w:t>Verbote betreffend Rüstungsgüter und Güter zur internen Repression</w:t>
      </w:r>
    </w:p>
    <w:p>
      <w:pPr>
        <w:pStyle w:val="Absatz"/>
      </w:pPr>
      <w:r>
        <w:rPr>
          <w:position w:val="4"/>
          <w:sz w:val="13"/>
        </w:rPr>
        <w:t>1</w:t>
      </w:r>
      <w:r>
        <w:t xml:space="preserve"> Der Verkauf, die Lieferung, die Ausfuhr und die Durchfuhr von Rüstungsgütern jeder Art, einschliesslich Waffen und Munition, Militärfahrzeugen und </w:t>
      </w:r>
      <w:r>
        <w:noBreakHyphen/>
        <w:t>ausrüstung, paramilitärischer Ausrüstung, sowie von Zubehör und Ersatzteilen dafür an iranische Personen oder Organisationen oder zur Verwendung im Iran sind verboten.</w:t>
      </w:r>
    </w:p>
    <w:p>
      <w:pPr>
        <w:pStyle w:val="Absatz"/>
      </w:pPr>
      <w:r>
        <w:rPr>
          <w:position w:val="4"/>
          <w:sz w:val="13"/>
        </w:rPr>
        <w:t>2</w:t>
      </w:r>
      <w:r>
        <w:t xml:space="preserve"> Der Verkauf, die Lieferung, die Ausfuhr und die Durchfuhr von Gütern, die zur internen Repression verwendet werden können und die zur Verwendung im Iran bestimmt sind, sind verboten. Die betreffenden Güter sind in Anhang 3 aufgeführt. </w:t>
      </w:r>
    </w:p>
    <w:p>
      <w:pPr>
        <w:pStyle w:val="Absatz"/>
      </w:pPr>
      <w:r>
        <w:rPr>
          <w:position w:val="4"/>
          <w:sz w:val="13"/>
        </w:rPr>
        <w:t>3</w:t>
      </w:r>
      <w:r>
        <w:t> Dienstleistungen jeder Art, einschliesslich Finanzdienstleistungen, Vermittlungs</w:t>
      </w:r>
      <w:r>
        <w:softHyphen/>
        <w:t>diensten und technischer Beratung, der Gewährung von Finanzmitteln sowie Inves</w:t>
      </w:r>
      <w:r>
        <w:softHyphen/>
        <w:t>titionen und Joint Ventures, im Zusammenhang mit dem Verkauf, der Lieferung, der Ausfuhr, der Durchfuhr, der Entwicklung, der Herstellung und der Verwendung von Rüstungsgütern und Gütern nach Anhang 3 sind verboten.</w:t>
      </w:r>
    </w:p>
    <w:p>
      <w:pPr>
        <w:pStyle w:val="Absatz"/>
      </w:pPr>
      <w:r>
        <w:rPr>
          <w:position w:val="4"/>
          <w:sz w:val="13"/>
        </w:rPr>
        <w:t>4</w:t>
      </w:r>
      <w:r>
        <w:t> Die Beschaffung, die Einfuhr, die Durchfuhr, die Beförderung und die Vermittlung von Rüstungsgütern und Gütern nach Anhang 3 aus dem Iran sind verboten.</w:t>
      </w:r>
    </w:p>
    <w:p>
      <w:pPr>
        <w:pStyle w:val="Absatz"/>
      </w:pPr>
      <w:r>
        <w:rPr>
          <w:position w:val="4"/>
          <w:sz w:val="13"/>
        </w:rPr>
        <w:t>5</w:t>
      </w:r>
      <w:r>
        <w:t> Von den Verboten nach den Absätzen 1</w:t>
      </w:r>
      <w:r>
        <w:rPr>
          <w:color w:val="000000"/>
        </w:rPr>
        <w:t>–</w:t>
      </w:r>
      <w:r>
        <w:t>4 ausgenommen sind gepanzerte Fahr</w:t>
      </w:r>
      <w:r>
        <w:softHyphen/>
        <w:t xml:space="preserve">zeuge zum Schutz des diplomatischen und konsularischen Personals der Schweiz im Iran sowie die </w:t>
      </w:r>
      <w:r>
        <w:rPr>
          <w:color w:val="000000"/>
        </w:rPr>
        <w:t>vorübergehende Ausfuhr von Schutzkleidung, einschliesslich kugel</w:t>
      </w:r>
      <w:r>
        <w:rPr>
          <w:color w:val="000000"/>
        </w:rPr>
        <w:softHyphen/>
        <w:t>sicherer Westen und Helme, zur persönlichen Verwendung durch das Personal der Vereinten Nationen, der Europäischen Union oder des Bundes, durch Medienver</w:t>
      </w:r>
      <w:r>
        <w:rPr>
          <w:color w:val="000000"/>
        </w:rPr>
        <w:softHyphen/>
        <w:t>treterinnen und -vertreter sowie humanitäres Personal.</w:t>
      </w:r>
    </w:p>
    <w:p>
      <w:pPr>
        <w:pStyle w:val="Absatz"/>
      </w:pPr>
      <w:r>
        <w:rPr>
          <w:color w:val="000000"/>
          <w:position w:val="4"/>
          <w:sz w:val="13"/>
        </w:rPr>
        <w:t>6</w:t>
      </w:r>
      <w:r>
        <w:rPr>
          <w:color w:val="000000"/>
        </w:rPr>
        <w:t xml:space="preserve"> Das SECO kann, nach Rücksprache mit den </w:t>
      </w:r>
      <w:r>
        <w:t>zuständigen Stellen des Eidgenös</w:t>
      </w:r>
      <w:r>
        <w:softHyphen/>
        <w:t xml:space="preserve">sischen Departements für auswärtige Angelegenheiten (EDA), Ausnahmen </w:t>
      </w:r>
      <w:r>
        <w:rPr>
          <w:color w:val="000000"/>
        </w:rPr>
        <w:t>von den Verboten nach den Absätzen </w:t>
      </w:r>
      <w:r>
        <w:t>1</w:t>
      </w:r>
      <w:r>
        <w:rPr>
          <w:color w:val="000000"/>
        </w:rPr>
        <w:t>–</w:t>
      </w:r>
      <w:r>
        <w:t>4</w:t>
      </w:r>
      <w:r>
        <w:rPr>
          <w:color w:val="000000"/>
        </w:rPr>
        <w:t xml:space="preserve"> bewilligen</w:t>
      </w:r>
      <w:r>
        <w:t xml:space="preserve"> für:</w:t>
      </w:r>
    </w:p>
    <w:p>
      <w:pPr>
        <w:pStyle w:val="Struktur1"/>
      </w:pPr>
      <w:r>
        <w:t>a.</w:t>
      </w:r>
      <w:r>
        <w:tab/>
        <w:t>nichtletales militärisches Gerät, das ausschliesslich für humanitäre Zwecke oder Schutzzwecke, für Programme der Vereinten Nationen, der Euro</w:t>
      </w:r>
      <w:r>
        <w:softHyphen/>
        <w:t>päischen Union oder der Schweiz zum Aufbau von Institutionen oder zur Krisenbewältigung bestimmt ist;</w:t>
      </w:r>
    </w:p>
    <w:p>
      <w:pPr>
        <w:pStyle w:val="Struktur1"/>
      </w:pPr>
      <w:r>
        <w:t>b.</w:t>
      </w:r>
      <w:r>
        <w:tab/>
        <w:t>Jagd- und Sportwaffen sowie Munition, Zubehör und Ersatzteile dafür.</w:t>
      </w:r>
    </w:p>
    <w:p>
      <w:pPr>
        <w:pStyle w:val="berschrift9"/>
      </w:pPr>
      <w:r>
        <w:rPr>
          <w:b/>
        </w:rPr>
        <w:lastRenderedPageBreak/>
        <w:t>Art. 5</w:t>
      </w:r>
      <w:r>
        <w:tab/>
        <w:t xml:space="preserve">Verbote betreffend Ausrüstung, Technologie und Software zu </w:t>
      </w:r>
      <w:r>
        <w:br/>
        <w:t>Überwachungszwecken</w:t>
      </w:r>
    </w:p>
    <w:p>
      <w:pPr>
        <w:pStyle w:val="Absatz"/>
      </w:pPr>
      <w:r>
        <w:rPr>
          <w:position w:val="4"/>
          <w:sz w:val="13"/>
          <w:szCs w:val="13"/>
        </w:rPr>
        <w:t>1</w:t>
      </w:r>
      <w:r>
        <w:t> Der Verkauf, die Lieferung, die Ausfuhr und die Durchfuhr von Ausrüstung, Technologie und Software nach Anhang 4, die für das Überwachen und Abhören des Internets und des Telefonverkehrs benützt werden können, an iranische Personen oder Organisationen oder zur Verwendung im Iran sind verboten.</w:t>
      </w:r>
    </w:p>
    <w:p>
      <w:pPr>
        <w:pStyle w:val="Absatz"/>
      </w:pPr>
      <w:r>
        <w:rPr>
          <w:position w:val="4"/>
          <w:sz w:val="13"/>
          <w:szCs w:val="13"/>
        </w:rPr>
        <w:t>2</w:t>
      </w:r>
      <w:r>
        <w:t> Die Erbringung von technischer Hilfe oder von Vermittlungsdiensten sowie die Gewährung von Finanzmitteln im Zusammenhang mit dem Verkauf, der Lieferung, der Ausfuhr, der Durchfuhr, der Bereitstellung, der Herstellung, der Wartung und der Verwendung von Gütern nach Absatz 1 sind verboten.</w:t>
      </w:r>
    </w:p>
    <w:p>
      <w:pPr>
        <w:pStyle w:val="Absatz"/>
      </w:pPr>
      <w:r>
        <w:rPr>
          <w:vertAlign w:val="superscript"/>
        </w:rPr>
        <w:t>3</w:t>
      </w:r>
      <w:r>
        <w:t> Es ist verboten, für die iranische Regierung, für öffentliche Einrichtungen, Unternehmen und Agenturen des Iran sowie für Personen oder Organisationen, die in deren Namen oder auf deren Anweisung handeln, Dienstleistungen zum Über</w:t>
      </w:r>
      <w:r>
        <w:softHyphen/>
        <w:t>wachen und Abhören des Internets und des Telefonverkehrs zu erbringen.</w:t>
      </w:r>
    </w:p>
    <w:p>
      <w:pPr>
        <w:pStyle w:val="Absatz"/>
      </w:pPr>
      <w:r>
        <w:rPr>
          <w:position w:val="4"/>
          <w:sz w:val="13"/>
        </w:rPr>
        <w:t>4</w:t>
      </w:r>
      <w:r>
        <w:t> Das SECO bewilligt Ausnahmen von den Verboten nach den Absätzen 1 und 2 im Verfahren nach Artikel 27</w:t>
      </w:r>
      <w:r>
        <w:rPr>
          <w:rStyle w:val="Funotenzeichen"/>
          <w:noProof w:val="0"/>
        </w:rPr>
        <w:footnoteReference w:id="12"/>
      </w:r>
      <w:r>
        <w:t xml:space="preserve"> GKV</w:t>
      </w:r>
      <w:r>
        <w:rPr>
          <w:rStyle w:val="Funotenzeichen"/>
          <w:noProof w:val="0"/>
        </w:rPr>
        <w:footnoteReference w:id="13"/>
      </w:r>
      <w:r>
        <w:t>, sofern sichergestellt ist, dass die betroffenen Güter und Dienstleistungen nicht zum Überwachen und Abhören des Internets und des Telefonverkehrs benützt werden.</w:t>
      </w:r>
    </w:p>
    <w:p>
      <w:pPr>
        <w:pStyle w:val="Abstand18pt"/>
      </w:pPr>
    </w:p>
    <w:p>
      <w:pPr>
        <w:pStyle w:val="berschrift1"/>
        <w:rPr>
          <w:szCs w:val="18"/>
        </w:rPr>
      </w:pPr>
      <w:r>
        <w:t>3. Abschnitt: Finanzierungs- und Beteiligungsbeschränkungen</w:t>
      </w:r>
    </w:p>
    <w:p>
      <w:pPr>
        <w:pStyle w:val="berschrift9"/>
      </w:pPr>
      <w:r>
        <w:rPr>
          <w:b/>
        </w:rPr>
        <w:t>Art. 6</w:t>
      </w:r>
      <w:r>
        <w:tab/>
        <w:t>Bewilligungspflicht für Beteiligungen</w:t>
      </w:r>
    </w:p>
    <w:p>
      <w:pPr>
        <w:pStyle w:val="Absatz"/>
      </w:pPr>
      <w:r>
        <w:rPr>
          <w:position w:val="4"/>
          <w:sz w:val="13"/>
        </w:rPr>
        <w:t>1</w:t>
      </w:r>
      <w:r>
        <w:t xml:space="preserve"> Unternehmen, die mit iranischen Personen oder Organisationen Vereinbarungen über den Erwerb von Beteiligungen oder die Gründung von Joint Ventures abschliessen möchten, benötigen dafür eine Bewilligung, falls sie: </w:t>
      </w:r>
    </w:p>
    <w:p>
      <w:pPr>
        <w:pStyle w:val="Struktur1"/>
      </w:pPr>
      <w:r>
        <w:t>a.</w:t>
      </w:r>
      <w:r>
        <w:tab/>
        <w:t>im Uranabbau tätig sind; oder</w:t>
      </w:r>
    </w:p>
    <w:p>
      <w:pPr>
        <w:pStyle w:val="Struktur1"/>
      </w:pPr>
      <w:r>
        <w:t>b.</w:t>
      </w:r>
      <w:r>
        <w:tab/>
        <w:t>folgende Güter, Technologien oder Software entwickeln oder herstellen:</w:t>
      </w:r>
    </w:p>
    <w:p>
      <w:pPr>
        <w:pStyle w:val="Struktur2"/>
      </w:pPr>
      <w:r>
        <w:t>1.</w:t>
      </w:r>
      <w:r>
        <w:tab/>
        <w:t>Kernmaterialien nach Artikel 1 der Kernenergieverordnung vom 10. Dezember 2004</w:t>
      </w:r>
      <w:r>
        <w:rPr>
          <w:rStyle w:val="Funotenzeichen"/>
          <w:noProof w:val="0"/>
        </w:rPr>
        <w:footnoteReference w:id="14"/>
      </w:r>
      <w:r>
        <w:t>,</w:t>
      </w:r>
    </w:p>
    <w:p>
      <w:pPr>
        <w:pStyle w:val="Struktur2"/>
      </w:pPr>
      <w:r>
        <w:t>2.</w:t>
      </w:r>
      <w:r>
        <w:tab/>
        <w:t>Güter, Technologie oder Software nach Anhang 2 Teil 1 GKV</w:t>
      </w:r>
      <w:r>
        <w:rPr>
          <w:rStyle w:val="Funotenzeichen"/>
          <w:noProof w:val="0"/>
        </w:rPr>
        <w:footnoteReference w:id="15"/>
      </w:r>
      <w:r>
        <w:t>,</w:t>
      </w:r>
    </w:p>
    <w:p>
      <w:pPr>
        <w:pStyle w:val="Struktur2"/>
      </w:pPr>
      <w:r>
        <w:t>3.</w:t>
      </w:r>
      <w:r>
        <w:tab/>
        <w:t>Güter, Technologie oder Software nach Anhang 2 Ziffer 2.</w:t>
      </w:r>
    </w:p>
    <w:p>
      <w:pPr>
        <w:pStyle w:val="Absatz"/>
      </w:pPr>
      <w:r>
        <w:rPr>
          <w:position w:val="4"/>
          <w:sz w:val="13"/>
        </w:rPr>
        <w:t>2</w:t>
      </w:r>
      <w:r>
        <w:t> Unternehmen nach Absatz 1 müssen für die Entgegennahme von Darlehen oder Krediten von iranischen Personen oder Organisationen eine Bewilligung einholen.</w:t>
      </w:r>
    </w:p>
    <w:p>
      <w:pPr>
        <w:pStyle w:val="Absatz"/>
      </w:pPr>
      <w:r>
        <w:rPr>
          <w:position w:val="4"/>
          <w:sz w:val="13"/>
        </w:rPr>
        <w:lastRenderedPageBreak/>
        <w:t>3</w:t>
      </w:r>
      <w:r>
        <w:t> Das SECO erteilt die Bewilligung sofern die Tätigkeit mit dem JCPOA</w:t>
      </w:r>
      <w:r>
        <w:rPr>
          <w:rStyle w:val="Funotenzeichen"/>
          <w:noProof w:val="0"/>
        </w:rPr>
        <w:footnoteReference w:id="16"/>
      </w:r>
      <w:r>
        <w:t xml:space="preserve"> vereinbar ist.</w:t>
      </w:r>
    </w:p>
    <w:p>
      <w:pPr>
        <w:pStyle w:val="Absatz"/>
      </w:pPr>
      <w:r>
        <w:rPr>
          <w:position w:val="4"/>
          <w:sz w:val="13"/>
        </w:rPr>
        <w:t>4</w:t>
      </w:r>
      <w:r>
        <w:t> Sofern dies aufgrund der Resolution 2231 (2015) des UNO-Sicherheitsrats vom 20. Juli 2015</w:t>
      </w:r>
      <w:r>
        <w:rPr>
          <w:rStyle w:val="Funotenzeichen"/>
          <w:noProof w:val="0"/>
        </w:rPr>
        <w:footnoteReference w:id="17"/>
      </w:r>
      <w:r>
        <w:t xml:space="preserve"> erforderlich ist, holt das SECO die Stellungnahme des UNO-Sicherheitsrats oder der Gemeinsamen Kommission nach dem JCPOA ein. </w:t>
      </w:r>
    </w:p>
    <w:p>
      <w:pPr>
        <w:pStyle w:val="Abstand18pt"/>
      </w:pPr>
    </w:p>
    <w:p>
      <w:pPr>
        <w:pStyle w:val="berschrift1"/>
        <w:rPr>
          <w:szCs w:val="18"/>
        </w:rPr>
      </w:pPr>
      <w:r>
        <w:t xml:space="preserve">4. Abschnitt: </w:t>
      </w:r>
      <w:r>
        <w:br/>
        <w:t>Sperrung von Vermögenswerten und Bereitstellungsverbot</w:t>
      </w:r>
    </w:p>
    <w:p>
      <w:pPr>
        <w:pStyle w:val="berschrift9"/>
      </w:pPr>
      <w:r>
        <w:rPr>
          <w:b/>
        </w:rPr>
        <w:t>Art. 7</w:t>
      </w:r>
      <w:r>
        <w:tab/>
        <w:t>Sperrung von Geldern und wirtschaftlichen Ressourcen</w:t>
      </w:r>
    </w:p>
    <w:p>
      <w:pPr>
        <w:pStyle w:val="Absatz"/>
      </w:pPr>
      <w:r>
        <w:rPr>
          <w:position w:val="4"/>
          <w:sz w:val="13"/>
        </w:rPr>
        <w:t>1</w:t>
      </w:r>
      <w:r>
        <w:t> Gelder und wirtschaftliche Ressourcen, die sich im Eigentum oder unter der Kontrolle von natürlichen Personen, Unternehmen und Organisationen nach den Anhängen 5–7 befinden, sind gesperrt.</w:t>
      </w:r>
    </w:p>
    <w:p>
      <w:pPr>
        <w:pStyle w:val="Absatz"/>
      </w:pPr>
      <w:r>
        <w:rPr>
          <w:position w:val="4"/>
          <w:sz w:val="13"/>
        </w:rPr>
        <w:t>2</w:t>
      </w:r>
      <w:r>
        <w:t> Es ist verboten:</w:t>
      </w:r>
    </w:p>
    <w:p>
      <w:pPr>
        <w:pStyle w:val="Struktur1"/>
      </w:pPr>
      <w:r>
        <w:t>a.</w:t>
      </w:r>
      <w:r>
        <w:tab/>
        <w:t>den natürlichen Personen, Unternehmen und Organisationen nach Absatz 1 Gelder zu überweisen oder Gelder und wirtschaftliche Ressourcen sonst wie direkt oder indirekt zur Verfügung zu stellen;</w:t>
      </w:r>
    </w:p>
    <w:p>
      <w:pPr>
        <w:pStyle w:val="Struktur1"/>
      </w:pPr>
      <w:r>
        <w:t>b.</w:t>
      </w:r>
      <w:r>
        <w:tab/>
        <w:t>für natürliche Personen, Unternehmen und Organisationen nach Absatz 1 spezielle Zahlungsverkehrsdienste zu erbringen, die für den Austausch von Finanzdaten verwendet werden.</w:t>
      </w:r>
    </w:p>
    <w:p>
      <w:pPr>
        <w:pStyle w:val="Absatz"/>
      </w:pPr>
      <w:r>
        <w:rPr>
          <w:position w:val="4"/>
          <w:sz w:val="13"/>
        </w:rPr>
        <w:t>3</w:t>
      </w:r>
      <w:r>
        <w:t> Das SECO kann Zahlungen aus gesperrten Konten, Übertragungen gesperrter Vermögenswerte sowie die Freigabe gesperrter wirtschaftlicher Ressourcen ausnahmsweise bewilligen zur:</w:t>
      </w:r>
    </w:p>
    <w:p>
      <w:pPr>
        <w:pStyle w:val="Struktur1"/>
      </w:pPr>
      <w:r>
        <w:t>a.</w:t>
      </w:r>
      <w:r>
        <w:tab/>
        <w:t>Vermeidung von Härtefällen;</w:t>
      </w:r>
    </w:p>
    <w:p>
      <w:pPr>
        <w:pStyle w:val="Struktur1"/>
      </w:pPr>
      <w:r>
        <w:t>b.</w:t>
      </w:r>
      <w:r>
        <w:tab/>
        <w:t>Erfüllung bestehender Verträge;</w:t>
      </w:r>
    </w:p>
    <w:p>
      <w:pPr>
        <w:pStyle w:val="Struktur1"/>
      </w:pPr>
      <w:r>
        <w:t>c.</w:t>
      </w:r>
      <w:r>
        <w:tab/>
        <w:t>Erfüllung von Forderungen, die Gegenstand einer bestehenden Entscheidung eines Gerichts, einer Verwaltungsstelle oder eines Schiedsgerichts sind;</w:t>
      </w:r>
    </w:p>
    <w:p>
      <w:pPr>
        <w:pStyle w:val="Struktur1"/>
      </w:pPr>
      <w:r>
        <w:t>d.</w:t>
      </w:r>
      <w:r>
        <w:tab/>
        <w:t>Erfüllung der amtlichen Tätigkeit iranischer diplomatischer oder konsularischer Vertretungen;</w:t>
      </w:r>
    </w:p>
    <w:p>
      <w:pPr>
        <w:pStyle w:val="Struktur1"/>
      </w:pPr>
      <w:r>
        <w:t>e.</w:t>
      </w:r>
      <w:r>
        <w:tab/>
        <w:t>Umsetzung des JCPOA</w:t>
      </w:r>
      <w:r>
        <w:rPr>
          <w:rStyle w:val="Funotenzeichen"/>
          <w:noProof w:val="0"/>
        </w:rPr>
        <w:footnoteReference w:id="18"/>
      </w:r>
      <w:r>
        <w:t>; oder</w:t>
      </w:r>
    </w:p>
    <w:p>
      <w:pPr>
        <w:pStyle w:val="Struktur1"/>
      </w:pPr>
      <w:r>
        <w:t>f.</w:t>
      </w:r>
      <w:r>
        <w:tab/>
        <w:t>Wahrung schweizerischer Interessen</w:t>
      </w:r>
      <w:r>
        <w:rPr>
          <w:color w:val="0000FF"/>
        </w:rPr>
        <w:t>.</w:t>
      </w:r>
    </w:p>
    <w:p>
      <w:pPr>
        <w:pStyle w:val="Absatz"/>
      </w:pPr>
      <w:r>
        <w:rPr>
          <w:position w:val="4"/>
          <w:sz w:val="13"/>
        </w:rPr>
        <w:lastRenderedPageBreak/>
        <w:t>4</w:t>
      </w:r>
      <w:r>
        <w:t> Das SECO bewilligt Ausnahmen nach Absatz 3 nach Rücksprache mit den zustän</w:t>
      </w:r>
      <w:r>
        <w:softHyphen/>
        <w:t>digen Stellen des EDA und des Eidgenössischen Finanzdepartements (EFD) und, falls anwendbar, gemäss den massgeblichen Resolutionen des UNO-Sicherheitsrats.</w:t>
      </w:r>
    </w:p>
    <w:p>
      <w:pPr>
        <w:pStyle w:val="berschrift9"/>
      </w:pPr>
      <w:r>
        <w:rPr>
          <w:b/>
        </w:rPr>
        <w:t>Art. 8</w:t>
      </w:r>
      <w:r>
        <w:tab/>
        <w:t>Meldepflicht für gesperrte Vermögenswerte</w:t>
      </w:r>
    </w:p>
    <w:p>
      <w:pPr>
        <w:pStyle w:val="Absatz"/>
      </w:pPr>
      <w:r>
        <w:rPr>
          <w:position w:val="4"/>
          <w:sz w:val="13"/>
        </w:rPr>
        <w:t>1</w:t>
      </w:r>
      <w:r>
        <w:t> Personen und Institutionen, die Gelder halten oder verwalten oder von wirtschaft</w:t>
      </w:r>
      <w:r>
        <w:softHyphen/>
        <w:t>lichen Ressourcen wissen, von denen anzunehmen ist, dass sie unter die Sperrung nach Artikel 7 Absatz 1 fallen, müssen dies dem SECO unverzüglich melden.</w:t>
      </w:r>
    </w:p>
    <w:p>
      <w:pPr>
        <w:pStyle w:val="Absatz"/>
        <w:rPr>
          <w:szCs w:val="18"/>
        </w:rPr>
      </w:pPr>
      <w:r>
        <w:rPr>
          <w:position w:val="4"/>
          <w:sz w:val="13"/>
        </w:rPr>
        <w:t>2</w:t>
      </w:r>
      <w:r>
        <w:t xml:space="preserve"> Die Meldungen müssen die Namen der Begünstigten sowie Gegenstand und Wert </w:t>
      </w:r>
      <w:r>
        <w:rPr>
          <w:szCs w:val="18"/>
        </w:rPr>
        <w:t>der Gelder und wirtschaftlichen Ressourcen enthalten.</w:t>
      </w:r>
    </w:p>
    <w:p>
      <w:pPr>
        <w:pStyle w:val="Abstand18pt"/>
      </w:pPr>
    </w:p>
    <w:p>
      <w:pPr>
        <w:pStyle w:val="berschrift1"/>
      </w:pPr>
      <w:r>
        <w:t>5. Abschnitt: Weitere Beschränkungen</w:t>
      </w:r>
    </w:p>
    <w:p>
      <w:pPr>
        <w:pStyle w:val="berschrift9"/>
      </w:pPr>
      <w:r>
        <w:rPr>
          <w:b/>
        </w:rPr>
        <w:t>Art. 9</w:t>
      </w:r>
      <w:r>
        <w:tab/>
        <w:t>Verbote betreffend iranische Frachtflugzeuge</w:t>
      </w:r>
    </w:p>
    <w:p>
      <w:pPr>
        <w:pStyle w:val="Absatz"/>
      </w:pPr>
      <w:r>
        <w:rPr>
          <w:position w:val="4"/>
          <w:sz w:val="13"/>
        </w:rPr>
        <w:t>1</w:t>
      </w:r>
      <w:r>
        <w:t> Es ist verboten, technische Dienste oder Wartungsdienste für Frachtflugzeuge zu erbringen, die im Eigentum oder unter der direkten oder indirekten Kontrolle von iranischen Personen oder Organisationen stehen, falls der Leistungserbringer weiss oder vermutet, dass das Frachtflugzeug Waren befördert, deren Lieferung, Verkauf, Aus- oder Durchfuhr nach dieser Verordnung verboten ist.</w:t>
      </w:r>
    </w:p>
    <w:p>
      <w:pPr>
        <w:pStyle w:val="Absatz"/>
      </w:pPr>
      <w:r>
        <w:rPr>
          <w:position w:val="4"/>
          <w:sz w:val="13"/>
        </w:rPr>
        <w:t>2</w:t>
      </w:r>
      <w:r>
        <w:t> Das Verbot nach Absatz 1 gilt, bis die Ladung überprüft und, falls erforderlich, beschlagnahmt oder entsorgt ist.</w:t>
      </w:r>
    </w:p>
    <w:p>
      <w:pPr>
        <w:pStyle w:val="Absatz"/>
      </w:pPr>
      <w:r>
        <w:rPr>
          <w:position w:val="4"/>
          <w:sz w:val="13"/>
        </w:rPr>
        <w:t>3</w:t>
      </w:r>
      <w:r>
        <w:t> Das Verbot nach Absatz 1 gilt nicht, falls die Erbringung der Dienste für humani</w:t>
      </w:r>
      <w:r>
        <w:softHyphen/>
        <w:t>täre Zwecke oder aus Sicherheitsgründen erforderlich ist.</w:t>
      </w:r>
    </w:p>
    <w:p>
      <w:pPr>
        <w:pStyle w:val="Absatz"/>
      </w:pPr>
      <w:r>
        <w:rPr>
          <w:position w:val="4"/>
          <w:sz w:val="13"/>
        </w:rPr>
        <w:t>4</w:t>
      </w:r>
      <w:r>
        <w:t> Die durch die Beschlagnahme und Entsorgung entstehenden Kosten können dem Importeur auferlegt oder bei jeder anderen Person oder Organisation, die für die versuchte illegale Lieferung, den versuchten illegalen Verkauf oder die versuchte illegale Aus- oder Durchfuhr verantwortlich ist, eingefordert werden.</w:t>
      </w:r>
    </w:p>
    <w:p>
      <w:pPr>
        <w:pStyle w:val="berschrift9"/>
        <w:rPr>
          <w:i/>
          <w:iCs/>
        </w:rPr>
      </w:pPr>
      <w:r>
        <w:rPr>
          <w:b/>
          <w:bCs/>
          <w:iCs/>
        </w:rPr>
        <w:t>Art. 10</w:t>
      </w:r>
      <w:r>
        <w:rPr>
          <w:bCs/>
          <w:iCs/>
        </w:rPr>
        <w:tab/>
      </w:r>
      <w:r>
        <w:t>Ein- und Durchreiseverbot</w:t>
      </w:r>
    </w:p>
    <w:p>
      <w:pPr>
        <w:pStyle w:val="Absatz"/>
      </w:pPr>
      <w:r>
        <w:rPr>
          <w:position w:val="4"/>
          <w:sz w:val="13"/>
          <w:szCs w:val="13"/>
        </w:rPr>
        <w:t>1</w:t>
      </w:r>
      <w:r>
        <w:rPr>
          <w:szCs w:val="13"/>
        </w:rPr>
        <w:t> </w:t>
      </w:r>
      <w:r>
        <w:t>Die Einreise in die Schweiz oder die Durchreise durch die Schweiz ist den in den Anhängen 5 und 6 aufgeführten natürlichen Personen verboten.</w:t>
      </w:r>
    </w:p>
    <w:p>
      <w:pPr>
        <w:pStyle w:val="Absatz"/>
      </w:pPr>
      <w:r>
        <w:rPr>
          <w:position w:val="4"/>
          <w:sz w:val="13"/>
          <w:szCs w:val="13"/>
        </w:rPr>
        <w:t>2</w:t>
      </w:r>
      <w:r>
        <w:rPr>
          <w:szCs w:val="13"/>
        </w:rPr>
        <w:t> </w:t>
      </w:r>
      <w:r>
        <w:t>Das Staatssekretariat für Migration (SEM) kann in Übereinstimmung mit den Beschlüssen des zuständigen Komitees des UNO-Sicherheitsrats Ausnahmen für natürliche Personen nach Anhang 5 gewähren.</w:t>
      </w:r>
    </w:p>
    <w:p>
      <w:pPr>
        <w:pStyle w:val="Absatz"/>
      </w:pPr>
      <w:r>
        <w:rPr>
          <w:position w:val="4"/>
          <w:sz w:val="13"/>
          <w:szCs w:val="13"/>
        </w:rPr>
        <w:t>3</w:t>
      </w:r>
      <w:r>
        <w:rPr>
          <w:szCs w:val="13"/>
        </w:rPr>
        <w:t> </w:t>
      </w:r>
      <w:r>
        <w:t>Es kann für natürliche Personen nach Anhang 6 Ausnahmen gewähren:</w:t>
      </w:r>
    </w:p>
    <w:p>
      <w:pPr>
        <w:pStyle w:val="Struktur1"/>
      </w:pPr>
      <w:r>
        <w:t>a.</w:t>
      </w:r>
      <w:r>
        <w:tab/>
        <w:t>aus erwiesenen humanitären Gründen;</w:t>
      </w:r>
    </w:p>
    <w:p>
      <w:pPr>
        <w:pStyle w:val="Struktur1"/>
      </w:pPr>
      <w:r>
        <w:t>b.</w:t>
      </w:r>
      <w:r>
        <w:tab/>
        <w:t xml:space="preserve">zwecks Teilnahme an Tagungen internationaler Gremien oder an einem politischen Dialog betreffend den Iran; oder </w:t>
      </w:r>
    </w:p>
    <w:p>
      <w:pPr>
        <w:pStyle w:val="Struktur1"/>
      </w:pPr>
      <w:r>
        <w:t>c.</w:t>
      </w:r>
      <w:r>
        <w:tab/>
        <w:t>zur Wahrung schweizerischer Interessen.</w:t>
      </w:r>
    </w:p>
    <w:p>
      <w:pPr>
        <w:pStyle w:val="berschrift9"/>
        <w:rPr>
          <w:i/>
        </w:rPr>
      </w:pPr>
      <w:r>
        <w:rPr>
          <w:b/>
        </w:rPr>
        <w:lastRenderedPageBreak/>
        <w:t>Art. 11</w:t>
      </w:r>
      <w:r>
        <w:tab/>
        <w:t>Verbot der Erfüllung bestimmter Forderungen</w:t>
      </w:r>
    </w:p>
    <w:p>
      <w:pPr>
        <w:pStyle w:val="Absatz"/>
      </w:pPr>
      <w:r>
        <w:t>Es ist verboten, Forderungen der folgenden natürlichen Personen, Unternehmen und Organisationen zu erfüllen, wenn sie auf einen Vertrag oder ein Geschäft zurück</w:t>
      </w:r>
      <w:r>
        <w:softHyphen/>
        <w:t>zuführen sind, dessen Durchführung direkt oder indirekt durch Massnahmen nach dieser Verordnung, nach der Verordnung vom 19. Januar 2011</w:t>
      </w:r>
      <w:r>
        <w:rPr>
          <w:rStyle w:val="Funotenzeichen"/>
          <w:noProof w:val="0"/>
        </w:rPr>
        <w:footnoteReference w:id="19"/>
      </w:r>
      <w:r>
        <w:t xml:space="preserve"> über Massnahmen gegenüber der Islamischen Republik Iran oder nach der Verordnung vom 14. Februar 2007</w:t>
      </w:r>
      <w:r>
        <w:rPr>
          <w:rStyle w:val="Funotenzeichen"/>
          <w:noProof w:val="0"/>
        </w:rPr>
        <w:footnoteReference w:id="20"/>
      </w:r>
      <w:r>
        <w:t xml:space="preserve"> über Massnahmen gegenüber der Islamischen Republik Iran verhindert oder beeinträchtigt wurden:</w:t>
      </w:r>
    </w:p>
    <w:p>
      <w:pPr>
        <w:pStyle w:val="Struktur1"/>
      </w:pPr>
      <w:r>
        <w:t>a.</w:t>
      </w:r>
      <w:r>
        <w:tab/>
        <w:t>iranische Personen oder Organisationen;</w:t>
      </w:r>
    </w:p>
    <w:p>
      <w:pPr>
        <w:pStyle w:val="Struktur1"/>
        <w:rPr>
          <w:lang w:eastAsia="de-CH"/>
        </w:rPr>
      </w:pPr>
      <w:r>
        <w:t>b.</w:t>
      </w:r>
      <w:r>
        <w:tab/>
      </w:r>
      <w:r>
        <w:rPr>
          <w:lang w:eastAsia="de-CH"/>
        </w:rPr>
        <w:t>natürliche Personen, Unternehmen und Organisationen nach den Anhängen 5–7;</w:t>
      </w:r>
    </w:p>
    <w:p>
      <w:pPr>
        <w:pStyle w:val="Struktur1"/>
        <w:rPr>
          <w:i/>
        </w:rPr>
      </w:pPr>
      <w:r>
        <w:t>c.</w:t>
      </w:r>
      <w:r>
        <w:tab/>
        <w:t>natürliche Personen, Unternehmen und Organisationen, die im Auftrag oder zugunsten von Personen oder Organisationen nach Buchstabe a oder b handeln.</w:t>
      </w:r>
    </w:p>
    <w:p>
      <w:pPr>
        <w:pStyle w:val="Abstand18pt"/>
      </w:pPr>
    </w:p>
    <w:p>
      <w:pPr>
        <w:pStyle w:val="berschrift1"/>
      </w:pPr>
      <w:r>
        <w:t>6. Abschnitt: Vollzug und Strafbestimmungen</w:t>
      </w:r>
    </w:p>
    <w:p>
      <w:pPr>
        <w:pStyle w:val="berschrift9"/>
      </w:pPr>
      <w:r>
        <w:rPr>
          <w:b/>
        </w:rPr>
        <w:t>Art. 12</w:t>
      </w:r>
      <w:r>
        <w:tab/>
        <w:t>Kontrolle und Vollzug</w:t>
      </w:r>
    </w:p>
    <w:p>
      <w:pPr>
        <w:pStyle w:val="Absatz"/>
      </w:pPr>
      <w:r>
        <w:rPr>
          <w:position w:val="4"/>
          <w:sz w:val="13"/>
          <w:szCs w:val="13"/>
        </w:rPr>
        <w:t>1</w:t>
      </w:r>
      <w:r>
        <w:rPr>
          <w:szCs w:val="13"/>
        </w:rPr>
        <w:t> </w:t>
      </w:r>
      <w:r>
        <w:t>Das SECO vollzieht die Artikel 2</w:t>
      </w:r>
      <w:r>
        <w:rPr>
          <w:color w:val="000000"/>
        </w:rPr>
        <w:t>–</w:t>
      </w:r>
      <w:r>
        <w:t>9 und 11.</w:t>
      </w:r>
    </w:p>
    <w:p>
      <w:pPr>
        <w:pStyle w:val="Absatz"/>
      </w:pPr>
      <w:r>
        <w:rPr>
          <w:position w:val="4"/>
          <w:sz w:val="13"/>
          <w:szCs w:val="13"/>
        </w:rPr>
        <w:t>2</w:t>
      </w:r>
      <w:r>
        <w:rPr>
          <w:szCs w:val="13"/>
        </w:rPr>
        <w:t xml:space="preserve"> Die Kontrolle an der Grenze obliegt dem </w:t>
      </w:r>
      <w:bookmarkStart w:id="10" w:name="_Hlk125106296"/>
      <w:r>
        <w:t>Bundesamt für Zoll und Grenzsicherheit</w:t>
      </w:r>
      <w:r>
        <w:rPr>
          <w:rStyle w:val="Funotenzeichen"/>
        </w:rPr>
        <w:footnoteReference w:id="21"/>
      </w:r>
      <w:bookmarkEnd w:id="10"/>
      <w:r>
        <w:t>.</w:t>
      </w:r>
    </w:p>
    <w:p>
      <w:pPr>
        <w:pStyle w:val="Absatz"/>
      </w:pPr>
      <w:r>
        <w:rPr>
          <w:position w:val="4"/>
          <w:sz w:val="13"/>
          <w:szCs w:val="13"/>
        </w:rPr>
        <w:t>3</w:t>
      </w:r>
      <w:r>
        <w:rPr>
          <w:szCs w:val="13"/>
        </w:rPr>
        <w:t> </w:t>
      </w:r>
      <w:r>
        <w:t>Das SEM vollzieht Artikel 10.</w:t>
      </w:r>
    </w:p>
    <w:p>
      <w:pPr>
        <w:pStyle w:val="Absatz"/>
        <w:rPr>
          <w:szCs w:val="18"/>
        </w:rPr>
      </w:pPr>
      <w:r>
        <w:rPr>
          <w:position w:val="4"/>
          <w:sz w:val="13"/>
        </w:rPr>
        <w:t>4</w:t>
      </w:r>
      <w:r>
        <w:t> Die zuständigen Behörden ergreifen auf Anweisung des SECO die für die Sper</w:t>
      </w:r>
      <w:r>
        <w:softHyphen/>
        <w:t xml:space="preserve">rung wirtschaftlicher Ressourcen notwendigen Massnahmen wie </w:t>
      </w:r>
      <w:r>
        <w:rPr>
          <w:szCs w:val="18"/>
        </w:rPr>
        <w:t>die Anmerkung einer Verfügungssperre im Grundbuch oder die Pfändung oder Versiegelung von Luxusgütern.</w:t>
      </w:r>
    </w:p>
    <w:p>
      <w:pPr>
        <w:pStyle w:val="berschrift9"/>
      </w:pPr>
      <w:r>
        <w:rPr>
          <w:b/>
        </w:rPr>
        <w:t>Art. 13</w:t>
      </w:r>
      <w:r>
        <w:tab/>
        <w:t>Strafbestimmungen</w:t>
      </w:r>
    </w:p>
    <w:p>
      <w:pPr>
        <w:pStyle w:val="Absatz"/>
        <w:rPr>
          <w:lang w:eastAsia="de-CH"/>
        </w:rPr>
      </w:pPr>
      <w:r>
        <w:rPr>
          <w:position w:val="4"/>
          <w:sz w:val="13"/>
        </w:rPr>
        <w:t>1</w:t>
      </w:r>
      <w:r>
        <w:t> </w:t>
      </w:r>
      <w:r>
        <w:rPr>
          <w:lang w:eastAsia="de-CH"/>
        </w:rPr>
        <w:t>Wer gegen die Artikel 2–7 oder 9–11 verstösst, wird nach Artikel 9 EmbG bestraft.</w:t>
      </w:r>
    </w:p>
    <w:p>
      <w:pPr>
        <w:pStyle w:val="Absatz"/>
        <w:rPr>
          <w:lang w:eastAsia="de-CH"/>
        </w:rPr>
      </w:pPr>
      <w:r>
        <w:rPr>
          <w:position w:val="4"/>
          <w:sz w:val="13"/>
        </w:rPr>
        <w:t>2</w:t>
      </w:r>
      <w:r>
        <w:t> </w:t>
      </w:r>
      <w:r>
        <w:rPr>
          <w:lang w:eastAsia="de-CH"/>
        </w:rPr>
        <w:t>Wer gegen Artikel 8 verstösst, wird nach Artikel 10 EmbG bestraft.</w:t>
      </w:r>
    </w:p>
    <w:p>
      <w:pPr>
        <w:pStyle w:val="Absatz"/>
      </w:pPr>
      <w:r>
        <w:rPr>
          <w:position w:val="4"/>
          <w:sz w:val="13"/>
          <w:szCs w:val="13"/>
        </w:rPr>
        <w:t>3</w:t>
      </w:r>
      <w:r>
        <w:rPr>
          <w:szCs w:val="13"/>
        </w:rPr>
        <w:t> </w:t>
      </w:r>
      <w:r>
        <w:t>Verstösse gegen die Artikel 9 und 10 EmbG werden vom SECO verfolgt und beurteilt; dieses kann Beschlagnahmungen oder Einziehungen anordnen.</w:t>
      </w:r>
    </w:p>
    <w:p>
      <w:pPr>
        <w:pStyle w:val="Abstand18pt"/>
      </w:pPr>
    </w:p>
    <w:p>
      <w:pPr>
        <w:pStyle w:val="berschrift1"/>
      </w:pPr>
      <w:r>
        <w:lastRenderedPageBreak/>
        <w:t>7. Abschnitt: Veröffentlichung und Inkrafttreten</w:t>
      </w:r>
    </w:p>
    <w:p>
      <w:pPr>
        <w:pStyle w:val="berschrift9"/>
      </w:pPr>
      <w:r>
        <w:rPr>
          <w:b/>
        </w:rPr>
        <w:t>Art. 14</w:t>
      </w:r>
      <w:r>
        <w:rPr>
          <w:rStyle w:val="Funotenzeichen"/>
          <w:noProof w:val="0"/>
        </w:rPr>
        <w:footnoteReference w:id="22"/>
      </w:r>
      <w:r>
        <w:tab/>
        <w:t>Automatische Übernahme von Listen der natürlichen Personen, Unternehmen und Organisationen, die Gegenstand von Sanktionen sind</w:t>
      </w:r>
    </w:p>
    <w:p>
      <w:pPr>
        <w:pStyle w:val="Absatz"/>
      </w:pPr>
      <w:r>
        <w:t>Die Listen, die der Sicherheitsrat der Vereinten Nationen betreffend natürliche Personen, Unternehmen und Organisationen erlassen oder aktualisiert hat (Anhang 5), werden automatisch übernommen.</w:t>
      </w:r>
    </w:p>
    <w:p>
      <w:pPr>
        <w:pStyle w:val="berschrift9"/>
      </w:pPr>
      <w:r>
        <w:rPr>
          <w:b/>
        </w:rPr>
        <w:t>Art. 14</w:t>
      </w:r>
      <w:r>
        <w:rPr>
          <w:i/>
        </w:rPr>
        <w:t>a</w:t>
      </w:r>
      <w:r>
        <w:rPr>
          <w:rStyle w:val="Funotenzeichen"/>
          <w:noProof w:val="0"/>
        </w:rPr>
        <w:footnoteReference w:id="23"/>
      </w:r>
      <w:r>
        <w:tab/>
        <w:t>Veröffentlichung</w:t>
      </w:r>
    </w:p>
    <w:p>
      <w:pPr>
        <w:pStyle w:val="Absatz"/>
      </w:pPr>
      <w:r>
        <w:t>Die Einträge nach den Anhängen 5</w:t>
      </w:r>
      <w:r>
        <w:rPr>
          <w:szCs w:val="18"/>
        </w:rPr>
        <w:t>–</w:t>
      </w:r>
      <w:r>
        <w:t>7 werden weder in der Amtlichen Sammlung des Bundesrechts (AS) noch in der Systematischen Sammlung des Bundesrechts (SR) veröffentlicht.</w:t>
      </w:r>
    </w:p>
    <w:p>
      <w:pPr>
        <w:pStyle w:val="berschrift9"/>
      </w:pPr>
      <w:r>
        <w:rPr>
          <w:b/>
        </w:rPr>
        <w:t>Art. 15</w:t>
      </w:r>
      <w:r>
        <w:tab/>
        <w:t>Aufhebung anderer Erlasse</w:t>
      </w:r>
    </w:p>
    <w:p>
      <w:pPr>
        <w:pStyle w:val="Absatz"/>
      </w:pPr>
      <w:r>
        <w:t>Die Verordnung vom 19. Januar 2011</w:t>
      </w:r>
      <w:r>
        <w:rPr>
          <w:rStyle w:val="Funotenzeichen"/>
          <w:noProof w:val="0"/>
        </w:rPr>
        <w:footnoteReference w:id="24"/>
      </w:r>
      <w:r>
        <w:t xml:space="preserve"> über Massnahmen gegenüber der Islami</w:t>
      </w:r>
      <w:r>
        <w:softHyphen/>
        <w:t>schen Republik Iran wird aufgehoben.</w:t>
      </w:r>
    </w:p>
    <w:p>
      <w:pPr>
        <w:pStyle w:val="berschrift9"/>
      </w:pPr>
      <w:r>
        <w:rPr>
          <w:b/>
        </w:rPr>
        <w:t>Art. 16</w:t>
      </w:r>
      <w:r>
        <w:tab/>
        <w:t>Inkrafttreten</w:t>
      </w:r>
    </w:p>
    <w:p>
      <w:pPr>
        <w:pStyle w:val="Absatz"/>
      </w:pPr>
      <w:r>
        <w:t>Diese Verordnung tritt am 17. Januar 2016 um 12.00 Uhr in Kraft.</w:t>
      </w:r>
    </w:p>
    <w:p>
      <w:pPr>
        <w:pStyle w:val="TitelAnhrechts"/>
      </w:pPr>
      <w:r>
        <w:lastRenderedPageBreak/>
        <w:t>Anhang 1</w:t>
      </w:r>
    </w:p>
    <w:p>
      <w:pPr>
        <w:pStyle w:val="TitelAnhText"/>
      </w:pPr>
      <w:r>
        <w:t>(Art. 2 Abs. 1)</w:t>
      </w:r>
    </w:p>
    <w:p>
      <w:pPr>
        <w:pStyle w:val="TitelAnhang"/>
      </w:pPr>
      <w:r>
        <w:t xml:space="preserve">Güter, Technologie und Software, die unter die Verbote </w:t>
      </w:r>
      <w:r>
        <w:br/>
        <w:t>nach Artikel 2 fallen</w:t>
      </w:r>
    </w:p>
    <w:p>
      <w:pPr>
        <w:pStyle w:val="TitelAnh1"/>
      </w:pPr>
      <w:r>
        <w:t>Güter, Technologie und Software</w:t>
      </w:r>
    </w:p>
    <w:p>
      <w:pPr>
        <w:pStyle w:val="Struktur1"/>
      </w:pPr>
      <w:r>
        <w:t xml:space="preserve">1. </w:t>
      </w:r>
      <w:r>
        <w:tab/>
        <w:t>Vollständige Raketen- und unbemannte Luftfahrzeugsysteme, einschliesslich vollständiger Subsysteme hierfür.</w:t>
      </w:r>
    </w:p>
    <w:p>
      <w:pPr>
        <w:pStyle w:val="Struktur1"/>
      </w:pPr>
      <w:r>
        <w:t xml:space="preserve">2. </w:t>
      </w:r>
      <w:r>
        <w:tab/>
        <w:t>Güter nach Anhang 2 Teil 2 der GKV</w:t>
      </w:r>
      <w:r>
        <w:rPr>
          <w:rStyle w:val="Funotenzeichen"/>
          <w:noProof w:val="0"/>
        </w:rPr>
        <w:footnoteReference w:id="25"/>
      </w:r>
      <w:r>
        <w:t xml:space="preserve"> mit den Kontrollregime-Codes 101</w:t>
      </w:r>
      <w:r>
        <w:noBreakHyphen/>
        <w:t>199.</w:t>
      </w:r>
    </w:p>
    <w:p>
      <w:pPr>
        <w:pStyle w:val="Struktur1"/>
      </w:pPr>
      <w:r>
        <w:t xml:space="preserve">3. </w:t>
      </w:r>
      <w:r>
        <w:tab/>
        <w:t>Alle übrigen Güter, die im Zusammenhang mit Raketen- und unbemannten Luftfahrzeugsystemen verwendet werden können und die von Anhang 2 Teil 2 GKV, Anhang 3 GKV oder Anhang 1 der Kriegsmaterialverordnung vom 25. Februar 1998</w:t>
      </w:r>
      <w:r>
        <w:rPr>
          <w:rStyle w:val="Funotenzeichen"/>
          <w:noProof w:val="0"/>
        </w:rPr>
        <w:footnoteReference w:id="26"/>
      </w:r>
      <w:r>
        <w:t xml:space="preserve"> (KMV) erfasst werden.</w:t>
      </w:r>
    </w:p>
    <w:p>
      <w:pPr>
        <w:pStyle w:val="TitelAnhrechts"/>
      </w:pPr>
      <w:r>
        <w:lastRenderedPageBreak/>
        <w:t>Anhang 2</w:t>
      </w:r>
    </w:p>
    <w:p>
      <w:pPr>
        <w:pStyle w:val="TitelAnhText"/>
      </w:pPr>
      <w:r>
        <w:t>(Art. 3 Abs. 1)</w:t>
      </w:r>
    </w:p>
    <w:p>
      <w:pPr>
        <w:pStyle w:val="TitelAnhang"/>
      </w:pPr>
      <w:r>
        <w:t>Güter, Technologie und Software, die unter die Bewilligungspflicht nach Artikel 3 fallen</w:t>
      </w:r>
    </w:p>
    <w:p>
      <w:pPr>
        <w:pStyle w:val="TitelAnh1"/>
      </w:pPr>
      <w:r>
        <w:t>A. Güter, Technologie und Software</w:t>
      </w:r>
    </w:p>
    <w:p>
      <w:pPr>
        <w:pStyle w:val="Struktur1"/>
      </w:pPr>
      <w:r>
        <w:t>1.</w:t>
      </w:r>
      <w:r>
        <w:tab/>
        <w:t>Kernmaterialien nach Artikel 1 der Kernenergieverordnung vom 10. Dezem</w:t>
      </w:r>
      <w:r>
        <w:softHyphen/>
        <w:t>ber 2004</w:t>
      </w:r>
      <w:r>
        <w:rPr>
          <w:rStyle w:val="Funotenzeichen"/>
          <w:noProof w:val="0"/>
        </w:rPr>
        <w:footnoteReference w:id="27"/>
      </w:r>
      <w:r>
        <w:t>.</w:t>
      </w:r>
    </w:p>
    <w:p>
      <w:pPr>
        <w:pStyle w:val="Struktur1"/>
      </w:pPr>
      <w:r>
        <w:t>2.</w:t>
      </w:r>
      <w:r>
        <w:tab/>
        <w:t>Güter, Technologie und Software nach Anhang 2 Teil 1 GKV</w:t>
      </w:r>
      <w:r>
        <w:rPr>
          <w:rStyle w:val="Funotenzeichen"/>
          <w:noProof w:val="0"/>
        </w:rPr>
        <w:footnoteReference w:id="28"/>
      </w:r>
      <w:r>
        <w:t>.</w:t>
      </w:r>
    </w:p>
    <w:p>
      <w:pPr>
        <w:pStyle w:val="Struktur1"/>
      </w:pPr>
      <w:r>
        <w:t>3.</w:t>
      </w:r>
      <w:r>
        <w:tab/>
        <w:t>Güter, Technologie und Software nach Anhang 2 GKV mit den Kontroll</w:t>
      </w:r>
      <w:r>
        <w:softHyphen/>
        <w:t>regime-Codes Nummern 201</w:t>
      </w:r>
      <w:r>
        <w:noBreakHyphen/>
        <w:t>299.</w:t>
      </w:r>
    </w:p>
    <w:p>
      <w:pPr>
        <w:pStyle w:val="Abstand18pt"/>
      </w:pPr>
    </w:p>
    <w:p>
      <w:pPr>
        <w:pStyle w:val="TitelAnh1"/>
      </w:pPr>
      <w:r>
        <w:t>B. Sonstige Güter</w:t>
      </w:r>
    </w:p>
    <w:p>
      <w:pPr>
        <w:pStyle w:val="Abstand4pt"/>
      </w:pPr>
    </w:p>
    <w:p>
      <w:pPr>
        <w:pStyle w:val="Abstand4pt"/>
      </w:pPr>
    </w:p>
    <w:tbl>
      <w:tblPr>
        <w:tblW w:w="6124" w:type="dxa"/>
        <w:tblInd w:w="8" w:type="dxa"/>
        <w:tblLayout w:type="fixed"/>
        <w:tblCellMar>
          <w:left w:w="0" w:type="dxa"/>
          <w:right w:w="0" w:type="dxa"/>
        </w:tblCellMar>
        <w:tblLook w:val="0000" w:firstRow="0" w:lastRow="0" w:firstColumn="0" w:lastColumn="0" w:noHBand="0" w:noVBand="0"/>
      </w:tblPr>
      <w:tblGrid>
        <w:gridCol w:w="848"/>
        <w:gridCol w:w="20"/>
        <w:gridCol w:w="4219"/>
        <w:gridCol w:w="20"/>
        <w:gridCol w:w="997"/>
        <w:gridCol w:w="20"/>
      </w:tblGrid>
      <w:tr>
        <w:trPr>
          <w:tblHeader/>
        </w:trPr>
        <w:tc>
          <w:tcPr>
            <w:tcW w:w="868" w:type="dxa"/>
            <w:gridSpan w:val="2"/>
            <w:tcBorders>
              <w:top w:val="single" w:sz="6" w:space="0" w:color="000000"/>
              <w:bottom w:val="single" w:sz="6" w:space="0" w:color="000000"/>
            </w:tcBorders>
          </w:tcPr>
          <w:p>
            <w:pPr>
              <w:pStyle w:val="TabellenkopfN"/>
            </w:pPr>
            <w:r>
              <w:t xml:space="preserve">Nummer </w:t>
            </w:r>
            <w:r>
              <w:br/>
              <w:t>der EU</w:t>
            </w:r>
          </w:p>
        </w:tc>
        <w:tc>
          <w:tcPr>
            <w:tcW w:w="4239" w:type="dxa"/>
            <w:gridSpan w:val="2"/>
            <w:tcBorders>
              <w:top w:val="single" w:sz="6" w:space="0" w:color="000000"/>
              <w:bottom w:val="single" w:sz="6" w:space="0" w:color="000000"/>
            </w:tcBorders>
          </w:tcPr>
          <w:p>
            <w:pPr>
              <w:pStyle w:val="TabellenkopfN"/>
            </w:pPr>
            <w:r>
              <w:t>Beschreibung</w:t>
            </w:r>
          </w:p>
        </w:tc>
        <w:tc>
          <w:tcPr>
            <w:tcW w:w="1017" w:type="dxa"/>
            <w:gridSpan w:val="2"/>
            <w:tcBorders>
              <w:top w:val="single" w:sz="6" w:space="0" w:color="000000"/>
              <w:bottom w:val="single" w:sz="6" w:space="0" w:color="000000"/>
            </w:tcBorders>
          </w:tcPr>
          <w:p>
            <w:pPr>
              <w:pStyle w:val="TabellenkopfN"/>
            </w:pPr>
            <w:r>
              <w:t>Referenznummer in Anhang 2 GKV</w:t>
            </w:r>
          </w:p>
        </w:tc>
      </w:tr>
      <w:tr>
        <w:trPr>
          <w:tblHeader/>
        </w:trPr>
        <w:tc>
          <w:tcPr>
            <w:tcW w:w="6124" w:type="dxa"/>
            <w:gridSpan w:val="6"/>
            <w:tcBorders>
              <w:top w:val="single" w:sz="6" w:space="0" w:color="000000"/>
            </w:tcBorders>
          </w:tcPr>
          <w:p>
            <w:pPr>
              <w:spacing w:before="0" w:line="80" w:lineRule="exact"/>
              <w:jc w:val="left"/>
              <w:rPr>
                <w:color w:val="auto"/>
                <w:sz w:val="8"/>
              </w:rPr>
            </w:pPr>
          </w:p>
        </w:tc>
      </w:tr>
      <w:tr>
        <w:tc>
          <w:tcPr>
            <w:tcW w:w="6124" w:type="dxa"/>
            <w:gridSpan w:val="6"/>
          </w:tcPr>
          <w:p>
            <w:pPr>
              <w:pStyle w:val="Tab-Utit9pt-kurs"/>
            </w:pPr>
            <w:r>
              <w:t>A0. Kerntechnische Materialien, Anlagen und Ausrüstung</w:t>
            </w:r>
          </w:p>
        </w:tc>
      </w:tr>
      <w:tr>
        <w:tc>
          <w:tcPr>
            <w:tcW w:w="868" w:type="dxa"/>
            <w:gridSpan w:val="2"/>
          </w:tcPr>
          <w:p>
            <w:pPr>
              <w:pStyle w:val="Tabkrper49pt"/>
            </w:pPr>
            <w:r>
              <w:t>II.A0.001</w:t>
            </w:r>
          </w:p>
        </w:tc>
        <w:tc>
          <w:tcPr>
            <w:tcW w:w="4239" w:type="dxa"/>
            <w:gridSpan w:val="2"/>
          </w:tcPr>
          <w:p>
            <w:pPr>
              <w:pStyle w:val="Tabkrper49pt"/>
            </w:pPr>
            <w:r>
              <w:t>Hohlkathodenlampen wie folgt:</w:t>
            </w:r>
          </w:p>
          <w:p>
            <w:pPr>
              <w:pStyle w:val="Tab-Struktur149pt"/>
            </w:pPr>
            <w:r>
              <w:t>a)</w:t>
            </w:r>
            <w:r>
              <w:tab/>
              <w:t>Jod-Hohlkathodenlampen mit Fenstern aus reinem Silizium oder Quarz;</w:t>
            </w:r>
          </w:p>
          <w:p>
            <w:pPr>
              <w:pStyle w:val="Tab-Struktur149pt"/>
            </w:pPr>
            <w:r>
              <w:t>b)</w:t>
            </w:r>
            <w:r>
              <w:tab/>
              <w:t>Uran-Hohlkathodenlampen.</w:t>
            </w:r>
          </w:p>
        </w:tc>
        <w:tc>
          <w:tcPr>
            <w:tcW w:w="1017" w:type="dxa"/>
            <w:gridSpan w:val="2"/>
          </w:tcPr>
          <w:p>
            <w:pPr>
              <w:pStyle w:val="Tabkrper49pt"/>
            </w:pPr>
          </w:p>
        </w:tc>
      </w:tr>
      <w:tr>
        <w:tc>
          <w:tcPr>
            <w:tcW w:w="868" w:type="dxa"/>
            <w:gridSpan w:val="2"/>
          </w:tcPr>
          <w:p>
            <w:pPr>
              <w:pStyle w:val="Tabkrper49pt"/>
            </w:pPr>
            <w:r>
              <w:t>II.A0.002</w:t>
            </w:r>
          </w:p>
        </w:tc>
        <w:tc>
          <w:tcPr>
            <w:tcW w:w="4239" w:type="dxa"/>
            <w:gridSpan w:val="2"/>
          </w:tcPr>
          <w:p>
            <w:pPr>
              <w:pStyle w:val="Tabkrper49pt"/>
            </w:pPr>
            <w:r>
              <w:t>Faraday-Isolatoren im Wellenlängenbereich 500–650 nm.</w:t>
            </w:r>
          </w:p>
        </w:tc>
        <w:tc>
          <w:tcPr>
            <w:tcW w:w="1017" w:type="dxa"/>
            <w:gridSpan w:val="2"/>
          </w:tcPr>
          <w:p>
            <w:pPr>
              <w:pStyle w:val="Tabkrper49pt"/>
            </w:pPr>
          </w:p>
        </w:tc>
      </w:tr>
      <w:tr>
        <w:tc>
          <w:tcPr>
            <w:tcW w:w="868" w:type="dxa"/>
            <w:gridSpan w:val="2"/>
          </w:tcPr>
          <w:p>
            <w:pPr>
              <w:pStyle w:val="Tabkrper49pt"/>
            </w:pPr>
            <w:r>
              <w:t>II.A0.003</w:t>
            </w:r>
          </w:p>
        </w:tc>
        <w:tc>
          <w:tcPr>
            <w:tcW w:w="4239" w:type="dxa"/>
            <w:gridSpan w:val="2"/>
          </w:tcPr>
          <w:p>
            <w:pPr>
              <w:pStyle w:val="Tabkrper49pt"/>
            </w:pPr>
            <w:r>
              <w:t>Optische Gitter im Wellenlängenbereich 500–650 nm.</w:t>
            </w:r>
          </w:p>
        </w:tc>
        <w:tc>
          <w:tcPr>
            <w:tcW w:w="1017" w:type="dxa"/>
            <w:gridSpan w:val="2"/>
          </w:tcPr>
          <w:p>
            <w:pPr>
              <w:pStyle w:val="Tabkrper49pt"/>
            </w:pPr>
          </w:p>
        </w:tc>
      </w:tr>
      <w:tr>
        <w:tc>
          <w:tcPr>
            <w:tcW w:w="868" w:type="dxa"/>
            <w:gridSpan w:val="2"/>
          </w:tcPr>
          <w:p>
            <w:pPr>
              <w:pStyle w:val="Tabkrper49pt"/>
            </w:pPr>
            <w:r>
              <w:t>II.A0.004</w:t>
            </w:r>
          </w:p>
        </w:tc>
        <w:tc>
          <w:tcPr>
            <w:tcW w:w="4239" w:type="dxa"/>
            <w:gridSpan w:val="2"/>
          </w:tcPr>
          <w:p>
            <w:pPr>
              <w:pStyle w:val="Tabkrper49pt"/>
            </w:pPr>
            <w:r>
              <w:t xml:space="preserve">Optische Fasern im Wellenlängenbereich 500–650 nm, mit Antireflexschichten im Wellenlängenbereich </w:t>
            </w:r>
            <w:r>
              <w:br/>
              <w:t>500–650 nm überzogen und mit einem Kerndurchmesser grösser als 0,4 mm und kleiner/gleich 2 mm.</w:t>
            </w:r>
          </w:p>
        </w:tc>
        <w:tc>
          <w:tcPr>
            <w:tcW w:w="1017" w:type="dxa"/>
            <w:gridSpan w:val="2"/>
          </w:tcPr>
          <w:p>
            <w:pPr>
              <w:pStyle w:val="Tabkrper49pt"/>
            </w:pPr>
          </w:p>
        </w:tc>
      </w:tr>
      <w:tr>
        <w:tc>
          <w:tcPr>
            <w:tcW w:w="868" w:type="dxa"/>
            <w:gridSpan w:val="2"/>
          </w:tcPr>
          <w:p>
            <w:pPr>
              <w:pStyle w:val="Tabkrper49pt"/>
            </w:pPr>
            <w:r>
              <w:t>II.A0.005</w:t>
            </w:r>
          </w:p>
        </w:tc>
        <w:tc>
          <w:tcPr>
            <w:tcW w:w="4239" w:type="dxa"/>
            <w:gridSpan w:val="2"/>
          </w:tcPr>
          <w:p>
            <w:pPr>
              <w:pStyle w:val="Tabkrper49pt"/>
            </w:pPr>
            <w:r>
              <w:t>Bestandteile eines Kernreaktors und Prüfgeräte, soweit nicht in Nummer 0A001 erfasst, wie folgt:</w:t>
            </w:r>
          </w:p>
          <w:p>
            <w:pPr>
              <w:pStyle w:val="Tab-Struktur149pt"/>
            </w:pPr>
            <w:r>
              <w:t>1.</w:t>
            </w:r>
            <w:r>
              <w:tab/>
              <w:t>Plomben;</w:t>
            </w:r>
          </w:p>
          <w:p>
            <w:pPr>
              <w:pStyle w:val="Tab-Struktur149pt"/>
            </w:pPr>
            <w:r>
              <w:t>2.</w:t>
            </w:r>
            <w:r>
              <w:tab/>
              <w:t>innenliegende Bestandteile;</w:t>
            </w:r>
          </w:p>
          <w:p>
            <w:pPr>
              <w:pStyle w:val="Tab-Struktur149pt"/>
            </w:pPr>
            <w:r>
              <w:t>3.</w:t>
            </w:r>
            <w:r>
              <w:tab/>
              <w:t xml:space="preserve">Ausrüstung für das Verschliessen sowie für das </w:t>
            </w:r>
            <w:r>
              <w:br/>
              <w:t>Prüfen und Messen der Verschlüsse.</w:t>
            </w:r>
          </w:p>
        </w:tc>
        <w:tc>
          <w:tcPr>
            <w:tcW w:w="1017" w:type="dxa"/>
            <w:gridSpan w:val="2"/>
          </w:tcPr>
          <w:p>
            <w:pPr>
              <w:pStyle w:val="Tabkrper49pt"/>
            </w:pPr>
            <w:r>
              <w:t>0A001</w:t>
            </w:r>
          </w:p>
        </w:tc>
      </w:tr>
      <w:tr>
        <w:tc>
          <w:tcPr>
            <w:tcW w:w="868" w:type="dxa"/>
            <w:gridSpan w:val="2"/>
          </w:tcPr>
          <w:p>
            <w:pPr>
              <w:pStyle w:val="Tabkrper49pt"/>
            </w:pPr>
            <w:r>
              <w:t>II.A0.006</w:t>
            </w:r>
          </w:p>
        </w:tc>
        <w:tc>
          <w:tcPr>
            <w:tcW w:w="4239" w:type="dxa"/>
            <w:gridSpan w:val="2"/>
          </w:tcPr>
          <w:p>
            <w:pPr>
              <w:pStyle w:val="Tabkrper49pt"/>
            </w:pPr>
            <w:r>
              <w:t xml:space="preserve">Nukleare Nachweissysteme zum Nachweis, zur Identifizierung und zur Quantifizierung radioaktiver </w:t>
            </w:r>
            <w:r>
              <w:br/>
            </w:r>
            <w:r>
              <w:lastRenderedPageBreak/>
              <w:t>Stoffe oder von Kernstrahlung und besonders konstruierte Bestandteile hierfür, soweit nicht in den Unternummern 0A001j und 1A004c erfasst.</w:t>
            </w:r>
          </w:p>
        </w:tc>
        <w:tc>
          <w:tcPr>
            <w:tcW w:w="1017" w:type="dxa"/>
            <w:gridSpan w:val="2"/>
          </w:tcPr>
          <w:p>
            <w:pPr>
              <w:pStyle w:val="Tabkrper49pt"/>
            </w:pPr>
            <w:r>
              <w:lastRenderedPageBreak/>
              <w:t>0A001j</w:t>
            </w:r>
          </w:p>
          <w:p>
            <w:pPr>
              <w:pStyle w:val="Tabkrper49pt"/>
            </w:pPr>
            <w:r>
              <w:t>1A004c</w:t>
            </w:r>
          </w:p>
        </w:tc>
      </w:tr>
      <w:tr>
        <w:tc>
          <w:tcPr>
            <w:tcW w:w="868" w:type="dxa"/>
            <w:gridSpan w:val="2"/>
          </w:tcPr>
          <w:p>
            <w:pPr>
              <w:pStyle w:val="Tabkrper49pt"/>
            </w:pPr>
            <w:r>
              <w:t>II.A0.007</w:t>
            </w:r>
          </w:p>
        </w:tc>
        <w:tc>
          <w:tcPr>
            <w:tcW w:w="4239" w:type="dxa"/>
            <w:gridSpan w:val="2"/>
          </w:tcPr>
          <w:p>
            <w:pPr>
              <w:pStyle w:val="Tabkrper49pt"/>
            </w:pPr>
            <w:r>
              <w:t>Faltenbalgventile aus Aluminiumlegierungen oder rostfreiem Stahl vom Typ 304, 304L oder 316L.</w:t>
            </w:r>
          </w:p>
          <w:p>
            <w:pPr>
              <w:pStyle w:val="Tabkrper49pt"/>
            </w:pPr>
            <w:r>
              <w:rPr>
                <w:i/>
              </w:rPr>
              <w:t>Anmerkung</w:t>
            </w:r>
            <w:r>
              <w:t>: Diese Nummer erfasst nicht Faltenbalgventile, erfasst in Unternummer 0B001c6 und Nummer 2A226.</w:t>
            </w:r>
          </w:p>
        </w:tc>
        <w:tc>
          <w:tcPr>
            <w:tcW w:w="1017" w:type="dxa"/>
            <w:gridSpan w:val="2"/>
          </w:tcPr>
          <w:p>
            <w:pPr>
              <w:pStyle w:val="Tabkrper49pt"/>
            </w:pPr>
            <w:r>
              <w:t>0B001c6</w:t>
            </w:r>
          </w:p>
          <w:p>
            <w:pPr>
              <w:pStyle w:val="Tabkrper49pt"/>
            </w:pPr>
            <w:r>
              <w:t>2A226</w:t>
            </w:r>
          </w:p>
        </w:tc>
      </w:tr>
      <w:tr>
        <w:tc>
          <w:tcPr>
            <w:tcW w:w="868" w:type="dxa"/>
            <w:gridSpan w:val="2"/>
          </w:tcPr>
          <w:p>
            <w:pPr>
              <w:pStyle w:val="Tabkrper49pt"/>
            </w:pPr>
            <w:r>
              <w:t>II.A0.008</w:t>
            </w:r>
          </w:p>
        </w:tc>
        <w:tc>
          <w:tcPr>
            <w:tcW w:w="4239" w:type="dxa"/>
            <w:gridSpan w:val="2"/>
          </w:tcPr>
          <w:p>
            <w:pPr>
              <w:pStyle w:val="Tabkrper49pt"/>
            </w:pPr>
            <w:r>
              <w:t>Laserspiegel, soweit nicht in Unternummer 6A005e erfasst, aus Substraten mit einem thermischen Ausdehnungskoeffizienten von kleiner/gleich 10</w:t>
            </w:r>
            <w:r>
              <w:rPr>
                <w:vertAlign w:val="superscript"/>
              </w:rPr>
              <w:t>-</w:t>
            </w:r>
            <w:r>
              <w:rPr>
                <w:position w:val="4"/>
                <w:sz w:val="13"/>
              </w:rPr>
              <w:t>6</w:t>
            </w:r>
            <w:r>
              <w:rPr>
                <w:vertAlign w:val="superscript"/>
              </w:rPr>
              <w:t xml:space="preserve"> </w:t>
            </w:r>
            <w:r>
              <w:t>K</w:t>
            </w:r>
            <w:r>
              <w:rPr>
                <w:vertAlign w:val="superscript"/>
              </w:rPr>
              <w:t>-</w:t>
            </w:r>
            <w:r>
              <w:rPr>
                <w:position w:val="4"/>
                <w:sz w:val="13"/>
              </w:rPr>
              <w:t>1</w:t>
            </w:r>
            <w:r>
              <w:t xml:space="preserve"> </w:t>
            </w:r>
            <w:r>
              <w:br/>
              <w:t>bei 20 °C (z.B. Quarzglas oder Saphir).</w:t>
            </w:r>
          </w:p>
          <w:p>
            <w:pPr>
              <w:pStyle w:val="Tabkrper49pt"/>
            </w:pPr>
            <w:r>
              <w:rPr>
                <w:i/>
              </w:rPr>
              <w:t xml:space="preserve">Anmerkung: </w:t>
            </w:r>
            <w:r>
              <w:t xml:space="preserve">Diese Nummer erfasst nicht optische </w:t>
            </w:r>
            <w:r>
              <w:br/>
              <w:t>Systeme, die speziell für astronomische Anwendungen entwickelt wurden, sofern die Spiegel kein geschmolzenes Quarz enthalten.</w:t>
            </w:r>
          </w:p>
        </w:tc>
        <w:tc>
          <w:tcPr>
            <w:tcW w:w="1017" w:type="dxa"/>
            <w:gridSpan w:val="2"/>
          </w:tcPr>
          <w:p>
            <w:pPr>
              <w:pStyle w:val="Tabkrper49pt"/>
            </w:pPr>
            <w:r>
              <w:t>0B001g5</w:t>
            </w:r>
          </w:p>
          <w:p>
            <w:pPr>
              <w:pStyle w:val="Tabkrper49pt"/>
            </w:pPr>
            <w:r>
              <w:t>6A005e</w:t>
            </w:r>
          </w:p>
        </w:tc>
      </w:tr>
      <w:tr>
        <w:tc>
          <w:tcPr>
            <w:tcW w:w="868" w:type="dxa"/>
            <w:gridSpan w:val="2"/>
          </w:tcPr>
          <w:p>
            <w:pPr>
              <w:pStyle w:val="Tabkrper49pt"/>
            </w:pPr>
            <w:r>
              <w:t>II.A0.009</w:t>
            </w:r>
          </w:p>
        </w:tc>
        <w:tc>
          <w:tcPr>
            <w:tcW w:w="4239" w:type="dxa"/>
            <w:gridSpan w:val="2"/>
          </w:tcPr>
          <w:p>
            <w:pPr>
              <w:pStyle w:val="Tabkrper49pt"/>
            </w:pPr>
            <w:r>
              <w:t xml:space="preserve">Laserlinsen, soweit nicht in Unternummer 6A005e2 </w:t>
            </w:r>
            <w:r>
              <w:br/>
              <w:t>erfasst, aus Substraten mit einem thermischen Ausdehnungskoeffizienten von kleiner/gleich 10</w:t>
            </w:r>
            <w:r>
              <w:rPr>
                <w:vertAlign w:val="superscript"/>
              </w:rPr>
              <w:t>-6</w:t>
            </w:r>
            <w:r>
              <w:t>K</w:t>
            </w:r>
            <w:r>
              <w:rPr>
                <w:vertAlign w:val="superscript"/>
              </w:rPr>
              <w:t>-1</w:t>
            </w:r>
            <w:r>
              <w:t xml:space="preserve"> bei 20 °C (z.B. Quarzglas).</w:t>
            </w:r>
          </w:p>
        </w:tc>
        <w:tc>
          <w:tcPr>
            <w:tcW w:w="1017" w:type="dxa"/>
            <w:gridSpan w:val="2"/>
          </w:tcPr>
          <w:p>
            <w:pPr>
              <w:pStyle w:val="Tabkrper49pt"/>
            </w:pPr>
            <w:r>
              <w:t>0B001g</w:t>
            </w:r>
          </w:p>
          <w:p>
            <w:pPr>
              <w:pStyle w:val="Tabkrper49pt"/>
            </w:pPr>
            <w:r>
              <w:t>6A005e2</w:t>
            </w:r>
          </w:p>
        </w:tc>
      </w:tr>
      <w:tr>
        <w:tc>
          <w:tcPr>
            <w:tcW w:w="868" w:type="dxa"/>
            <w:gridSpan w:val="2"/>
          </w:tcPr>
          <w:p>
            <w:pPr>
              <w:pStyle w:val="Tabkrper49pt"/>
            </w:pPr>
            <w:r>
              <w:t>II.A0.010</w:t>
            </w:r>
          </w:p>
        </w:tc>
        <w:tc>
          <w:tcPr>
            <w:tcW w:w="4239" w:type="dxa"/>
            <w:gridSpan w:val="2"/>
          </w:tcPr>
          <w:p>
            <w:pPr>
              <w:pStyle w:val="Tabkrper49pt"/>
            </w:pPr>
            <w:r>
              <w:t xml:space="preserve">Rohre, Verrohrungen, Flansche und Anschlussstücke (Fittings), bestehend aus oder beschichtet mit Nickel </w:t>
            </w:r>
            <w:r>
              <w:br/>
              <w:t xml:space="preserve">oder Nickellegierungen mit mehr als 40 Gew.-% Nickel, soweit nicht in Unternummer 2B350h1 erfasst. </w:t>
            </w:r>
          </w:p>
        </w:tc>
        <w:tc>
          <w:tcPr>
            <w:tcW w:w="1017" w:type="dxa"/>
            <w:gridSpan w:val="2"/>
          </w:tcPr>
          <w:p>
            <w:pPr>
              <w:pStyle w:val="Tabkrper49pt"/>
            </w:pPr>
            <w:r>
              <w:t>2B350</w:t>
            </w:r>
          </w:p>
        </w:tc>
      </w:tr>
      <w:tr>
        <w:tc>
          <w:tcPr>
            <w:tcW w:w="868" w:type="dxa"/>
            <w:gridSpan w:val="2"/>
          </w:tcPr>
          <w:p>
            <w:pPr>
              <w:pStyle w:val="Tabkrper49pt"/>
            </w:pPr>
            <w:r>
              <w:rPr>
                <w:color w:val="19161B"/>
              </w:rPr>
              <w:t>II.A0.011</w:t>
            </w:r>
          </w:p>
        </w:tc>
        <w:tc>
          <w:tcPr>
            <w:tcW w:w="4239" w:type="dxa"/>
            <w:gridSpan w:val="2"/>
          </w:tcPr>
          <w:p>
            <w:pPr>
              <w:pStyle w:val="Tabkrper49pt"/>
              <w:rPr>
                <w:color w:val="19161B"/>
              </w:rPr>
            </w:pPr>
            <w:r>
              <w:rPr>
                <w:color w:val="19161B"/>
              </w:rPr>
              <w:t xml:space="preserve">Vakuumpumpen, soweit nicht in Unternummer 0B002f2 oder Nummer 2B231 erfasst, wie folgt: </w:t>
            </w:r>
          </w:p>
          <w:p>
            <w:pPr>
              <w:pStyle w:val="Tabkrper49pt"/>
              <w:rPr>
                <w:color w:val="19161B"/>
              </w:rPr>
            </w:pPr>
            <w:r>
              <w:rPr>
                <w:color w:val="19161B"/>
              </w:rPr>
              <w:t xml:space="preserve">Turbomolekularpumpen mit einer Förderleistung grösser/gleich 400 l/s, </w:t>
            </w:r>
          </w:p>
          <w:p>
            <w:pPr>
              <w:pStyle w:val="Tabkrper49pt"/>
              <w:rPr>
                <w:color w:val="19161B"/>
              </w:rPr>
            </w:pPr>
            <w:r>
              <w:rPr>
                <w:color w:val="19161B"/>
              </w:rPr>
              <w:t>Wälzkolben(Roots-)vakuumpumpen mit einer volumetrischen Ansaugleistung grösser als 200 m</w:t>
            </w:r>
            <w:r>
              <w:rPr>
                <w:position w:val="4"/>
                <w:sz w:val="13"/>
              </w:rPr>
              <w:t>3</w:t>
            </w:r>
            <w:r>
              <w:rPr>
                <w:color w:val="19161B"/>
              </w:rPr>
              <w:t>/h,</w:t>
            </w:r>
          </w:p>
          <w:p>
            <w:pPr>
              <w:pStyle w:val="Tabkrper49pt"/>
              <w:rPr>
                <w:color w:val="19161B"/>
              </w:rPr>
            </w:pPr>
            <w:r>
              <w:rPr>
                <w:color w:val="19161B"/>
              </w:rPr>
              <w:t>Faltenbalggedichtete Schraubenkompressoren und faltenbalggedichtete Schraubenvakuumpumpen.</w:t>
            </w:r>
          </w:p>
        </w:tc>
        <w:tc>
          <w:tcPr>
            <w:tcW w:w="1017" w:type="dxa"/>
            <w:gridSpan w:val="2"/>
          </w:tcPr>
          <w:p>
            <w:pPr>
              <w:pStyle w:val="Tabkrper49pt"/>
              <w:rPr>
                <w:color w:val="19161B"/>
              </w:rPr>
            </w:pPr>
            <w:r>
              <w:rPr>
                <w:color w:val="19161B"/>
              </w:rPr>
              <w:t>0B002f2</w:t>
            </w:r>
          </w:p>
          <w:p>
            <w:pPr>
              <w:pStyle w:val="Tabkrper49pt"/>
            </w:pPr>
            <w:r>
              <w:rPr>
                <w:color w:val="19161B"/>
              </w:rPr>
              <w:t>2B231</w:t>
            </w:r>
          </w:p>
        </w:tc>
      </w:tr>
      <w:tr>
        <w:tc>
          <w:tcPr>
            <w:tcW w:w="868" w:type="dxa"/>
            <w:gridSpan w:val="2"/>
          </w:tcPr>
          <w:p>
            <w:pPr>
              <w:pStyle w:val="Tabkrper49pt"/>
            </w:pPr>
            <w:r>
              <w:t>II.A0.012</w:t>
            </w:r>
          </w:p>
        </w:tc>
        <w:tc>
          <w:tcPr>
            <w:tcW w:w="4239" w:type="dxa"/>
            <w:gridSpan w:val="2"/>
          </w:tcPr>
          <w:p>
            <w:pPr>
              <w:pStyle w:val="Tabkrper49pt"/>
            </w:pPr>
            <w:r>
              <w:t xml:space="preserve">Abgeschirmte Gehäuse für den Umgang mit, die Aufbewahrung oder die Handhabung von radioaktiven </w:t>
            </w:r>
            <w:r>
              <w:br/>
              <w:t>Stoffen (Heisse Zellen).</w:t>
            </w:r>
          </w:p>
        </w:tc>
        <w:tc>
          <w:tcPr>
            <w:tcW w:w="1017" w:type="dxa"/>
            <w:gridSpan w:val="2"/>
          </w:tcPr>
          <w:p>
            <w:pPr>
              <w:pStyle w:val="Tabkrper49pt"/>
            </w:pPr>
            <w:r>
              <w:t>0B006</w:t>
            </w:r>
          </w:p>
        </w:tc>
      </w:tr>
      <w:tr>
        <w:tc>
          <w:tcPr>
            <w:tcW w:w="868" w:type="dxa"/>
            <w:gridSpan w:val="2"/>
          </w:tcPr>
          <w:p>
            <w:pPr>
              <w:pStyle w:val="Tabkrper49pt"/>
              <w:keepNext/>
            </w:pPr>
            <w:r>
              <w:lastRenderedPageBreak/>
              <w:t>II.A0.013</w:t>
            </w:r>
          </w:p>
        </w:tc>
        <w:tc>
          <w:tcPr>
            <w:tcW w:w="4239" w:type="dxa"/>
            <w:gridSpan w:val="2"/>
          </w:tcPr>
          <w:p>
            <w:pPr>
              <w:pStyle w:val="Tabkrper49pt"/>
              <w:keepNext/>
            </w:pPr>
            <w:r>
              <w:rPr>
                <w:rFonts w:eastAsia="EUAlbertina-Regular-Identity-H"/>
              </w:rPr>
              <w:t>«</w:t>
            </w:r>
            <w:r>
              <w:t>Natürliches Uran</w:t>
            </w:r>
            <w:r>
              <w:rPr>
                <w:rFonts w:eastAsia="EUAlbertina-Regular-Identity-H"/>
              </w:rPr>
              <w:t>»</w:t>
            </w:r>
            <w:r>
              <w:t xml:space="preserve">, </w:t>
            </w:r>
            <w:r>
              <w:rPr>
                <w:rFonts w:eastAsia="EUAlbertina-Regular-Identity-H"/>
              </w:rPr>
              <w:t>«</w:t>
            </w:r>
            <w:r>
              <w:t>abgereichertes Uran</w:t>
            </w:r>
            <w:r>
              <w:rPr>
                <w:rFonts w:eastAsia="EUAlbertina-Regular-Identity-H"/>
              </w:rPr>
              <w:t>»</w:t>
            </w:r>
            <w:r>
              <w:t xml:space="preserve"> oder </w:t>
            </w:r>
            <w:r>
              <w:br/>
              <w:t>Thorium als Metall, Legierung, chemische Verbindung oder Konzentrat sowie jedes andere Material, das einen oder mehrere der vorstehend genannten Stoffe enthält, soweit nicht in Nummer 0C001 erfasst.</w:t>
            </w:r>
          </w:p>
        </w:tc>
        <w:tc>
          <w:tcPr>
            <w:tcW w:w="1017" w:type="dxa"/>
            <w:gridSpan w:val="2"/>
          </w:tcPr>
          <w:p>
            <w:pPr>
              <w:pStyle w:val="Tabkrper49pt"/>
              <w:keepNext/>
            </w:pPr>
            <w:r>
              <w:t>0C001</w:t>
            </w:r>
          </w:p>
        </w:tc>
      </w:tr>
      <w:tr>
        <w:tc>
          <w:tcPr>
            <w:tcW w:w="868" w:type="dxa"/>
            <w:gridSpan w:val="2"/>
          </w:tcPr>
          <w:p>
            <w:pPr>
              <w:pStyle w:val="Tabkrper49pt"/>
            </w:pPr>
          </w:p>
        </w:tc>
        <w:tc>
          <w:tcPr>
            <w:tcW w:w="4239" w:type="dxa"/>
            <w:gridSpan w:val="2"/>
          </w:tcPr>
          <w:p>
            <w:pPr>
              <w:pStyle w:val="Tabkrper49pt"/>
            </w:pPr>
          </w:p>
        </w:tc>
        <w:tc>
          <w:tcPr>
            <w:tcW w:w="1017" w:type="dxa"/>
            <w:gridSpan w:val="2"/>
          </w:tcPr>
          <w:p>
            <w:pPr>
              <w:pStyle w:val="Tabkrper49pt"/>
            </w:pPr>
          </w:p>
        </w:tc>
      </w:tr>
      <w:tr>
        <w:tc>
          <w:tcPr>
            <w:tcW w:w="868" w:type="dxa"/>
            <w:gridSpan w:val="2"/>
          </w:tcPr>
          <w:p>
            <w:pPr>
              <w:pStyle w:val="Tabkrper49pt"/>
            </w:pPr>
            <w:r>
              <w:t>II.A0.014</w:t>
            </w:r>
          </w:p>
        </w:tc>
        <w:tc>
          <w:tcPr>
            <w:tcW w:w="4239" w:type="dxa"/>
            <w:gridSpan w:val="2"/>
          </w:tcPr>
          <w:p>
            <w:pPr>
              <w:pStyle w:val="Tabkrper49pt"/>
            </w:pPr>
            <w:r>
              <w:t>Detonationskammern mit einer Absorptions-Kapazität von über 2,5 kg TNT-Äquivalent.</w:t>
            </w:r>
          </w:p>
        </w:tc>
        <w:tc>
          <w:tcPr>
            <w:tcW w:w="1017" w:type="dxa"/>
            <w:gridSpan w:val="2"/>
          </w:tcPr>
          <w:p>
            <w:pPr>
              <w:pStyle w:val="Tabkrper49pt"/>
            </w:pPr>
          </w:p>
        </w:tc>
      </w:tr>
      <w:tr>
        <w:tc>
          <w:tcPr>
            <w:tcW w:w="868" w:type="dxa"/>
            <w:gridSpan w:val="2"/>
          </w:tcPr>
          <w:p>
            <w:pPr>
              <w:pStyle w:val="Tabkrper49pt"/>
            </w:pPr>
            <w:r>
              <w:rPr>
                <w:color w:val="19161B"/>
                <w:szCs w:val="18"/>
              </w:rPr>
              <w:t>II.A0.015</w:t>
            </w:r>
          </w:p>
        </w:tc>
        <w:tc>
          <w:tcPr>
            <w:tcW w:w="4239" w:type="dxa"/>
            <w:gridSpan w:val="2"/>
          </w:tcPr>
          <w:p>
            <w:pPr>
              <w:pStyle w:val="Tabkrper49pt"/>
              <w:rPr>
                <w:color w:val="19161B"/>
                <w:szCs w:val="18"/>
                <w:lang w:eastAsia="de-CH"/>
              </w:rPr>
            </w:pPr>
            <w:r>
              <w:rPr>
                <w:rFonts w:eastAsia="EUAlbertina-Regular-Identity-H"/>
              </w:rPr>
              <w:t>«</w:t>
            </w:r>
            <w:r>
              <w:rPr>
                <w:color w:val="19161B"/>
                <w:szCs w:val="18"/>
                <w:lang w:eastAsia="de-CH"/>
              </w:rPr>
              <w:t>Handschuhfächer</w:t>
            </w:r>
            <w:r>
              <w:rPr>
                <w:rFonts w:eastAsia="EUAlbertina-Regular-Identity-H"/>
              </w:rPr>
              <w:t>»</w:t>
            </w:r>
            <w:r>
              <w:rPr>
                <w:color w:val="19161B"/>
                <w:szCs w:val="18"/>
                <w:lang w:eastAsia="de-CH"/>
              </w:rPr>
              <w:t xml:space="preserve">, besonders konstruiert für radioaktive Isotope, Strahlenquellen oder Radionuklide. </w:t>
            </w:r>
          </w:p>
          <w:p>
            <w:pPr>
              <w:pStyle w:val="Tabkrper49pt"/>
            </w:pPr>
            <w:r>
              <w:rPr>
                <w:i/>
                <w:iCs/>
                <w:color w:val="19161B"/>
                <w:szCs w:val="18"/>
                <w:lang w:eastAsia="de-CH"/>
              </w:rPr>
              <w:t>Technische Anmerkung</w:t>
            </w:r>
            <w:r>
              <w:rPr>
                <w:iCs/>
                <w:color w:val="19161B"/>
                <w:szCs w:val="18"/>
                <w:lang w:eastAsia="de-CH"/>
              </w:rPr>
              <w:t xml:space="preserve">: </w:t>
            </w:r>
            <w:r>
              <w:rPr>
                <w:rFonts w:eastAsia="EUAlbertina-Regular-Identity-H"/>
              </w:rPr>
              <w:t>«</w:t>
            </w:r>
            <w:r>
              <w:rPr>
                <w:iCs/>
                <w:color w:val="19161B"/>
                <w:szCs w:val="18"/>
                <w:lang w:eastAsia="de-CH"/>
              </w:rPr>
              <w:t>Handschuhfach</w:t>
            </w:r>
            <w:r>
              <w:rPr>
                <w:rFonts w:eastAsia="EUAlbertina-Regular-Identity-H"/>
              </w:rPr>
              <w:t>»</w:t>
            </w:r>
            <w:r>
              <w:rPr>
                <w:color w:val="19161B"/>
                <w:szCs w:val="18"/>
                <w:lang w:eastAsia="de-CH"/>
              </w:rPr>
              <w:t xml:space="preserve"> </w:t>
            </w:r>
            <w:r>
              <w:rPr>
                <w:iCs/>
                <w:color w:val="19161B"/>
                <w:szCs w:val="18"/>
                <w:lang w:eastAsia="de-CH"/>
              </w:rPr>
              <w:t>bezeichnet ein Gerät, das der Person, die das Gerät von aussen bedient, Schutz vor gefährlichen Dämpfen, Partikeln oder Strahlen bietet, die von den Materialien erzeugt werden, die die Person mittels in das Gerät integrierter Griffe oder Handschuhe innerhalb des Geräts behandelt oder bearbeitet.</w:t>
            </w:r>
          </w:p>
        </w:tc>
        <w:tc>
          <w:tcPr>
            <w:tcW w:w="1017" w:type="dxa"/>
            <w:gridSpan w:val="2"/>
          </w:tcPr>
          <w:p>
            <w:pPr>
              <w:pStyle w:val="Tabkrper49pt"/>
            </w:pPr>
            <w:r>
              <w:rPr>
                <w:color w:val="19161B"/>
                <w:szCs w:val="18"/>
              </w:rPr>
              <w:t>0B006</w:t>
            </w:r>
          </w:p>
        </w:tc>
      </w:tr>
      <w:tr>
        <w:tc>
          <w:tcPr>
            <w:tcW w:w="868" w:type="dxa"/>
            <w:gridSpan w:val="2"/>
          </w:tcPr>
          <w:p>
            <w:pPr>
              <w:pStyle w:val="Tabkrper49pt"/>
            </w:pPr>
            <w:r>
              <w:rPr>
                <w:color w:val="19161B"/>
                <w:szCs w:val="18"/>
              </w:rPr>
              <w:t>II.A0.016</w:t>
            </w:r>
          </w:p>
        </w:tc>
        <w:tc>
          <w:tcPr>
            <w:tcW w:w="4239" w:type="dxa"/>
            <w:gridSpan w:val="2"/>
          </w:tcPr>
          <w:p>
            <w:pPr>
              <w:pStyle w:val="Tabkrper49pt"/>
            </w:pPr>
            <w:r>
              <w:rPr>
                <w:color w:val="19161B"/>
                <w:szCs w:val="18"/>
              </w:rPr>
              <w:t>Systeme zur Überwachung toxischer Gase, ausgelegt für den Dauerbetrieb und zur Feststellung von Schwefelwasserstoff, und besonders konstruierte Detektoren hierfür.</w:t>
            </w:r>
          </w:p>
        </w:tc>
        <w:tc>
          <w:tcPr>
            <w:tcW w:w="1017" w:type="dxa"/>
            <w:gridSpan w:val="2"/>
          </w:tcPr>
          <w:p>
            <w:pPr>
              <w:pStyle w:val="Tabkrper49pt"/>
              <w:rPr>
                <w:color w:val="19161B"/>
                <w:szCs w:val="18"/>
              </w:rPr>
            </w:pPr>
            <w:r>
              <w:rPr>
                <w:color w:val="19161B"/>
                <w:szCs w:val="18"/>
              </w:rPr>
              <w:t xml:space="preserve">0A001 </w:t>
            </w:r>
          </w:p>
          <w:p>
            <w:pPr>
              <w:pStyle w:val="Tabkrper49pt"/>
            </w:pPr>
            <w:r>
              <w:rPr>
                <w:color w:val="19161B"/>
                <w:szCs w:val="18"/>
              </w:rPr>
              <w:t>0B001c</w:t>
            </w:r>
          </w:p>
        </w:tc>
      </w:tr>
      <w:tr>
        <w:tc>
          <w:tcPr>
            <w:tcW w:w="868" w:type="dxa"/>
            <w:gridSpan w:val="2"/>
          </w:tcPr>
          <w:p>
            <w:pPr>
              <w:pStyle w:val="Tabkrper49pt"/>
            </w:pPr>
            <w:r>
              <w:rPr>
                <w:color w:val="19161B"/>
                <w:szCs w:val="18"/>
              </w:rPr>
              <w:t>II.A0.017</w:t>
            </w:r>
          </w:p>
        </w:tc>
        <w:tc>
          <w:tcPr>
            <w:tcW w:w="4239" w:type="dxa"/>
            <w:gridSpan w:val="2"/>
          </w:tcPr>
          <w:p>
            <w:pPr>
              <w:pStyle w:val="Tabkrper49pt"/>
            </w:pPr>
            <w:r>
              <w:rPr>
                <w:color w:val="19161B"/>
                <w:szCs w:val="18"/>
              </w:rPr>
              <w:t>Heliumleckdetektoren.</w:t>
            </w:r>
          </w:p>
        </w:tc>
        <w:tc>
          <w:tcPr>
            <w:tcW w:w="1017" w:type="dxa"/>
            <w:gridSpan w:val="2"/>
          </w:tcPr>
          <w:p>
            <w:pPr>
              <w:pStyle w:val="Tabkrper49pt"/>
              <w:rPr>
                <w:color w:val="19161B"/>
                <w:szCs w:val="18"/>
              </w:rPr>
            </w:pPr>
            <w:r>
              <w:rPr>
                <w:color w:val="19161B"/>
                <w:szCs w:val="18"/>
              </w:rPr>
              <w:t xml:space="preserve">0A001 </w:t>
            </w:r>
          </w:p>
          <w:p>
            <w:pPr>
              <w:pStyle w:val="Tabkrper49pt"/>
            </w:pPr>
            <w:r>
              <w:rPr>
                <w:color w:val="19161B"/>
                <w:szCs w:val="18"/>
              </w:rPr>
              <w:t>0B001c</w:t>
            </w:r>
          </w:p>
        </w:tc>
      </w:tr>
      <w:tr>
        <w:tc>
          <w:tcPr>
            <w:tcW w:w="6124" w:type="dxa"/>
            <w:gridSpan w:val="6"/>
          </w:tcPr>
          <w:p>
            <w:pPr>
              <w:pStyle w:val="Tab-Utit9pt-kurs"/>
            </w:pPr>
            <w:r>
              <w:t xml:space="preserve">A1. Werkstoffe, Chemikalien, </w:t>
            </w:r>
            <w:r>
              <w:rPr>
                <w:rFonts w:eastAsia="EUAlbertina-Regular-Identity-H"/>
              </w:rPr>
              <w:t>«</w:t>
            </w:r>
            <w:r>
              <w:t>Mikroorganismen</w:t>
            </w:r>
            <w:r>
              <w:rPr>
                <w:rFonts w:eastAsia="EUAlbertina-Regular-Identity-H"/>
              </w:rPr>
              <w:t>»</w:t>
            </w:r>
            <w:r>
              <w:t xml:space="preserve"> und </w:t>
            </w:r>
            <w:r>
              <w:rPr>
                <w:rFonts w:eastAsia="EUAlbertina-Regular-Identity-H"/>
              </w:rPr>
              <w:t>«</w:t>
            </w:r>
            <w:r>
              <w:t>Toxine</w:t>
            </w:r>
            <w:r>
              <w:rPr>
                <w:rFonts w:eastAsia="EUAlbertina-Regular-Identity-H"/>
              </w:rPr>
              <w:t>»</w:t>
            </w:r>
          </w:p>
        </w:tc>
      </w:tr>
      <w:tr>
        <w:tc>
          <w:tcPr>
            <w:tcW w:w="868" w:type="dxa"/>
            <w:gridSpan w:val="2"/>
          </w:tcPr>
          <w:p>
            <w:pPr>
              <w:pStyle w:val="Tabkrper49pt"/>
            </w:pPr>
            <w:r>
              <w:t xml:space="preserve">II.A1.001 </w:t>
            </w:r>
          </w:p>
        </w:tc>
        <w:tc>
          <w:tcPr>
            <w:tcW w:w="4239" w:type="dxa"/>
            <w:gridSpan w:val="2"/>
          </w:tcPr>
          <w:p>
            <w:pPr>
              <w:pStyle w:val="Tabkrper49pt"/>
            </w:pPr>
            <w:r>
              <w:t xml:space="preserve">Lösungsmittel Bis(2-ethylhexyl)phosphorsäure (HDEHP oder D2HPA) (Nummer im Register des Chemical </w:t>
            </w:r>
            <w:r>
              <w:br/>
              <w:t>Abstract Service (CAS) 298-07-7), in beliebiger Menge, mit einer Reinheit grö</w:t>
            </w:r>
            <w:r>
              <w:rPr>
                <w:rFonts w:eastAsia="EUAlbertina-Regular-Identity-H"/>
              </w:rPr>
              <w:t>ss</w:t>
            </w:r>
            <w:r>
              <w:t>er als 90 Gew.-%.</w:t>
            </w:r>
          </w:p>
        </w:tc>
        <w:tc>
          <w:tcPr>
            <w:tcW w:w="1017" w:type="dxa"/>
            <w:gridSpan w:val="2"/>
          </w:tcPr>
          <w:p>
            <w:pPr>
              <w:pStyle w:val="Tabkrper49pt"/>
            </w:pPr>
          </w:p>
        </w:tc>
      </w:tr>
      <w:tr>
        <w:tc>
          <w:tcPr>
            <w:tcW w:w="868" w:type="dxa"/>
            <w:gridSpan w:val="2"/>
          </w:tcPr>
          <w:p>
            <w:pPr>
              <w:pStyle w:val="Tabkrper49pt"/>
            </w:pPr>
            <w:r>
              <w:t xml:space="preserve">II.A1.002 </w:t>
            </w:r>
          </w:p>
        </w:tc>
        <w:tc>
          <w:tcPr>
            <w:tcW w:w="4239" w:type="dxa"/>
            <w:gridSpan w:val="2"/>
          </w:tcPr>
          <w:p>
            <w:pPr>
              <w:pStyle w:val="Tabkrper49pt"/>
            </w:pPr>
            <w:r>
              <w:t>Fluorgas – CAS-Nr. 7782-41-4 – mit einer Reinheit grösser als 95 Gew.-%.</w:t>
            </w:r>
          </w:p>
        </w:tc>
        <w:tc>
          <w:tcPr>
            <w:tcW w:w="1017" w:type="dxa"/>
            <w:gridSpan w:val="2"/>
          </w:tcPr>
          <w:p>
            <w:pPr>
              <w:pStyle w:val="Tabkrper49pt"/>
            </w:pPr>
          </w:p>
        </w:tc>
      </w:tr>
      <w:tr>
        <w:tc>
          <w:tcPr>
            <w:tcW w:w="868" w:type="dxa"/>
            <w:gridSpan w:val="2"/>
          </w:tcPr>
          <w:p>
            <w:pPr>
              <w:pStyle w:val="Tabkrper49pt"/>
            </w:pPr>
            <w:r>
              <w:rPr>
                <w:szCs w:val="18"/>
              </w:rPr>
              <w:t xml:space="preserve">II.A1.003 </w:t>
            </w:r>
          </w:p>
        </w:tc>
        <w:tc>
          <w:tcPr>
            <w:tcW w:w="4239" w:type="dxa"/>
            <w:gridSpan w:val="2"/>
          </w:tcPr>
          <w:p>
            <w:pPr>
              <w:pStyle w:val="Tabkrper49pt"/>
              <w:rPr>
                <w:szCs w:val="18"/>
              </w:rPr>
            </w:pPr>
            <w:r>
              <w:rPr>
                <w:szCs w:val="18"/>
              </w:rPr>
              <w:t xml:space="preserve">Ringförmige Dichtungen und Verschlüsse mit einem Innendurchmesser von kleiner/gleich 400 mm, bestehend aus einem der folgenden Materialien: </w:t>
            </w:r>
          </w:p>
          <w:p>
            <w:pPr>
              <w:pStyle w:val="Tab-Struktur149pt"/>
            </w:pPr>
            <w:r>
              <w:t>a)</w:t>
            </w:r>
            <w:r>
              <w:tab/>
              <w:t>Copolymere des Vinylidenfluorids, die ungereckt zu mindestens 75 % eine beta-kristalline Struktur aufweisen;</w:t>
            </w:r>
          </w:p>
          <w:p>
            <w:pPr>
              <w:pStyle w:val="Tab-Struktur149pt"/>
            </w:pPr>
            <w:r>
              <w:t>b)</w:t>
            </w:r>
            <w:r>
              <w:tab/>
              <w:t xml:space="preserve">fluorierte Polyimide, die mindestens 10 Gew.-% </w:t>
            </w:r>
            <w:r>
              <w:br/>
              <w:t xml:space="preserve">gebundenes Fluor enthalten; </w:t>
            </w:r>
          </w:p>
          <w:p>
            <w:pPr>
              <w:pStyle w:val="Tab-Struktur149pt"/>
            </w:pPr>
            <w:r>
              <w:t>c)</w:t>
            </w:r>
            <w:r>
              <w:tab/>
              <w:t xml:space="preserve">fluorierte Phosphazen-Elastomere, die mindestens 30 Gew.-% gebundenes Fluor enthalten; </w:t>
            </w:r>
          </w:p>
          <w:p>
            <w:pPr>
              <w:pStyle w:val="Tab-Struktur149pt"/>
            </w:pPr>
            <w:r>
              <w:lastRenderedPageBreak/>
              <w:t>d)</w:t>
            </w:r>
            <w:r>
              <w:tab/>
              <w:t xml:space="preserve">Polychlortrifluorethylen (PCTFE, z.B. Kel-F ®); </w:t>
            </w:r>
          </w:p>
          <w:p>
            <w:pPr>
              <w:pStyle w:val="Tab-Struktur149pt"/>
            </w:pPr>
            <w:r>
              <w:t>e)</w:t>
            </w:r>
            <w:r>
              <w:tab/>
              <w:t xml:space="preserve">Fluorelastomere (z.B. Viton ®, Tecnoflon ®); </w:t>
            </w:r>
          </w:p>
          <w:p>
            <w:pPr>
              <w:pStyle w:val="Tabkrper49pt"/>
            </w:pPr>
            <w:r>
              <w:t>f)  Polytetrafluorethylen (PTFE).</w:t>
            </w:r>
          </w:p>
        </w:tc>
        <w:tc>
          <w:tcPr>
            <w:tcW w:w="1017" w:type="dxa"/>
            <w:gridSpan w:val="2"/>
          </w:tcPr>
          <w:p>
            <w:pPr>
              <w:pStyle w:val="Tabkrper49pt"/>
            </w:pPr>
          </w:p>
        </w:tc>
      </w:tr>
      <w:tr>
        <w:tc>
          <w:tcPr>
            <w:tcW w:w="868" w:type="dxa"/>
            <w:gridSpan w:val="2"/>
          </w:tcPr>
          <w:p>
            <w:pPr>
              <w:pStyle w:val="Tabkrper49pt"/>
              <w:rPr>
                <w:szCs w:val="18"/>
              </w:rPr>
            </w:pPr>
            <w:r>
              <w:rPr>
                <w:szCs w:val="18"/>
              </w:rPr>
              <w:t xml:space="preserve">II.A1.004 </w:t>
            </w:r>
          </w:p>
        </w:tc>
        <w:tc>
          <w:tcPr>
            <w:tcW w:w="4239" w:type="dxa"/>
            <w:gridSpan w:val="2"/>
          </w:tcPr>
          <w:p>
            <w:pPr>
              <w:pStyle w:val="Tabkrper49pt"/>
              <w:rPr>
                <w:szCs w:val="18"/>
              </w:rPr>
            </w:pPr>
            <w:r>
              <w:rPr>
                <w:szCs w:val="18"/>
              </w:rPr>
              <w:t xml:space="preserve">Persönliche Ausrüstung für den Nachweis von Kernstrahlung, einschliesslich Personen-Dosimeter. </w:t>
            </w:r>
          </w:p>
          <w:p>
            <w:pPr>
              <w:pStyle w:val="Abstand4pt"/>
            </w:pPr>
          </w:p>
          <w:p>
            <w:pPr>
              <w:pStyle w:val="Tabkrper49pt"/>
              <w:rPr>
                <w:szCs w:val="18"/>
              </w:rPr>
            </w:pPr>
            <w:r>
              <w:rPr>
                <w:i/>
                <w:szCs w:val="18"/>
              </w:rPr>
              <w:t>Anmerkung</w:t>
            </w:r>
            <w:r>
              <w:rPr>
                <w:szCs w:val="18"/>
              </w:rPr>
              <w:t xml:space="preserve">: Diese Nummer erfasst nicht Kernstrahlungsnachweissysteme, erfasst in Unternummer 1A004c. </w:t>
            </w:r>
          </w:p>
        </w:tc>
        <w:tc>
          <w:tcPr>
            <w:tcW w:w="1017" w:type="dxa"/>
            <w:gridSpan w:val="2"/>
          </w:tcPr>
          <w:p>
            <w:pPr>
              <w:pStyle w:val="Tabkrper49pt"/>
            </w:pPr>
            <w:r>
              <w:rPr>
                <w:szCs w:val="18"/>
              </w:rPr>
              <w:t>1A004c</w:t>
            </w:r>
          </w:p>
        </w:tc>
      </w:tr>
      <w:tr>
        <w:tc>
          <w:tcPr>
            <w:tcW w:w="868" w:type="dxa"/>
            <w:gridSpan w:val="2"/>
          </w:tcPr>
          <w:p>
            <w:pPr>
              <w:pStyle w:val="Tabkrper49pt"/>
            </w:pPr>
            <w:r>
              <w:t xml:space="preserve">II.A1.005 </w:t>
            </w:r>
          </w:p>
        </w:tc>
        <w:tc>
          <w:tcPr>
            <w:tcW w:w="4239" w:type="dxa"/>
            <w:gridSpan w:val="2"/>
          </w:tcPr>
          <w:p>
            <w:pPr>
              <w:pStyle w:val="Tabkrper49pt"/>
            </w:pPr>
            <w:r>
              <w:t>Elektrolytische Zellen für die Erzeugung von Fluor mit einer Fertigungskapazität von mehr als 100 g Fluor je Stunde.</w:t>
            </w:r>
          </w:p>
          <w:p>
            <w:pPr>
              <w:pStyle w:val="Tabkrper49pt"/>
            </w:pPr>
            <w:r>
              <w:rPr>
                <w:i/>
              </w:rPr>
              <w:t>Anmerkung</w:t>
            </w:r>
            <w:r>
              <w:t>: Diese Nummer erfasst nicht elektrolytische Zellen, erfasst in Nummer 1B225.</w:t>
            </w:r>
          </w:p>
        </w:tc>
        <w:tc>
          <w:tcPr>
            <w:tcW w:w="1017" w:type="dxa"/>
            <w:gridSpan w:val="2"/>
          </w:tcPr>
          <w:p>
            <w:pPr>
              <w:pStyle w:val="Tabkrper49pt"/>
            </w:pPr>
            <w:r>
              <w:t>1B225</w:t>
            </w:r>
          </w:p>
        </w:tc>
      </w:tr>
      <w:tr>
        <w:tc>
          <w:tcPr>
            <w:tcW w:w="868" w:type="dxa"/>
            <w:gridSpan w:val="2"/>
          </w:tcPr>
          <w:p>
            <w:pPr>
              <w:pStyle w:val="Tabkrper49pt"/>
            </w:pPr>
            <w:r>
              <w:t xml:space="preserve">II.A1.006 </w:t>
            </w:r>
          </w:p>
        </w:tc>
        <w:tc>
          <w:tcPr>
            <w:tcW w:w="4239" w:type="dxa"/>
            <w:gridSpan w:val="2"/>
          </w:tcPr>
          <w:p>
            <w:pPr>
              <w:pStyle w:val="Tabkrper49pt"/>
            </w:pPr>
            <w:r>
              <w:t xml:space="preserve">Katalysatoren, soweit nicht nach Nummer 1A225 </w:t>
            </w:r>
            <w:r>
              <w:br/>
              <w:t>verboten, die Platin, Palladium oder Rhodium enthalten, verwendbar zur Förderung der Wasserstoffaustauschreaktion zwischen Wasserstoff und Wasser zur Tritiumrückgewinnung aus Schwerem Wasser oder zur Schwerwasserproduktion.</w:t>
            </w:r>
          </w:p>
        </w:tc>
        <w:tc>
          <w:tcPr>
            <w:tcW w:w="1017" w:type="dxa"/>
            <w:gridSpan w:val="2"/>
          </w:tcPr>
          <w:p>
            <w:pPr>
              <w:pStyle w:val="Tabkrper49pt"/>
            </w:pPr>
            <w:r>
              <w:t>1B231</w:t>
            </w:r>
          </w:p>
          <w:p>
            <w:pPr>
              <w:pStyle w:val="Tabkrper49pt"/>
            </w:pPr>
            <w:r>
              <w:t xml:space="preserve">1A225 </w:t>
            </w:r>
          </w:p>
        </w:tc>
      </w:tr>
      <w:tr>
        <w:tc>
          <w:tcPr>
            <w:tcW w:w="868" w:type="dxa"/>
            <w:gridSpan w:val="2"/>
          </w:tcPr>
          <w:p>
            <w:pPr>
              <w:pStyle w:val="Tabkrper49pt"/>
              <w:rPr>
                <w:szCs w:val="18"/>
              </w:rPr>
            </w:pPr>
            <w:r>
              <w:t>II.A1.007</w:t>
            </w:r>
            <w:r>
              <w:rPr>
                <w:szCs w:val="18"/>
              </w:rPr>
              <w:t xml:space="preserve"> </w:t>
            </w:r>
          </w:p>
        </w:tc>
        <w:tc>
          <w:tcPr>
            <w:tcW w:w="4239" w:type="dxa"/>
            <w:gridSpan w:val="2"/>
          </w:tcPr>
          <w:p>
            <w:pPr>
              <w:pStyle w:val="Tabkrper49pt"/>
            </w:pPr>
            <w:r>
              <w:t>Aluminium und Aluminiumlegierungen, soweit nicht in Unternummer 1C002b4 oder 1C202a erfasst, in Roh- oder Halbzeugform mit einer der folgenden Eigenschaften:</w:t>
            </w:r>
          </w:p>
          <w:p>
            <w:pPr>
              <w:pStyle w:val="Tab-Struktur149pt"/>
            </w:pPr>
            <w:r>
              <w:t>a)</w:t>
            </w:r>
            <w:r>
              <w:tab/>
              <w:t>erreichbare Zugfestigkeit grösser/gleich 460 MPa bei 293 K (20 °C); oder</w:t>
            </w:r>
          </w:p>
          <w:p>
            <w:pPr>
              <w:pStyle w:val="Tab-Struktur149pt"/>
            </w:pPr>
            <w:r>
              <w:t>b)</w:t>
            </w:r>
            <w:r>
              <w:tab/>
              <w:t xml:space="preserve">mit einer Zugfestigkeit grösser/gleich 415 MPa bei </w:t>
            </w:r>
            <w:r>
              <w:br/>
              <w:t>298 K (25 °C).</w:t>
            </w:r>
          </w:p>
        </w:tc>
        <w:tc>
          <w:tcPr>
            <w:tcW w:w="1017" w:type="dxa"/>
            <w:gridSpan w:val="2"/>
          </w:tcPr>
          <w:p>
            <w:pPr>
              <w:pStyle w:val="Tabkrper49pt"/>
              <w:rPr>
                <w:szCs w:val="18"/>
              </w:rPr>
            </w:pPr>
            <w:r>
              <w:t>1C002b4 1C202a</w:t>
            </w:r>
            <w:r>
              <w:rPr>
                <w:szCs w:val="18"/>
              </w:rPr>
              <w:t xml:space="preserve"> </w:t>
            </w:r>
          </w:p>
        </w:tc>
      </w:tr>
      <w:tr>
        <w:tc>
          <w:tcPr>
            <w:tcW w:w="868" w:type="dxa"/>
            <w:gridSpan w:val="2"/>
          </w:tcPr>
          <w:p>
            <w:pPr>
              <w:pStyle w:val="Tabkrper49pt"/>
            </w:pPr>
            <w:r>
              <w:t xml:space="preserve">II.A1.008 </w:t>
            </w:r>
          </w:p>
        </w:tc>
        <w:tc>
          <w:tcPr>
            <w:tcW w:w="4239" w:type="dxa"/>
            <w:gridSpan w:val="2"/>
          </w:tcPr>
          <w:p>
            <w:pPr>
              <w:pStyle w:val="Tabkrper49pt"/>
            </w:pPr>
            <w:r>
              <w:t>Magnetische Metalle aller Typen und in jeder Form mit einer Anfangsrelativpermeabilität (initial relative permeability) grösser/gleich 120 000 und einer Dicke grösser/gleich 0,05 mm und kleiner/gleich 0,1 mm.</w:t>
            </w:r>
          </w:p>
        </w:tc>
        <w:tc>
          <w:tcPr>
            <w:tcW w:w="1017" w:type="dxa"/>
            <w:gridSpan w:val="2"/>
          </w:tcPr>
          <w:p>
            <w:pPr>
              <w:pStyle w:val="Tabkrper49pt"/>
            </w:pPr>
            <w:r>
              <w:t xml:space="preserve">1C003a </w:t>
            </w:r>
          </w:p>
        </w:tc>
      </w:tr>
      <w:tr>
        <w:tc>
          <w:tcPr>
            <w:tcW w:w="868" w:type="dxa"/>
            <w:gridSpan w:val="2"/>
          </w:tcPr>
          <w:p>
            <w:pPr>
              <w:pStyle w:val="Tabkrper49pt"/>
            </w:pPr>
            <w:r>
              <w:t xml:space="preserve">II.A1.009 </w:t>
            </w:r>
          </w:p>
        </w:tc>
        <w:tc>
          <w:tcPr>
            <w:tcW w:w="4239" w:type="dxa"/>
            <w:gridSpan w:val="2"/>
          </w:tcPr>
          <w:p>
            <w:pPr>
              <w:pStyle w:val="Tabkrper49pt"/>
            </w:pPr>
            <w:r>
              <w:rPr>
                <w:rFonts w:eastAsia="EUAlbertina-Regular-Identity-H"/>
              </w:rPr>
              <w:t>«</w:t>
            </w:r>
            <w:r>
              <w:t>Faser- oder fadenförmige Materialien</w:t>
            </w:r>
            <w:r>
              <w:rPr>
                <w:rFonts w:eastAsia="EUAlbertina-Regular-Identity-H"/>
              </w:rPr>
              <w:t>»</w:t>
            </w:r>
            <w:r>
              <w:t xml:space="preserve"> oder Prepregs </w:t>
            </w:r>
            <w:r>
              <w:br/>
              <w:t>wie folgt:</w:t>
            </w:r>
          </w:p>
          <w:p>
            <w:pPr>
              <w:pStyle w:val="Tabkrper49pt"/>
              <w:rPr>
                <w:bCs/>
                <w:color w:val="19161B"/>
              </w:rPr>
            </w:pPr>
            <w:r>
              <w:rPr>
                <w:bCs/>
                <w:color w:val="19161B"/>
              </w:rPr>
              <w:t>ANMERKUNG: SIEHE AUCH ZIFFER II.A1.1019.a.</w:t>
            </w:r>
          </w:p>
          <w:p>
            <w:pPr>
              <w:pStyle w:val="Tab-Struktur149pt"/>
            </w:pPr>
            <w:r>
              <w:rPr>
                <w:rFonts w:eastAsia="EUAlbertina-Regular-Identity-H"/>
              </w:rPr>
              <w:t>a)</w:t>
            </w:r>
            <w:r>
              <w:rPr>
                <w:rFonts w:eastAsia="EUAlbertina-Regular-Identity-H"/>
              </w:rPr>
              <w:tab/>
              <w:t>«</w:t>
            </w:r>
            <w:r>
              <w:t>faser- oder fadenförmige Materialien</w:t>
            </w:r>
            <w:r>
              <w:rPr>
                <w:rFonts w:eastAsia="EUAlbertina-Regular-Identity-H"/>
              </w:rPr>
              <w:t>»</w:t>
            </w:r>
            <w:r>
              <w:t xml:space="preserve"> aus </w:t>
            </w:r>
            <w:r>
              <w:br/>
              <w:t xml:space="preserve">Kohlenstoff oder Aramid mit einer der folgenden </w:t>
            </w:r>
            <w:r>
              <w:br/>
              <w:t>Eigenschaften:</w:t>
            </w:r>
          </w:p>
          <w:p>
            <w:pPr>
              <w:pStyle w:val="Tab-Struktur209pt"/>
            </w:pPr>
            <w:r>
              <w:rPr>
                <w:rFonts w:eastAsia="EUAlbertina-Regular-Identity-H"/>
              </w:rPr>
              <w:t>1.</w:t>
            </w:r>
            <w:r>
              <w:rPr>
                <w:rFonts w:eastAsia="EUAlbertina-Regular-Identity-H"/>
              </w:rPr>
              <w:tab/>
              <w:t>«</w:t>
            </w:r>
            <w:r>
              <w:t>spezifischer Modul</w:t>
            </w:r>
            <w:r>
              <w:rPr>
                <w:rFonts w:eastAsia="EUAlbertina-Regular-Identity-H"/>
              </w:rPr>
              <w:t>»</w:t>
            </w:r>
            <w:r>
              <w:t xml:space="preserve"> grösser als 10 × 10</w:t>
            </w:r>
            <w:r>
              <w:rPr>
                <w:position w:val="4"/>
                <w:sz w:val="13"/>
              </w:rPr>
              <w:t>6</w:t>
            </w:r>
            <w:r>
              <w:t xml:space="preserve"> m; oder </w:t>
            </w:r>
          </w:p>
          <w:p>
            <w:pPr>
              <w:pStyle w:val="Tab-Struktur209pt"/>
            </w:pPr>
            <w:r>
              <w:rPr>
                <w:rFonts w:eastAsia="EUAlbertina-Regular-Identity-H"/>
              </w:rPr>
              <w:t>2.</w:t>
            </w:r>
            <w:r>
              <w:rPr>
                <w:rFonts w:eastAsia="EUAlbertina-Regular-Identity-H"/>
              </w:rPr>
              <w:tab/>
              <w:t>«</w:t>
            </w:r>
            <w:r>
              <w:t>spezifische Zugfestigkeit</w:t>
            </w:r>
            <w:r>
              <w:rPr>
                <w:rFonts w:eastAsia="EUAlbertina-Regular-Identity-H"/>
              </w:rPr>
              <w:t>»</w:t>
            </w:r>
            <w:r>
              <w:t xml:space="preserve"> grösser als 17 × 10</w:t>
            </w:r>
            <w:r>
              <w:rPr>
                <w:position w:val="4"/>
                <w:sz w:val="13"/>
              </w:rPr>
              <w:t>4</w:t>
            </w:r>
            <w:r>
              <w:rPr>
                <w:vertAlign w:val="superscript"/>
              </w:rPr>
              <w:t xml:space="preserve"> </w:t>
            </w:r>
            <w:r>
              <w:t xml:space="preserve">m; </w:t>
            </w:r>
          </w:p>
          <w:p>
            <w:pPr>
              <w:pStyle w:val="Tab-Struktur149pt"/>
            </w:pPr>
            <w:r>
              <w:rPr>
                <w:rFonts w:eastAsia="EUAlbertina-Regular-Identity-H"/>
              </w:rPr>
              <w:lastRenderedPageBreak/>
              <w:t>b)</w:t>
            </w:r>
            <w:r>
              <w:rPr>
                <w:rFonts w:eastAsia="EUAlbertina-Regular-Identity-H"/>
              </w:rPr>
              <w:tab/>
              <w:t>«</w:t>
            </w:r>
            <w:r>
              <w:t>faser- oder fadenförmige Materialien</w:t>
            </w:r>
            <w:r>
              <w:rPr>
                <w:rFonts w:eastAsia="EUAlbertina-Regular-Identity-H"/>
              </w:rPr>
              <w:t>»</w:t>
            </w:r>
            <w:r>
              <w:t xml:space="preserve"> aus Glas mit einer der folgenden Eigenschaften:</w:t>
            </w:r>
          </w:p>
          <w:p>
            <w:pPr>
              <w:pStyle w:val="Tab-Struktur209pt"/>
            </w:pPr>
            <w:r>
              <w:rPr>
                <w:rFonts w:eastAsia="EUAlbertina-Regular-Identity-H"/>
              </w:rPr>
              <w:t>1.</w:t>
            </w:r>
            <w:r>
              <w:rPr>
                <w:rFonts w:eastAsia="EUAlbertina-Regular-Identity-H"/>
              </w:rPr>
              <w:tab/>
              <w:t>«</w:t>
            </w:r>
            <w:r>
              <w:t>spezifischer Modul</w:t>
            </w:r>
            <w:r>
              <w:rPr>
                <w:rFonts w:eastAsia="EUAlbertina-Regular-Identity-H"/>
              </w:rPr>
              <w:t>»</w:t>
            </w:r>
            <w:r>
              <w:t xml:space="preserve"> grösser als 3,18 × 10</w:t>
            </w:r>
            <w:r>
              <w:rPr>
                <w:position w:val="4"/>
                <w:sz w:val="13"/>
              </w:rPr>
              <w:t>6</w:t>
            </w:r>
            <w:r>
              <w:t xml:space="preserve"> m, oder </w:t>
            </w:r>
          </w:p>
          <w:p>
            <w:pPr>
              <w:pStyle w:val="Tab-Struktur209pt"/>
            </w:pPr>
            <w:r>
              <w:rPr>
                <w:rFonts w:eastAsia="EUAlbertina-Regular-Identity-H"/>
              </w:rPr>
              <w:t>2.</w:t>
            </w:r>
            <w:r>
              <w:rPr>
                <w:rFonts w:eastAsia="EUAlbertina-Regular-Identity-H"/>
              </w:rPr>
              <w:tab/>
              <w:t>«</w:t>
            </w:r>
            <w:r>
              <w:t>spezifische Zugfestigkeit</w:t>
            </w:r>
            <w:r>
              <w:rPr>
                <w:rFonts w:eastAsia="EUAlbertina-Regular-Identity-H"/>
              </w:rPr>
              <w:t>»</w:t>
            </w:r>
            <w:r>
              <w:t xml:space="preserve"> grösser als 76,2 × 10</w:t>
            </w:r>
            <w:r>
              <w:rPr>
                <w:position w:val="4"/>
                <w:sz w:val="13"/>
              </w:rPr>
              <w:t xml:space="preserve">3 </w:t>
            </w:r>
            <w:r>
              <w:t>m;</w:t>
            </w:r>
          </w:p>
          <w:p>
            <w:pPr>
              <w:pStyle w:val="Tab-Struktur149pt"/>
            </w:pPr>
            <w:r>
              <w:t>c)</w:t>
            </w:r>
            <w:r>
              <w:tab/>
              <w:t xml:space="preserve">mit warmaushärtendem Harz imprägnierte endlose </w:t>
            </w:r>
            <w:r>
              <w:rPr>
                <w:rFonts w:eastAsia="EUAlbertina-Regular-Identity-H"/>
              </w:rPr>
              <w:t>«</w:t>
            </w:r>
            <w:r>
              <w:t>Garne</w:t>
            </w:r>
            <w:r>
              <w:rPr>
                <w:rFonts w:eastAsia="EUAlbertina-Regular-Identity-H"/>
              </w:rPr>
              <w:t>»</w:t>
            </w:r>
            <w:r>
              <w:t xml:space="preserve">, </w:t>
            </w:r>
            <w:r>
              <w:rPr>
                <w:rFonts w:eastAsia="EUAlbertina-Regular-Identity-H"/>
              </w:rPr>
              <w:t>«</w:t>
            </w:r>
            <w:r>
              <w:t>Faserbündel</w:t>
            </w:r>
            <w:r>
              <w:rPr>
                <w:rFonts w:eastAsia="EUAlbertina-Regular-Identity-H"/>
              </w:rPr>
              <w:t>»</w:t>
            </w:r>
            <w:r>
              <w:t xml:space="preserve"> (rovings), </w:t>
            </w:r>
            <w:r>
              <w:rPr>
                <w:rFonts w:eastAsia="EUAlbertina-Regular-Identity-H"/>
              </w:rPr>
              <w:t>«</w:t>
            </w:r>
            <w:r>
              <w:t>Seile</w:t>
            </w:r>
            <w:r>
              <w:rPr>
                <w:rFonts w:eastAsia="EUAlbertina-Regular-Identity-H"/>
              </w:rPr>
              <w:t>»</w:t>
            </w:r>
            <w:r>
              <w:t xml:space="preserve"> oder </w:t>
            </w:r>
            <w:r>
              <w:rPr>
                <w:rFonts w:eastAsia="EUAlbertina-Regular-Identity-H"/>
              </w:rPr>
              <w:t>«</w:t>
            </w:r>
            <w:r>
              <w:t>Bänder</w:t>
            </w:r>
            <w:r>
              <w:rPr>
                <w:rFonts w:eastAsia="EUAlbertina-Regular-Identity-H"/>
              </w:rPr>
              <w:t>»</w:t>
            </w:r>
            <w:r>
              <w:t xml:space="preserve"> mit einer Breite kleiner/gleich 15 mm (wenn Prepregs) aus </w:t>
            </w:r>
            <w:r>
              <w:rPr>
                <w:rFonts w:eastAsia="EUAlbertina-Regular-Identity-H"/>
              </w:rPr>
              <w:t>«</w:t>
            </w:r>
            <w:r>
              <w:t xml:space="preserve">faser- oder fadenförmigen </w:t>
            </w:r>
            <w:r>
              <w:br/>
              <w:t>Materialien</w:t>
            </w:r>
            <w:r>
              <w:rPr>
                <w:rFonts w:eastAsia="EUAlbertina-Regular-Identity-H"/>
              </w:rPr>
              <w:t>»</w:t>
            </w:r>
            <w:r>
              <w:t xml:space="preserve"> aus Kohlenstoff oder Glas, soweit nicht in Unternummer II.A1.010.a oder b erfasst.</w:t>
            </w:r>
          </w:p>
          <w:p>
            <w:pPr>
              <w:pStyle w:val="Tabkrper49pt"/>
            </w:pPr>
            <w:r>
              <w:rPr>
                <w:i/>
              </w:rPr>
              <w:t>Anmerkung</w:t>
            </w:r>
            <w:r>
              <w:t xml:space="preserve">: Diese Nummer erfasst nicht </w:t>
            </w:r>
            <w:r>
              <w:rPr>
                <w:rFonts w:eastAsia="EUAlbertina-Regular-Identity-H"/>
              </w:rPr>
              <w:t>«</w:t>
            </w:r>
            <w:r>
              <w:t>faser- oder fadenförmige Materialien</w:t>
            </w:r>
            <w:r>
              <w:rPr>
                <w:rFonts w:eastAsia="EUAlbertina-Regular-Identity-H"/>
              </w:rPr>
              <w:t>»</w:t>
            </w:r>
            <w:r>
              <w:t>, erfasst in den Unternummern 1C010a, 1C010b, 1C210a und 1C210b.</w:t>
            </w:r>
          </w:p>
        </w:tc>
        <w:tc>
          <w:tcPr>
            <w:tcW w:w="1017" w:type="dxa"/>
            <w:gridSpan w:val="2"/>
          </w:tcPr>
          <w:p>
            <w:pPr>
              <w:pStyle w:val="Tabkrper49pt"/>
            </w:pPr>
            <w:r>
              <w:lastRenderedPageBreak/>
              <w:t>1C010a</w:t>
            </w:r>
          </w:p>
          <w:p>
            <w:pPr>
              <w:pStyle w:val="Tabkrper49pt"/>
            </w:pPr>
            <w:r>
              <w:t>1C010b</w:t>
            </w:r>
          </w:p>
          <w:p>
            <w:pPr>
              <w:pStyle w:val="Tabkrper49pt"/>
            </w:pPr>
            <w:r>
              <w:t>1C210a</w:t>
            </w:r>
          </w:p>
          <w:p>
            <w:pPr>
              <w:pStyle w:val="Tabkrper49pt"/>
            </w:pPr>
            <w:r>
              <w:t>1C210b</w:t>
            </w:r>
          </w:p>
        </w:tc>
      </w:tr>
      <w:tr>
        <w:tc>
          <w:tcPr>
            <w:tcW w:w="868" w:type="dxa"/>
            <w:gridSpan w:val="2"/>
          </w:tcPr>
          <w:p>
            <w:pPr>
              <w:pStyle w:val="Tabkrper49pt"/>
            </w:pPr>
            <w:r>
              <w:t xml:space="preserve">II.A1.010 </w:t>
            </w:r>
          </w:p>
        </w:tc>
        <w:tc>
          <w:tcPr>
            <w:tcW w:w="4239" w:type="dxa"/>
            <w:gridSpan w:val="2"/>
          </w:tcPr>
          <w:p>
            <w:pPr>
              <w:pStyle w:val="Tabkrper49pt"/>
            </w:pPr>
            <w:r>
              <w:t xml:space="preserve">Harzimprägnierte oder pechimprägnierte Fasern (Prepregs), metall- oder kohlenstoffbeschichtete Fasern (Preforms) oder </w:t>
            </w:r>
            <w:r>
              <w:rPr>
                <w:rFonts w:eastAsia="EUAlbertina-Regular-Identity-H"/>
              </w:rPr>
              <w:t>«</w:t>
            </w:r>
            <w:r>
              <w:t>Kohlenstofffaser-Preforms</w:t>
            </w:r>
            <w:r>
              <w:rPr>
                <w:rFonts w:eastAsia="EUAlbertina-Regular-Identity-H"/>
              </w:rPr>
              <w:t>»</w:t>
            </w:r>
            <w:r>
              <w:t xml:space="preserve"> wie folgt:</w:t>
            </w:r>
          </w:p>
          <w:p>
            <w:pPr>
              <w:pStyle w:val="Tab-Struktur149pt"/>
            </w:pPr>
            <w:r>
              <w:t>a)</w:t>
            </w:r>
            <w:r>
              <w:tab/>
              <w:t xml:space="preserve">hergestellt aus in Nummer II.A1.009 erfassten </w:t>
            </w:r>
            <w:r>
              <w:rPr>
                <w:rFonts w:eastAsia="EUAlbertina-Regular-Identity-H"/>
              </w:rPr>
              <w:t>«</w:t>
            </w:r>
            <w:r>
              <w:t>faser- oder fadenförmigen Materialien</w:t>
            </w:r>
            <w:r>
              <w:rPr>
                <w:rFonts w:eastAsia="EUAlbertina-Regular-Identity-H"/>
              </w:rPr>
              <w:t>»</w:t>
            </w:r>
            <w:r>
              <w:t>;</w:t>
            </w:r>
          </w:p>
          <w:p>
            <w:pPr>
              <w:pStyle w:val="Tab-Struktur149pt"/>
            </w:pPr>
            <w:r>
              <w:t>b)</w:t>
            </w:r>
            <w:r>
              <w:tab/>
              <w:t xml:space="preserve">kohlenstoffbeschichtete </w:t>
            </w:r>
            <w:r>
              <w:rPr>
                <w:rFonts w:eastAsia="EUAlbertina-Regular-Identity-H"/>
              </w:rPr>
              <w:t>«</w:t>
            </w:r>
            <w:r>
              <w:t>faser- oder fadenförmige Materialien</w:t>
            </w:r>
            <w:r>
              <w:rPr>
                <w:rFonts w:eastAsia="EUAlbertina-Regular-Identity-H"/>
              </w:rPr>
              <w:t>»</w:t>
            </w:r>
            <w:r>
              <w:t xml:space="preserve"> in Epoxidharz-</w:t>
            </w:r>
            <w:r>
              <w:rPr>
                <w:rFonts w:eastAsia="EUAlbertina-Regular-Identity-H"/>
              </w:rPr>
              <w:t>«</w:t>
            </w:r>
            <w:r>
              <w:t>Matrix</w:t>
            </w:r>
            <w:r>
              <w:rPr>
                <w:rFonts w:eastAsia="EUAlbertina-Regular-Identity-H"/>
              </w:rPr>
              <w:t>»</w:t>
            </w:r>
            <w:r>
              <w:t xml:space="preserve"> (prepregs), </w:t>
            </w:r>
            <w:r>
              <w:br/>
              <w:t xml:space="preserve">erfasst in den Unternummern 1C010a, 1C010b und 1C010c, für die Reparatur von Luftfahrzeug-Strukturen oder Laminaten, bei denen die Grösse der </w:t>
            </w:r>
            <w:r>
              <w:br/>
              <w:t>Einzelmatten nicht grösser ist als 50 cm × 90 cm;</w:t>
            </w:r>
          </w:p>
          <w:p>
            <w:pPr>
              <w:pStyle w:val="Tab-Struktur149pt"/>
            </w:pPr>
            <w:r>
              <w:t>c)</w:t>
            </w:r>
            <w:r>
              <w:tab/>
              <w:t>Prepregs, erfasst in Unternummer 1C010a, 1C010b oder 1C010c, die mit Phenol- oder Epoxydharzen imprägniert sind, mit einer Glasübergangstemperatur (Tg) kleiner als 433 K (160 °C) und deren Aushärtungstemperatur kleiner als die Glasübergangstemperatur ist.</w:t>
            </w:r>
          </w:p>
          <w:p>
            <w:pPr>
              <w:pStyle w:val="Tabkrper49pt"/>
            </w:pPr>
            <w:r>
              <w:rPr>
                <w:i/>
              </w:rPr>
              <w:t>Anmerkung</w:t>
            </w:r>
            <w:r>
              <w:t xml:space="preserve">: Diese Nummer erfasst nicht </w:t>
            </w:r>
            <w:r>
              <w:rPr>
                <w:rFonts w:eastAsia="EUAlbertina-Regular-Identity-H"/>
              </w:rPr>
              <w:t>«</w:t>
            </w:r>
            <w:r>
              <w:t>faser- oder fadenförmige Materialien</w:t>
            </w:r>
            <w:r>
              <w:rPr>
                <w:rFonts w:eastAsia="EUAlbertina-Regular-Identity-H"/>
              </w:rPr>
              <w:t>»</w:t>
            </w:r>
            <w:r>
              <w:t>, erfasst in Unternummer 1C010e.</w:t>
            </w:r>
          </w:p>
        </w:tc>
        <w:tc>
          <w:tcPr>
            <w:tcW w:w="1017" w:type="dxa"/>
            <w:gridSpan w:val="2"/>
          </w:tcPr>
          <w:p>
            <w:pPr>
              <w:pStyle w:val="Tabkrper49pt"/>
            </w:pPr>
            <w:r>
              <w:t>1C010e</w:t>
            </w:r>
          </w:p>
          <w:p>
            <w:pPr>
              <w:pStyle w:val="Tabkrper49pt"/>
            </w:pPr>
            <w:r>
              <w:t>1C210</w:t>
            </w:r>
          </w:p>
        </w:tc>
      </w:tr>
      <w:tr>
        <w:tc>
          <w:tcPr>
            <w:tcW w:w="868" w:type="dxa"/>
            <w:gridSpan w:val="2"/>
          </w:tcPr>
          <w:p>
            <w:pPr>
              <w:pStyle w:val="Tabkrper49pt"/>
            </w:pPr>
            <w:r>
              <w:t xml:space="preserve">II.A1.011 </w:t>
            </w:r>
          </w:p>
        </w:tc>
        <w:tc>
          <w:tcPr>
            <w:tcW w:w="4239" w:type="dxa"/>
            <w:gridSpan w:val="2"/>
          </w:tcPr>
          <w:p>
            <w:pPr>
              <w:pStyle w:val="Tabkrper49pt"/>
            </w:pPr>
            <w:r>
              <w:t xml:space="preserve">Verstärkte Siliziumkarbid-Keramik-Verbundwerkstoffe, geeignet für Bugspitzen, Wiedereintrittskörper, Strahlruder, verwendbar für </w:t>
            </w:r>
            <w:r>
              <w:rPr>
                <w:rFonts w:eastAsia="EUAlbertina-Regular-Identity-H"/>
              </w:rPr>
              <w:t>«</w:t>
            </w:r>
            <w:r>
              <w:t>Flugkörper</w:t>
            </w:r>
            <w:r>
              <w:rPr>
                <w:rFonts w:eastAsia="EUAlbertina-Regular-Identity-H"/>
              </w:rPr>
              <w:t>»</w:t>
            </w:r>
            <w:r>
              <w:t>, soweit nicht in Nummer 1C107 erfasst.</w:t>
            </w:r>
          </w:p>
        </w:tc>
        <w:tc>
          <w:tcPr>
            <w:tcW w:w="1017" w:type="dxa"/>
            <w:gridSpan w:val="2"/>
          </w:tcPr>
          <w:p>
            <w:pPr>
              <w:pStyle w:val="Tabkrper49pt"/>
            </w:pPr>
            <w:r>
              <w:t xml:space="preserve">1C107 </w:t>
            </w:r>
          </w:p>
        </w:tc>
      </w:tr>
      <w:tr>
        <w:tc>
          <w:tcPr>
            <w:tcW w:w="868" w:type="dxa"/>
            <w:gridSpan w:val="2"/>
          </w:tcPr>
          <w:p>
            <w:pPr>
              <w:pStyle w:val="Tabkrper49pt"/>
            </w:pPr>
            <w:r>
              <w:t xml:space="preserve">II.A1.012 </w:t>
            </w:r>
          </w:p>
        </w:tc>
        <w:tc>
          <w:tcPr>
            <w:tcW w:w="4239" w:type="dxa"/>
            <w:gridSpan w:val="2"/>
          </w:tcPr>
          <w:p>
            <w:pPr>
              <w:pStyle w:val="Tabkrper49pt"/>
            </w:pPr>
            <w:r>
              <w:t xml:space="preserve">Martensitaushärtender Stahl (maraging steel), soweit </w:t>
            </w:r>
            <w:r>
              <w:br/>
              <w:t>nicht in den Nummern 1C116 oder 1C216 erfasst, geeignet für eine Zugfestigkeit grösser/gleich 2050 MPa bei 293 K (20 °C).</w:t>
            </w:r>
          </w:p>
          <w:p>
            <w:pPr>
              <w:pStyle w:val="Tabkrper49pt"/>
            </w:pPr>
            <w:r>
              <w:rPr>
                <w:i/>
              </w:rPr>
              <w:lastRenderedPageBreak/>
              <w:t>Technische Anmerkung</w:t>
            </w:r>
            <w:r>
              <w:t>: Martensitaushärtender Stahl geeignet für umfasst martensitaushärtenden Stahl vor und nach einer Wärmebehandlung.</w:t>
            </w:r>
          </w:p>
        </w:tc>
        <w:tc>
          <w:tcPr>
            <w:tcW w:w="1017" w:type="dxa"/>
            <w:gridSpan w:val="2"/>
          </w:tcPr>
          <w:p>
            <w:pPr>
              <w:pStyle w:val="Tabkrper49pt"/>
            </w:pPr>
            <w:r>
              <w:lastRenderedPageBreak/>
              <w:t xml:space="preserve">1C216 </w:t>
            </w:r>
          </w:p>
        </w:tc>
      </w:tr>
      <w:tr>
        <w:tc>
          <w:tcPr>
            <w:tcW w:w="868" w:type="dxa"/>
            <w:gridSpan w:val="2"/>
          </w:tcPr>
          <w:p>
            <w:pPr>
              <w:pStyle w:val="Tabkrper49pt"/>
            </w:pPr>
            <w:r>
              <w:t xml:space="preserve">II.A1.013 </w:t>
            </w:r>
          </w:p>
        </w:tc>
        <w:tc>
          <w:tcPr>
            <w:tcW w:w="4239" w:type="dxa"/>
            <w:gridSpan w:val="2"/>
          </w:tcPr>
          <w:p>
            <w:pPr>
              <w:pStyle w:val="Tabkrper49pt"/>
            </w:pPr>
            <w:r>
              <w:t xml:space="preserve">Wolfram, Tantal, Wolframkarbid, Tantalkarbid und </w:t>
            </w:r>
            <w:r>
              <w:br/>
              <w:t>Legierungen mit beiden folgenden Eigenschaften:</w:t>
            </w:r>
          </w:p>
          <w:p>
            <w:pPr>
              <w:pStyle w:val="Tab-Struktur149pt"/>
            </w:pPr>
            <w:r>
              <w:t>a)</w:t>
            </w:r>
            <w:r>
              <w:tab/>
              <w:t>in Formen mit hohlzylindrischer oder sphärischer Symmetrie (einschliesslich Zylindersegmente) mit</w:t>
            </w:r>
            <w:r>
              <w:br/>
              <w:t>einem Innendurchmesser grösser/gleich 50 mm und kleiner/gleich 300 mm; und</w:t>
            </w:r>
          </w:p>
          <w:p>
            <w:pPr>
              <w:pStyle w:val="Tab-Struktur149pt"/>
            </w:pPr>
            <w:r>
              <w:t>b)</w:t>
            </w:r>
            <w:r>
              <w:tab/>
              <w:t>einer Masse über 5 kg.</w:t>
            </w:r>
          </w:p>
          <w:p>
            <w:pPr>
              <w:pStyle w:val="Tabkrper49pt"/>
            </w:pPr>
            <w:r>
              <w:rPr>
                <w:i/>
              </w:rPr>
              <w:t>Anmerkung</w:t>
            </w:r>
            <w:r>
              <w:t>: Diese Nummer erfasst nicht Wolfram, Wolframkarbid und Legierungen, erfasst in Nummer 1C226.</w:t>
            </w:r>
          </w:p>
        </w:tc>
        <w:tc>
          <w:tcPr>
            <w:tcW w:w="1017" w:type="dxa"/>
            <w:gridSpan w:val="2"/>
          </w:tcPr>
          <w:p>
            <w:pPr>
              <w:pStyle w:val="Tabkrper49pt"/>
            </w:pPr>
            <w:r>
              <w:t xml:space="preserve">1C226 </w:t>
            </w:r>
          </w:p>
        </w:tc>
      </w:tr>
      <w:tr>
        <w:tc>
          <w:tcPr>
            <w:tcW w:w="868" w:type="dxa"/>
            <w:gridSpan w:val="2"/>
          </w:tcPr>
          <w:p>
            <w:pPr>
              <w:pStyle w:val="Tabkrper49pt"/>
            </w:pPr>
            <w:r>
              <w:t xml:space="preserve">II.A1.014 </w:t>
            </w:r>
          </w:p>
        </w:tc>
        <w:tc>
          <w:tcPr>
            <w:tcW w:w="4239" w:type="dxa"/>
            <w:gridSpan w:val="2"/>
          </w:tcPr>
          <w:p>
            <w:pPr>
              <w:pStyle w:val="Tabkrper49pt"/>
            </w:pPr>
            <w:r>
              <w:t xml:space="preserve">Elementpulver aus Kobalt, Neodym oder Samarium oder Legierungen oder Mischungen daraus, die mindestens </w:t>
            </w:r>
            <w:r>
              <w:br/>
              <w:t xml:space="preserve">20 Gew.-% Kobalt, Neodym oder Samarium enthalten, </w:t>
            </w:r>
            <w:r>
              <w:br/>
              <w:t>mit einer Partikelgrösse von kleiner 200 μm.</w:t>
            </w:r>
          </w:p>
        </w:tc>
        <w:tc>
          <w:tcPr>
            <w:tcW w:w="1017" w:type="dxa"/>
            <w:gridSpan w:val="2"/>
          </w:tcPr>
          <w:p>
            <w:pPr>
              <w:pStyle w:val="Tabkrper49pt"/>
            </w:pPr>
          </w:p>
        </w:tc>
      </w:tr>
      <w:tr>
        <w:tc>
          <w:tcPr>
            <w:tcW w:w="868" w:type="dxa"/>
            <w:gridSpan w:val="2"/>
          </w:tcPr>
          <w:p>
            <w:pPr>
              <w:pStyle w:val="Tabkrper49pt"/>
            </w:pPr>
            <w:r>
              <w:t xml:space="preserve">II.A1.015 </w:t>
            </w:r>
          </w:p>
        </w:tc>
        <w:tc>
          <w:tcPr>
            <w:tcW w:w="4239" w:type="dxa"/>
            <w:gridSpan w:val="2"/>
          </w:tcPr>
          <w:p>
            <w:pPr>
              <w:pStyle w:val="Tabkrper49pt"/>
            </w:pPr>
            <w:r>
              <w:t xml:space="preserve">Reines Tributylphosphat (TBP) (CAS-Nr. 126-73-8) </w:t>
            </w:r>
            <w:r>
              <w:br/>
              <w:t xml:space="preserve">oder Mischungen mit einem Gehalt an TBP von über </w:t>
            </w:r>
            <w:r>
              <w:br/>
              <w:t xml:space="preserve">5 Gew.-%. </w:t>
            </w:r>
          </w:p>
        </w:tc>
        <w:tc>
          <w:tcPr>
            <w:tcW w:w="1017" w:type="dxa"/>
            <w:gridSpan w:val="2"/>
          </w:tcPr>
          <w:p>
            <w:pPr>
              <w:pStyle w:val="Tabkrper49pt"/>
            </w:pPr>
          </w:p>
        </w:tc>
      </w:tr>
      <w:tr>
        <w:tc>
          <w:tcPr>
            <w:tcW w:w="868" w:type="dxa"/>
            <w:gridSpan w:val="2"/>
          </w:tcPr>
          <w:p>
            <w:pPr>
              <w:pStyle w:val="Tabkrper49pt"/>
            </w:pPr>
            <w:r>
              <w:t xml:space="preserve">II.A1.016 </w:t>
            </w:r>
          </w:p>
        </w:tc>
        <w:tc>
          <w:tcPr>
            <w:tcW w:w="4239" w:type="dxa"/>
            <w:gridSpan w:val="2"/>
          </w:tcPr>
          <w:p>
            <w:pPr>
              <w:pStyle w:val="Tabkrper49pt"/>
            </w:pPr>
            <w:r>
              <w:t>Martensitaushärtender Stahl (maraging steel), soweit nicht nach den Nummern 1C116, 1C216 oder II.A1.012 verboten.</w:t>
            </w:r>
          </w:p>
          <w:p>
            <w:pPr>
              <w:pStyle w:val="Tabkrper49pt"/>
            </w:pPr>
            <w:r>
              <w:rPr>
                <w:i/>
              </w:rPr>
              <w:t>Technische Anmerkung</w:t>
            </w:r>
            <w:r>
              <w:t>: Martensitaushärtende Stähle sind Eisenlegierungen, die im Allgemeinen gekennzeichnet sind durch einen hohen Nickel- und sehr geringen Kohlenstoffgehalt sowie die Verwendung von Substitutions- oder Ausscheidungselementen zur Festigkeitssteigerung und Ausscheidungshärtung der Legierung.</w:t>
            </w:r>
          </w:p>
        </w:tc>
        <w:tc>
          <w:tcPr>
            <w:tcW w:w="1017" w:type="dxa"/>
            <w:gridSpan w:val="2"/>
          </w:tcPr>
          <w:p>
            <w:pPr>
              <w:pStyle w:val="Tabkrper49pt"/>
            </w:pPr>
          </w:p>
        </w:tc>
      </w:tr>
      <w:tr>
        <w:tc>
          <w:tcPr>
            <w:tcW w:w="868" w:type="dxa"/>
            <w:gridSpan w:val="2"/>
          </w:tcPr>
          <w:p>
            <w:pPr>
              <w:pStyle w:val="Tabkrper49pt"/>
            </w:pPr>
            <w:r>
              <w:t xml:space="preserve">II.A1.017 </w:t>
            </w:r>
          </w:p>
        </w:tc>
        <w:tc>
          <w:tcPr>
            <w:tcW w:w="4239" w:type="dxa"/>
            <w:gridSpan w:val="2"/>
          </w:tcPr>
          <w:p>
            <w:pPr>
              <w:pStyle w:val="Tabkrper49pt"/>
            </w:pPr>
            <w:r>
              <w:t>Metall, Metallpulver und -material wie folgt:</w:t>
            </w:r>
          </w:p>
          <w:p>
            <w:pPr>
              <w:pStyle w:val="Tab-Struktur149pt"/>
            </w:pPr>
            <w:r>
              <w:t>a)</w:t>
            </w:r>
            <w:r>
              <w:tab/>
              <w:t>Wolfram und Wolframlegierungen, soweit nicht nach Nummer 1C117 verboten, in Form einheitlich kugelförmiger oder staubförmiger Partikel mit einer Partikelgrösse kleiner/gleich 500 μm und einem Gehalt an Wolfram von grösser/gleich 97 Gew.-%;</w:t>
            </w:r>
          </w:p>
          <w:p>
            <w:pPr>
              <w:pStyle w:val="Tab-Struktur149pt"/>
            </w:pPr>
            <w:r>
              <w:t>b)</w:t>
            </w:r>
            <w:r>
              <w:tab/>
              <w:t>Molybdän und Molybdänlegierungen, soweit nicht nach Nummer 1C117 verboten, in Form einheitlich kugelförmiger oder staubförmiger Partikel mit einer Partikelgrösse kleiner/gleich 500 μm und einem Gehalt an Molybdän von grösser/gleich 97 Gew.-%;</w:t>
            </w:r>
          </w:p>
          <w:p>
            <w:pPr>
              <w:pStyle w:val="Tab-Struktur149pt"/>
            </w:pPr>
            <w:r>
              <w:lastRenderedPageBreak/>
              <w:t>c)</w:t>
            </w:r>
            <w:r>
              <w:tab/>
              <w:t>Wolframmaterialien in fester Form, soweit nicht nach den Nummern 1C226 oder II.A1.013 verboten, mit einer Materialzusammensetzung wie folgt:</w:t>
            </w:r>
          </w:p>
          <w:p>
            <w:pPr>
              <w:pStyle w:val="Tab-Struktur209pt"/>
            </w:pPr>
            <w:r>
              <w:t>1.</w:t>
            </w:r>
            <w:r>
              <w:tab/>
              <w:t>Wolfram und Legierungen mit einem Gehalt an Wolfram von grösser/gleich 97 Gew.-%;</w:t>
            </w:r>
          </w:p>
          <w:p>
            <w:pPr>
              <w:pStyle w:val="Tab-Struktur209pt"/>
            </w:pPr>
            <w:r>
              <w:t>2.</w:t>
            </w:r>
            <w:r>
              <w:tab/>
              <w:t xml:space="preserve">mit Kupfer infiltriertes Wolfram mit einem Gehalt an Wolfram von grösser/gleich 80 Gew.-%; oder </w:t>
            </w:r>
          </w:p>
          <w:p>
            <w:pPr>
              <w:pStyle w:val="Tab-Struktur209pt"/>
            </w:pPr>
            <w:r>
              <w:t>3.</w:t>
            </w:r>
            <w:r>
              <w:tab/>
              <w:t xml:space="preserve">mit Silber infiltriertes Wolfram mit einem Gehalt an Wolfram von grösser/gleich 80 Gew.-%. </w:t>
            </w:r>
          </w:p>
          <w:p>
            <w:pPr>
              <w:pStyle w:val="Abstand4pt"/>
            </w:pPr>
          </w:p>
        </w:tc>
        <w:tc>
          <w:tcPr>
            <w:tcW w:w="1017" w:type="dxa"/>
            <w:gridSpan w:val="2"/>
          </w:tcPr>
          <w:p>
            <w:pPr>
              <w:spacing w:before="80"/>
              <w:jc w:val="left"/>
              <w:rPr>
                <w:color w:val="auto"/>
                <w:szCs w:val="18"/>
              </w:rPr>
            </w:pPr>
          </w:p>
        </w:tc>
      </w:tr>
      <w:tr>
        <w:tc>
          <w:tcPr>
            <w:tcW w:w="868" w:type="dxa"/>
            <w:gridSpan w:val="2"/>
          </w:tcPr>
          <w:p>
            <w:pPr>
              <w:pStyle w:val="Tabkrper49pt"/>
            </w:pPr>
            <w:r>
              <w:t xml:space="preserve">II.A1.018 </w:t>
            </w:r>
          </w:p>
        </w:tc>
        <w:tc>
          <w:tcPr>
            <w:tcW w:w="4239" w:type="dxa"/>
            <w:gridSpan w:val="2"/>
          </w:tcPr>
          <w:p>
            <w:pPr>
              <w:pStyle w:val="Tabkrper49pt"/>
            </w:pPr>
            <w:r>
              <w:t>Weichmagnetische Legierungen mit einer chemischen Zusammensetzung wie folgt:</w:t>
            </w:r>
          </w:p>
          <w:p>
            <w:pPr>
              <w:pStyle w:val="Tab-Struktur149pt"/>
            </w:pPr>
            <w:r>
              <w:t>a)</w:t>
            </w:r>
            <w:r>
              <w:tab/>
              <w:t xml:space="preserve">Gehalt an Eisen zwischen 30 % und 60 %; und </w:t>
            </w:r>
          </w:p>
          <w:p>
            <w:pPr>
              <w:pStyle w:val="Tab-Struktur149pt"/>
            </w:pPr>
            <w:r>
              <w:t>b)</w:t>
            </w:r>
            <w:r>
              <w:tab/>
              <w:t>Gehalt an Kobalt zwischen 40 % und 60 %.</w:t>
            </w:r>
          </w:p>
        </w:tc>
        <w:tc>
          <w:tcPr>
            <w:tcW w:w="1017" w:type="dxa"/>
            <w:gridSpan w:val="2"/>
          </w:tcPr>
          <w:p>
            <w:pPr>
              <w:spacing w:before="80"/>
              <w:jc w:val="left"/>
              <w:rPr>
                <w:color w:val="auto"/>
                <w:szCs w:val="18"/>
              </w:rPr>
            </w:pPr>
          </w:p>
        </w:tc>
      </w:tr>
      <w:tr>
        <w:tc>
          <w:tcPr>
            <w:tcW w:w="868" w:type="dxa"/>
            <w:gridSpan w:val="2"/>
          </w:tcPr>
          <w:p>
            <w:pPr>
              <w:pStyle w:val="Tabkrper49pt"/>
            </w:pPr>
            <w:r>
              <w:t xml:space="preserve">II.A1.019 </w:t>
            </w:r>
          </w:p>
        </w:tc>
        <w:tc>
          <w:tcPr>
            <w:tcW w:w="4239" w:type="dxa"/>
            <w:gridSpan w:val="2"/>
          </w:tcPr>
          <w:p>
            <w:pPr>
              <w:pStyle w:val="Tabkrper49pt"/>
            </w:pPr>
            <w:r>
              <w:rPr>
                <w:rFonts w:eastAsia="EUAlbertina-Regular-Identity-H"/>
              </w:rPr>
              <w:t>«</w:t>
            </w:r>
            <w:r>
              <w:t>Faser- oder fadenförmige Materialien</w:t>
            </w:r>
            <w:r>
              <w:rPr>
                <w:rFonts w:eastAsia="EUAlbertina-Regular-Identity-H"/>
              </w:rPr>
              <w:t>»</w:t>
            </w:r>
            <w:r>
              <w:t xml:space="preserve"> oder Prepregs, die nicht nach Anhang 2 (Nummer II.A1.009 oder II.A1.010) der vorliegenden Verordnung verboten oder nicht in Anhang 2 GKV aufgeführt sind, wie folgt:</w:t>
            </w:r>
          </w:p>
          <w:p>
            <w:pPr>
              <w:pStyle w:val="Tab-Struktur149pt"/>
            </w:pPr>
            <w:r>
              <w:rPr>
                <w:rFonts w:eastAsia="EUAlbertina-Regular-Identity-H"/>
              </w:rPr>
              <w:t>a)</w:t>
            </w:r>
            <w:r>
              <w:rPr>
                <w:rFonts w:eastAsia="EUAlbertina-Regular-Identity-H"/>
              </w:rPr>
              <w:tab/>
              <w:t>«</w:t>
            </w:r>
            <w:r>
              <w:t>faser- oder fadenförmige Materialien</w:t>
            </w:r>
            <w:r>
              <w:rPr>
                <w:rFonts w:eastAsia="EUAlbertina-Regular-Identity-H"/>
              </w:rPr>
              <w:t>»</w:t>
            </w:r>
            <w:r>
              <w:t xml:space="preserve"> aus Kohlenstoff;</w:t>
            </w:r>
          </w:p>
          <w:p>
            <w:pPr>
              <w:pStyle w:val="Tabkrper49pt"/>
            </w:pPr>
            <w:r>
              <w:rPr>
                <w:i/>
              </w:rPr>
              <w:t>Anmerkung</w:t>
            </w:r>
            <w:r>
              <w:t>: Unternummer II.A1.019.a erfasst keine Webwaren.</w:t>
            </w:r>
          </w:p>
          <w:p>
            <w:pPr>
              <w:pStyle w:val="Tab-Struktur149pt"/>
            </w:pPr>
            <w:r>
              <w:t>b)</w:t>
            </w:r>
            <w:r>
              <w:tab/>
              <w:t xml:space="preserve">mit warmaushärtendem Harz imprägnierte endlose </w:t>
            </w:r>
            <w:r>
              <w:rPr>
                <w:rFonts w:eastAsia="EUAlbertina-Regular-Identity-H"/>
              </w:rPr>
              <w:t>«</w:t>
            </w:r>
            <w:r>
              <w:t>Garne</w:t>
            </w:r>
            <w:r>
              <w:rPr>
                <w:rFonts w:eastAsia="EUAlbertina-Regular-Identity-H"/>
              </w:rPr>
              <w:t>»</w:t>
            </w:r>
            <w:r>
              <w:t xml:space="preserve">, </w:t>
            </w:r>
            <w:r>
              <w:rPr>
                <w:rFonts w:eastAsia="EUAlbertina-Regular-Identity-H"/>
              </w:rPr>
              <w:t>«</w:t>
            </w:r>
            <w:r>
              <w:t>Faserbündel</w:t>
            </w:r>
            <w:r>
              <w:rPr>
                <w:rFonts w:eastAsia="EUAlbertina-Regular-Identity-H"/>
              </w:rPr>
              <w:t>»</w:t>
            </w:r>
            <w:r>
              <w:t xml:space="preserve"> (rovings), </w:t>
            </w:r>
            <w:r>
              <w:rPr>
                <w:rFonts w:eastAsia="EUAlbertina-Regular-Identity-H"/>
              </w:rPr>
              <w:t>«</w:t>
            </w:r>
            <w:r>
              <w:t>Seile</w:t>
            </w:r>
            <w:r>
              <w:rPr>
                <w:rFonts w:eastAsia="EUAlbertina-Regular-Identity-H"/>
              </w:rPr>
              <w:t>»</w:t>
            </w:r>
            <w:r>
              <w:t xml:space="preserve"> oder </w:t>
            </w:r>
            <w:r>
              <w:rPr>
                <w:rFonts w:eastAsia="EUAlbertina-Regular-Identity-H"/>
              </w:rPr>
              <w:t>«</w:t>
            </w:r>
            <w:r>
              <w:t>Bänder</w:t>
            </w:r>
            <w:r>
              <w:rPr>
                <w:rFonts w:eastAsia="EUAlbertina-Regular-Identity-H"/>
              </w:rPr>
              <w:t>»</w:t>
            </w:r>
            <w:r>
              <w:t xml:space="preserve"> aus </w:t>
            </w:r>
            <w:r>
              <w:rPr>
                <w:rFonts w:eastAsia="EUAlbertina-Regular-Identity-H"/>
              </w:rPr>
              <w:t>«</w:t>
            </w:r>
            <w:r>
              <w:t>faser- oder fadenförmigen Materialien</w:t>
            </w:r>
            <w:r>
              <w:rPr>
                <w:rFonts w:eastAsia="EUAlbertina-Regular-Identity-H"/>
              </w:rPr>
              <w:t>»</w:t>
            </w:r>
            <w:r>
              <w:t xml:space="preserve"> aus Kohlenstoff;</w:t>
            </w:r>
          </w:p>
          <w:p>
            <w:pPr>
              <w:pStyle w:val="Tab-Struktur149pt"/>
            </w:pPr>
            <w:r>
              <w:t>c)</w:t>
            </w:r>
            <w:r>
              <w:tab/>
              <w:t xml:space="preserve">endlose </w:t>
            </w:r>
            <w:r>
              <w:rPr>
                <w:rFonts w:eastAsia="EUAlbertina-Regular-Identity-H"/>
              </w:rPr>
              <w:t>«</w:t>
            </w:r>
            <w:r>
              <w:t>Garne</w:t>
            </w:r>
            <w:r>
              <w:rPr>
                <w:rFonts w:eastAsia="EUAlbertina-Regular-Identity-H"/>
              </w:rPr>
              <w:t>»</w:t>
            </w:r>
            <w:r>
              <w:t xml:space="preserve">, </w:t>
            </w:r>
            <w:r>
              <w:rPr>
                <w:rFonts w:eastAsia="EUAlbertina-Regular-Identity-H"/>
              </w:rPr>
              <w:t>«</w:t>
            </w:r>
            <w:r>
              <w:t>Faserbündel</w:t>
            </w:r>
            <w:r>
              <w:rPr>
                <w:rFonts w:eastAsia="EUAlbertina-Regular-Identity-H"/>
              </w:rPr>
              <w:t>»</w:t>
            </w:r>
            <w:r>
              <w:t xml:space="preserve"> (rovings), </w:t>
            </w:r>
            <w:r>
              <w:rPr>
                <w:rFonts w:eastAsia="EUAlbertina-Regular-Identity-H"/>
              </w:rPr>
              <w:t>«</w:t>
            </w:r>
            <w:r>
              <w:t>Seile</w:t>
            </w:r>
            <w:r>
              <w:rPr>
                <w:rFonts w:eastAsia="EUAlbertina-Regular-Identity-H"/>
              </w:rPr>
              <w:t>»</w:t>
            </w:r>
            <w:r>
              <w:t xml:space="preserve"> oder </w:t>
            </w:r>
            <w:r>
              <w:rPr>
                <w:rFonts w:eastAsia="EUAlbertina-Regular-Identity-H"/>
              </w:rPr>
              <w:t>«</w:t>
            </w:r>
            <w:r>
              <w:t>Bänder</w:t>
            </w:r>
            <w:r>
              <w:rPr>
                <w:rFonts w:eastAsia="EUAlbertina-Regular-Identity-H"/>
              </w:rPr>
              <w:t>»</w:t>
            </w:r>
            <w:r>
              <w:t xml:space="preserve"> aus Polyacrylnitril (PAN).</w:t>
            </w:r>
          </w:p>
        </w:tc>
        <w:tc>
          <w:tcPr>
            <w:tcW w:w="1017" w:type="dxa"/>
            <w:gridSpan w:val="2"/>
          </w:tcPr>
          <w:p>
            <w:pPr>
              <w:spacing w:before="80"/>
              <w:jc w:val="left"/>
              <w:rPr>
                <w:color w:val="auto"/>
                <w:szCs w:val="18"/>
              </w:rPr>
            </w:pPr>
          </w:p>
        </w:tc>
      </w:tr>
      <w:tr>
        <w:tc>
          <w:tcPr>
            <w:tcW w:w="868" w:type="dxa"/>
            <w:gridSpan w:val="2"/>
          </w:tcPr>
          <w:p>
            <w:pPr>
              <w:pStyle w:val="Tabkrper49pt"/>
            </w:pPr>
            <w:r>
              <w:rPr>
                <w:color w:val="19161B"/>
                <w:szCs w:val="18"/>
              </w:rPr>
              <w:t>II.A1.020</w:t>
            </w:r>
          </w:p>
        </w:tc>
        <w:tc>
          <w:tcPr>
            <w:tcW w:w="4239" w:type="dxa"/>
            <w:gridSpan w:val="2"/>
          </w:tcPr>
          <w:p>
            <w:pPr>
              <w:pStyle w:val="Tabkrper49pt"/>
              <w:rPr>
                <w:color w:val="19161B"/>
                <w:szCs w:val="18"/>
              </w:rPr>
            </w:pPr>
            <w:r>
              <w:rPr>
                <w:color w:val="19161B"/>
                <w:szCs w:val="18"/>
              </w:rPr>
              <w:t xml:space="preserve">Stahllegierungen als Stahlblech oder Stahlplatten mit </w:t>
            </w:r>
            <w:r>
              <w:rPr>
                <w:color w:val="19161B"/>
                <w:szCs w:val="18"/>
              </w:rPr>
              <w:br/>
              <w:t xml:space="preserve">einer der folgenden Eigenschaften: </w:t>
            </w:r>
          </w:p>
          <w:p>
            <w:pPr>
              <w:pStyle w:val="Tab-Struktur149pt"/>
            </w:pPr>
            <w:r>
              <w:t>a)</w:t>
            </w:r>
            <w:r>
              <w:tab/>
              <w:t xml:space="preserve">Stahllegierungen geeignet für eine Zugfestigkeit grösser/gleich 1 200 MPa bei 293K (20 °C); oder </w:t>
            </w:r>
          </w:p>
          <w:p>
            <w:pPr>
              <w:pStyle w:val="Tab-Struktur149pt"/>
            </w:pPr>
            <w:r>
              <w:t>b)</w:t>
            </w:r>
            <w:r>
              <w:tab/>
              <w:t>Stickstoffstabilisierter Duplexstahl.</w:t>
            </w:r>
          </w:p>
          <w:p>
            <w:pPr>
              <w:pStyle w:val="Tabkrper49pt"/>
              <w:rPr>
                <w:iCs/>
                <w:color w:val="19161B"/>
                <w:szCs w:val="18"/>
              </w:rPr>
            </w:pPr>
            <w:r>
              <w:rPr>
                <w:i/>
                <w:iCs/>
                <w:color w:val="19161B"/>
                <w:szCs w:val="18"/>
              </w:rPr>
              <w:t xml:space="preserve">Anmerkung: </w:t>
            </w:r>
            <w:r>
              <w:rPr>
                <w:iCs/>
                <w:color w:val="19161B"/>
                <w:szCs w:val="18"/>
              </w:rPr>
              <w:t>Der Ausdruck Legierungen geeignet für</w:t>
            </w:r>
            <w:r>
              <w:rPr>
                <w:color w:val="19161B"/>
                <w:szCs w:val="18"/>
              </w:rPr>
              <w:t xml:space="preserve"> </w:t>
            </w:r>
            <w:r>
              <w:rPr>
                <w:iCs/>
                <w:color w:val="19161B"/>
                <w:szCs w:val="18"/>
              </w:rPr>
              <w:t xml:space="preserve">erfasst Legierungen vor und nach einer Wärmebehandlung. </w:t>
            </w:r>
          </w:p>
          <w:p>
            <w:pPr>
              <w:pStyle w:val="Tabkrper49pt"/>
              <w:rPr>
                <w:rFonts w:eastAsia="EUAlbertina-Regular-Identity-H"/>
              </w:rPr>
            </w:pPr>
            <w:r>
              <w:rPr>
                <w:i/>
                <w:iCs/>
                <w:color w:val="19161B"/>
                <w:szCs w:val="18"/>
              </w:rPr>
              <w:t>Technische Anmerkung</w:t>
            </w:r>
            <w:r>
              <w:rPr>
                <w:iCs/>
                <w:color w:val="19161B"/>
                <w:szCs w:val="18"/>
              </w:rPr>
              <w:t xml:space="preserve">: </w:t>
            </w:r>
            <w:r>
              <w:rPr>
                <w:rFonts w:eastAsia="EUAlbertina-Regular-Identity-H"/>
              </w:rPr>
              <w:t>«</w:t>
            </w:r>
            <w:r>
              <w:rPr>
                <w:iCs/>
                <w:color w:val="19161B"/>
                <w:szCs w:val="18"/>
              </w:rPr>
              <w:t>Stickstoffstabilisierter Duplexstahl</w:t>
            </w:r>
            <w:r>
              <w:rPr>
                <w:rFonts w:eastAsia="EUAlbertina-Regular-Identity-H"/>
              </w:rPr>
              <w:t>»</w:t>
            </w:r>
            <w:r>
              <w:rPr>
                <w:color w:val="19161B"/>
                <w:szCs w:val="18"/>
              </w:rPr>
              <w:t xml:space="preserve"> </w:t>
            </w:r>
            <w:r>
              <w:rPr>
                <w:iCs/>
                <w:color w:val="19161B"/>
                <w:szCs w:val="18"/>
              </w:rPr>
              <w:t>besitzt eine Zweiphasen-Mikrostruktur bestehend aus Körnern ferritischen und austenitischen Stahls unter Zusatz von Stickstoff zur Stabilisierung der Mikrostruktur.</w:t>
            </w:r>
          </w:p>
        </w:tc>
        <w:tc>
          <w:tcPr>
            <w:tcW w:w="1017" w:type="dxa"/>
            <w:gridSpan w:val="2"/>
          </w:tcPr>
          <w:p>
            <w:pPr>
              <w:pStyle w:val="Tabkrper49pt"/>
              <w:rPr>
                <w:szCs w:val="18"/>
              </w:rPr>
            </w:pPr>
            <w:r>
              <w:rPr>
                <w:szCs w:val="18"/>
              </w:rPr>
              <w:t>1C116</w:t>
            </w:r>
          </w:p>
          <w:p>
            <w:pPr>
              <w:pStyle w:val="Tabkrper49pt"/>
              <w:rPr>
                <w:szCs w:val="18"/>
              </w:rPr>
            </w:pPr>
            <w:r>
              <w:rPr>
                <w:szCs w:val="18"/>
              </w:rPr>
              <w:t>1C216</w:t>
            </w:r>
          </w:p>
        </w:tc>
      </w:tr>
      <w:tr>
        <w:tc>
          <w:tcPr>
            <w:tcW w:w="868" w:type="dxa"/>
            <w:gridSpan w:val="2"/>
          </w:tcPr>
          <w:p>
            <w:pPr>
              <w:pStyle w:val="Tabkrper49pt"/>
            </w:pPr>
            <w:r>
              <w:rPr>
                <w:szCs w:val="18"/>
              </w:rPr>
              <w:t>II.A1.021</w:t>
            </w:r>
          </w:p>
        </w:tc>
        <w:tc>
          <w:tcPr>
            <w:tcW w:w="4239" w:type="dxa"/>
            <w:gridSpan w:val="2"/>
          </w:tcPr>
          <w:p>
            <w:pPr>
              <w:pStyle w:val="Tabkrper49pt"/>
              <w:rPr>
                <w:rFonts w:eastAsia="EUAlbertina-Regular-Identity-H"/>
              </w:rPr>
            </w:pPr>
            <w:r>
              <w:rPr>
                <w:szCs w:val="18"/>
              </w:rPr>
              <w:t>Kohlenstoff/Kohlenstoff-Verbundwerkstoffe.</w:t>
            </w:r>
          </w:p>
        </w:tc>
        <w:tc>
          <w:tcPr>
            <w:tcW w:w="1017" w:type="dxa"/>
            <w:gridSpan w:val="2"/>
          </w:tcPr>
          <w:p>
            <w:pPr>
              <w:pStyle w:val="Tabkrper49pt"/>
              <w:rPr>
                <w:szCs w:val="18"/>
              </w:rPr>
            </w:pPr>
            <w:r>
              <w:rPr>
                <w:szCs w:val="18"/>
              </w:rPr>
              <w:t>1A002b1</w:t>
            </w:r>
          </w:p>
        </w:tc>
      </w:tr>
      <w:tr>
        <w:tc>
          <w:tcPr>
            <w:tcW w:w="868" w:type="dxa"/>
            <w:gridSpan w:val="2"/>
          </w:tcPr>
          <w:p>
            <w:pPr>
              <w:pStyle w:val="Tabkrper49pt"/>
            </w:pPr>
            <w:r>
              <w:rPr>
                <w:szCs w:val="18"/>
              </w:rPr>
              <w:lastRenderedPageBreak/>
              <w:t>II.A1.022</w:t>
            </w:r>
          </w:p>
        </w:tc>
        <w:tc>
          <w:tcPr>
            <w:tcW w:w="4239" w:type="dxa"/>
            <w:gridSpan w:val="2"/>
          </w:tcPr>
          <w:p>
            <w:pPr>
              <w:pStyle w:val="Tabkrper49pt"/>
              <w:rPr>
                <w:rFonts w:eastAsia="EUAlbertina-Regular-Identity-H"/>
              </w:rPr>
            </w:pPr>
            <w:r>
              <w:rPr>
                <w:color w:val="19161B"/>
                <w:szCs w:val="18"/>
              </w:rPr>
              <w:t>Nickellegierungen in Roh- oder Halbzeugform, mit mindestens 60 Gew.-% Nickel.</w:t>
            </w:r>
          </w:p>
        </w:tc>
        <w:tc>
          <w:tcPr>
            <w:tcW w:w="1017" w:type="dxa"/>
            <w:gridSpan w:val="2"/>
          </w:tcPr>
          <w:p>
            <w:pPr>
              <w:pStyle w:val="Tabkrper49pt"/>
              <w:rPr>
                <w:szCs w:val="18"/>
              </w:rPr>
            </w:pPr>
            <w:r>
              <w:rPr>
                <w:szCs w:val="18"/>
              </w:rPr>
              <w:t>1C002c1a</w:t>
            </w:r>
          </w:p>
        </w:tc>
      </w:tr>
      <w:tr>
        <w:tc>
          <w:tcPr>
            <w:tcW w:w="868" w:type="dxa"/>
            <w:gridSpan w:val="2"/>
          </w:tcPr>
          <w:p>
            <w:pPr>
              <w:pStyle w:val="Tabkrper49pt"/>
            </w:pPr>
            <w:r>
              <w:rPr>
                <w:szCs w:val="18"/>
              </w:rPr>
              <w:t>II.A1.023</w:t>
            </w:r>
          </w:p>
        </w:tc>
        <w:tc>
          <w:tcPr>
            <w:tcW w:w="4239" w:type="dxa"/>
            <w:gridSpan w:val="2"/>
          </w:tcPr>
          <w:p>
            <w:pPr>
              <w:pStyle w:val="Tabkrper49pt"/>
              <w:rPr>
                <w:szCs w:val="18"/>
              </w:rPr>
            </w:pPr>
            <w:r>
              <w:rPr>
                <w:szCs w:val="18"/>
              </w:rPr>
              <w:t xml:space="preserve">Titanlegierungen in Form von Titanblech oder Titanplatte geeignet für eine Zugfestigkeit grösser/gleich 900 MPa bei 293 K (20 °C). </w:t>
            </w:r>
          </w:p>
          <w:p>
            <w:pPr>
              <w:pStyle w:val="Tabkrper49pt"/>
              <w:rPr>
                <w:rFonts w:eastAsia="EUAlbertina-Regular-Identity-H"/>
              </w:rPr>
            </w:pPr>
            <w:r>
              <w:rPr>
                <w:i/>
                <w:szCs w:val="18"/>
              </w:rPr>
              <w:t>Anmerkung:</w:t>
            </w:r>
            <w:r>
              <w:rPr>
                <w:szCs w:val="18"/>
              </w:rPr>
              <w:t xml:space="preserve"> Der Ausdruck Legierungen geeignet für er</w:t>
            </w:r>
            <w:r>
              <w:rPr>
                <w:szCs w:val="18"/>
              </w:rPr>
              <w:softHyphen/>
              <w:t>fasst Legierungen vor und nach einer Wärmebehandlung.</w:t>
            </w:r>
          </w:p>
        </w:tc>
        <w:tc>
          <w:tcPr>
            <w:tcW w:w="1017" w:type="dxa"/>
            <w:gridSpan w:val="2"/>
          </w:tcPr>
          <w:p>
            <w:pPr>
              <w:pStyle w:val="Tabkrper49pt"/>
              <w:rPr>
                <w:szCs w:val="18"/>
              </w:rPr>
            </w:pPr>
            <w:r>
              <w:rPr>
                <w:szCs w:val="18"/>
              </w:rPr>
              <w:t>1C002b3</w:t>
            </w:r>
          </w:p>
        </w:tc>
      </w:tr>
      <w:tr>
        <w:tc>
          <w:tcPr>
            <w:tcW w:w="868" w:type="dxa"/>
            <w:gridSpan w:val="2"/>
          </w:tcPr>
          <w:p>
            <w:pPr>
              <w:pStyle w:val="Tabkrper49pt"/>
            </w:pPr>
            <w:r>
              <w:rPr>
                <w:szCs w:val="18"/>
              </w:rPr>
              <w:t>II.A1.024</w:t>
            </w:r>
          </w:p>
        </w:tc>
        <w:tc>
          <w:tcPr>
            <w:tcW w:w="4239" w:type="dxa"/>
            <w:gridSpan w:val="2"/>
          </w:tcPr>
          <w:p>
            <w:pPr>
              <w:pStyle w:val="Tabkrper49pt"/>
              <w:rPr>
                <w:szCs w:val="18"/>
              </w:rPr>
            </w:pPr>
            <w:r>
              <w:rPr>
                <w:szCs w:val="18"/>
              </w:rPr>
              <w:t xml:space="preserve">Treibstoffe und chemische Bestandteile für Treibstoffe, wie folgt: </w:t>
            </w:r>
          </w:p>
          <w:p>
            <w:pPr>
              <w:pStyle w:val="Tab-Struktur149pt"/>
            </w:pPr>
            <w:r>
              <w:t>a)</w:t>
            </w:r>
            <w:r>
              <w:tab/>
              <w:t>Toluoldiisocyanat (TDI)</w:t>
            </w:r>
          </w:p>
          <w:p>
            <w:pPr>
              <w:pStyle w:val="Tab-Struktur149pt"/>
            </w:pPr>
            <w:r>
              <w:t>b)</w:t>
            </w:r>
            <w:r>
              <w:tab/>
              <w:t xml:space="preserve">Methylendiphenyldiisocyanat (MDI) </w:t>
            </w:r>
          </w:p>
          <w:p>
            <w:pPr>
              <w:pStyle w:val="Tab-Struktur149pt"/>
            </w:pPr>
            <w:r>
              <w:t>c)</w:t>
            </w:r>
            <w:r>
              <w:tab/>
              <w:t>Isophorondiiscocyanat (IPDI)</w:t>
            </w:r>
          </w:p>
          <w:p>
            <w:pPr>
              <w:pStyle w:val="Tab-Struktur149pt"/>
            </w:pPr>
            <w:r>
              <w:t>d)</w:t>
            </w:r>
            <w:r>
              <w:tab/>
              <w:t xml:space="preserve">Natriumperchlorat </w:t>
            </w:r>
          </w:p>
          <w:p>
            <w:pPr>
              <w:pStyle w:val="Tab-Struktur149pt"/>
            </w:pPr>
            <w:r>
              <w:t>e)</w:t>
            </w:r>
            <w:r>
              <w:tab/>
              <w:t xml:space="preserve">Xylidin </w:t>
            </w:r>
          </w:p>
          <w:p>
            <w:pPr>
              <w:pStyle w:val="Tab-Struktur149pt"/>
            </w:pPr>
            <w:r>
              <w:t>f)</w:t>
            </w:r>
            <w:r>
              <w:tab/>
              <w:t xml:space="preserve">hydroxyterminierters Polyether (HTPE) </w:t>
            </w:r>
          </w:p>
          <w:p>
            <w:pPr>
              <w:pStyle w:val="Tab-Struktur149pt"/>
            </w:pPr>
            <w:r>
              <w:t>g)</w:t>
            </w:r>
            <w:r>
              <w:tab/>
              <w:t xml:space="preserve">hydroxyterminiertes Caprolactonether (HTCE) </w:t>
            </w:r>
          </w:p>
          <w:p>
            <w:pPr>
              <w:pStyle w:val="Tabkrper49pt"/>
              <w:rPr>
                <w:rFonts w:eastAsia="EUAlbertina-Regular-Identity-H"/>
              </w:rPr>
            </w:pPr>
            <w:r>
              <w:rPr>
                <w:i/>
                <w:szCs w:val="18"/>
              </w:rPr>
              <w:t xml:space="preserve">Technische Anmerkung: </w:t>
            </w:r>
            <w:r>
              <w:rPr>
                <w:szCs w:val="18"/>
              </w:rPr>
              <w:t>Diese Nummer bezieht sich auf den Reinstoff und jede Mischung, die zu mindestens 50 % aus den oben genannten Chemikalien besteht.</w:t>
            </w:r>
          </w:p>
        </w:tc>
        <w:tc>
          <w:tcPr>
            <w:tcW w:w="1017" w:type="dxa"/>
            <w:gridSpan w:val="2"/>
          </w:tcPr>
          <w:p>
            <w:pPr>
              <w:pStyle w:val="Tabkrper49pt"/>
              <w:rPr>
                <w:szCs w:val="18"/>
              </w:rPr>
            </w:pPr>
            <w:r>
              <w:rPr>
                <w:szCs w:val="18"/>
              </w:rPr>
              <w:t>1C111</w:t>
            </w:r>
          </w:p>
        </w:tc>
      </w:tr>
      <w:tr>
        <w:tc>
          <w:tcPr>
            <w:tcW w:w="868" w:type="dxa"/>
            <w:gridSpan w:val="2"/>
          </w:tcPr>
          <w:p>
            <w:pPr>
              <w:pStyle w:val="Tabkrper49pt"/>
            </w:pPr>
            <w:r>
              <w:rPr>
                <w:szCs w:val="18"/>
              </w:rPr>
              <w:t>II.A1.025</w:t>
            </w:r>
          </w:p>
        </w:tc>
        <w:tc>
          <w:tcPr>
            <w:tcW w:w="4239" w:type="dxa"/>
            <w:gridSpan w:val="2"/>
          </w:tcPr>
          <w:p>
            <w:pPr>
              <w:pStyle w:val="Tabkrper49pt"/>
              <w:rPr>
                <w:szCs w:val="18"/>
              </w:rPr>
            </w:pPr>
            <w:r>
              <w:rPr>
                <w:rFonts w:eastAsia="EUAlbertina-Regular-Identity-H"/>
              </w:rPr>
              <w:t>«</w:t>
            </w:r>
            <w:r>
              <w:rPr>
                <w:szCs w:val="18"/>
              </w:rPr>
              <w:t>Schmiermittel</w:t>
            </w:r>
            <w:r>
              <w:rPr>
                <w:rFonts w:eastAsia="EUAlbertina-Regular-Identity-H"/>
              </w:rPr>
              <w:t>»</w:t>
            </w:r>
            <w:r>
              <w:rPr>
                <w:szCs w:val="18"/>
              </w:rPr>
              <w:t>, die als Hauptbestandteil eine der folgenden Verbindungen oder einen der folgenden Stoffe ent</w:t>
            </w:r>
            <w:r>
              <w:rPr>
                <w:szCs w:val="18"/>
              </w:rPr>
              <w:softHyphen/>
              <w:t>halten:</w:t>
            </w:r>
          </w:p>
          <w:p>
            <w:pPr>
              <w:pStyle w:val="Tab-Struktur149pt"/>
            </w:pPr>
            <w:r>
              <w:t xml:space="preserve">a) Perfluoroalkylether, (CAS 60164-51-4); </w:t>
            </w:r>
          </w:p>
          <w:p>
            <w:pPr>
              <w:pStyle w:val="Tab-Struktur149pt"/>
            </w:pPr>
            <w:r>
              <w:t>b) Perfluoropolyalkylether, PFPE, (CAS 6991-67-9).</w:t>
            </w:r>
          </w:p>
          <w:p>
            <w:pPr>
              <w:pStyle w:val="Tabkrper49pt"/>
              <w:rPr>
                <w:rFonts w:eastAsia="EUAlbertina-Regular-Identity-H"/>
              </w:rPr>
            </w:pPr>
            <w:r>
              <w:rPr>
                <w:rFonts w:eastAsia="EUAlbertina-Regular-Identity-H"/>
              </w:rPr>
              <w:t>«</w:t>
            </w:r>
            <w:r>
              <w:rPr>
                <w:szCs w:val="18"/>
              </w:rPr>
              <w:t>Schmiermittel</w:t>
            </w:r>
            <w:r>
              <w:rPr>
                <w:rFonts w:eastAsia="EUAlbertina-Regular-Identity-H"/>
              </w:rPr>
              <w:t>»</w:t>
            </w:r>
            <w:r>
              <w:rPr>
                <w:szCs w:val="18"/>
              </w:rPr>
              <w:t xml:space="preserve"> bedeutet Öle und Flüssigkeiten.</w:t>
            </w:r>
          </w:p>
        </w:tc>
        <w:tc>
          <w:tcPr>
            <w:tcW w:w="1017" w:type="dxa"/>
            <w:gridSpan w:val="2"/>
          </w:tcPr>
          <w:p>
            <w:pPr>
              <w:pStyle w:val="Tabkrper49pt"/>
              <w:rPr>
                <w:szCs w:val="18"/>
              </w:rPr>
            </w:pPr>
            <w:r>
              <w:rPr>
                <w:szCs w:val="18"/>
              </w:rPr>
              <w:t>1C006</w:t>
            </w:r>
          </w:p>
        </w:tc>
      </w:tr>
      <w:tr>
        <w:tc>
          <w:tcPr>
            <w:tcW w:w="868" w:type="dxa"/>
            <w:gridSpan w:val="2"/>
          </w:tcPr>
          <w:p>
            <w:pPr>
              <w:pStyle w:val="Tabkrper49pt"/>
            </w:pPr>
            <w:r>
              <w:rPr>
                <w:szCs w:val="18"/>
              </w:rPr>
              <w:t>II.A1.026</w:t>
            </w:r>
          </w:p>
        </w:tc>
        <w:tc>
          <w:tcPr>
            <w:tcW w:w="4239" w:type="dxa"/>
            <w:gridSpan w:val="2"/>
          </w:tcPr>
          <w:p>
            <w:pPr>
              <w:pStyle w:val="Tabkrper49pt"/>
              <w:rPr>
                <w:rFonts w:eastAsia="EUAlbertina-Regular-Identity-H"/>
              </w:rPr>
            </w:pPr>
            <w:r>
              <w:rPr>
                <w:szCs w:val="18"/>
              </w:rPr>
              <w:t xml:space="preserve">Beryllium-Kupfer- oder Kupfer-Beryllium-Legierungen </w:t>
            </w:r>
            <w:r>
              <w:rPr>
                <w:szCs w:val="18"/>
              </w:rPr>
              <w:br/>
              <w:t>in Form von Platten, Blechen, Streifen oder gewalzten Stangen, bestehend grösstenteils aus Kupfer und aus anderen Elementen mit weniger als 2 Gew.-% Beryllium.</w:t>
            </w:r>
          </w:p>
        </w:tc>
        <w:tc>
          <w:tcPr>
            <w:tcW w:w="1017" w:type="dxa"/>
            <w:gridSpan w:val="2"/>
          </w:tcPr>
          <w:p>
            <w:pPr>
              <w:pStyle w:val="Tabkrper49pt"/>
              <w:rPr>
                <w:szCs w:val="18"/>
              </w:rPr>
            </w:pPr>
            <w:r>
              <w:t>1C002b</w:t>
            </w:r>
          </w:p>
        </w:tc>
      </w:tr>
      <w:tr>
        <w:tc>
          <w:tcPr>
            <w:tcW w:w="6124" w:type="dxa"/>
            <w:gridSpan w:val="6"/>
          </w:tcPr>
          <w:p>
            <w:pPr>
              <w:pStyle w:val="Tab-Utit9pt-kurs"/>
            </w:pPr>
            <w:r>
              <w:t>A2. Werkstoffbearbeitung</w:t>
            </w:r>
          </w:p>
        </w:tc>
      </w:tr>
      <w:tr>
        <w:tc>
          <w:tcPr>
            <w:tcW w:w="868" w:type="dxa"/>
            <w:gridSpan w:val="2"/>
          </w:tcPr>
          <w:p>
            <w:pPr>
              <w:pStyle w:val="Tabkrper49pt"/>
            </w:pPr>
            <w:r>
              <w:t xml:space="preserve">II.A2.001 </w:t>
            </w:r>
          </w:p>
        </w:tc>
        <w:tc>
          <w:tcPr>
            <w:tcW w:w="4239" w:type="dxa"/>
            <w:gridSpan w:val="2"/>
          </w:tcPr>
          <w:p>
            <w:pPr>
              <w:pStyle w:val="Tabkrper49pt"/>
            </w:pPr>
            <w:r>
              <w:t>Vibrationsprüfsysteme, Ausrüstung und Bestandteile hierfür, soweit nicht in Nummer 2B116 erfasst:</w:t>
            </w:r>
          </w:p>
          <w:p>
            <w:pPr>
              <w:pStyle w:val="Tab-Struktur149pt"/>
            </w:pPr>
            <w:r>
              <w:t>a)</w:t>
            </w:r>
            <w:r>
              <w:tab/>
              <w:t xml:space="preserve">Vibrationsprüfsysteme mit Rückkopplungs- oder Closed-Loop-Technik mit integrierter digitaler Steuerung, geeignet für Vibrationsbeanspruchungen des Prüflings mit einer Beschleunigung grösser/gleich 0,1 g rms zwischen 0,1 Hz und 2 kHz und bei </w:t>
            </w:r>
            <w:r>
              <w:lastRenderedPageBreak/>
              <w:t xml:space="preserve">Übertragungskräften grösser/gleich 50 kN, gemessen am </w:t>
            </w:r>
            <w:r>
              <w:rPr>
                <w:rFonts w:eastAsia="EUAlbertina-Regular-Identity-H"/>
              </w:rPr>
              <w:t>«</w:t>
            </w:r>
            <w:r>
              <w:t>Prüftisch</w:t>
            </w:r>
            <w:r>
              <w:rPr>
                <w:rFonts w:eastAsia="EUAlbertina-Regular-Identity-H"/>
              </w:rPr>
              <w:t>»</w:t>
            </w:r>
            <w:r>
              <w:t>;</w:t>
            </w:r>
          </w:p>
          <w:p>
            <w:pPr>
              <w:pStyle w:val="Tab-Struktur149pt"/>
            </w:pPr>
            <w:r>
              <w:t>b)</w:t>
            </w:r>
            <w:r>
              <w:tab/>
              <w:t xml:space="preserve">digitale Steuerungen in Verbindung mit besonders für Vibrationsprüfung entwickelter </w:t>
            </w:r>
            <w:r>
              <w:rPr>
                <w:rFonts w:eastAsia="EUAlbertina-Regular-Identity-H"/>
              </w:rPr>
              <w:t>«</w:t>
            </w:r>
            <w:r>
              <w:t>Software</w:t>
            </w:r>
            <w:r>
              <w:rPr>
                <w:rFonts w:eastAsia="EUAlbertina-Regular-Identity-H"/>
              </w:rPr>
              <w:t>»</w:t>
            </w:r>
            <w:r>
              <w:t>, mit einer Echtzeit-Bandbreite grösser/gleich 5 kHz und konstruiert zum Einsatz in den in Unternummer a erfassten Systemen;</w:t>
            </w:r>
          </w:p>
          <w:p>
            <w:pPr>
              <w:pStyle w:val="Tab-Struktur149pt"/>
            </w:pPr>
            <w:r>
              <w:t>c)</w:t>
            </w:r>
            <w:r>
              <w:tab/>
              <w:t xml:space="preserve">Schwingerreger (Shaker units) mit oder ohne zugehörige Verstärker, geeignet für Übertragungskräfte von grösser/gleich 50 kN, gemessen am </w:t>
            </w:r>
            <w:r>
              <w:rPr>
                <w:rFonts w:eastAsia="EUAlbertina-Regular-Identity-H"/>
              </w:rPr>
              <w:t>«</w:t>
            </w:r>
            <w:r>
              <w:t>Prüftisch</w:t>
            </w:r>
            <w:r>
              <w:rPr>
                <w:rFonts w:eastAsia="EUAlbertina-Regular-Identity-H"/>
              </w:rPr>
              <w:t>»</w:t>
            </w:r>
            <w:r>
              <w:t>, und geeignet für die in Unternummer a erfassten Systeme;</w:t>
            </w:r>
          </w:p>
          <w:p>
            <w:pPr>
              <w:pStyle w:val="Tab-Struktur149pt"/>
            </w:pPr>
            <w:r>
              <w:t>d)</w:t>
            </w:r>
            <w:r>
              <w:tab/>
              <w:t xml:space="preserve">Prüflingshaltevorrichtungen und Elektronikeinheiten, konstruiert, um mehrere Schwingerreger zu einem Schwingerregersystem, das Übertragungskräfte grösser/gleich 50 kN, gemessen am </w:t>
            </w:r>
            <w:r>
              <w:rPr>
                <w:rFonts w:eastAsia="EUAlbertina-Regular-Identity-H"/>
              </w:rPr>
              <w:t>«</w:t>
            </w:r>
            <w:r>
              <w:t>Prüftisch</w:t>
            </w:r>
            <w:r>
              <w:rPr>
                <w:rFonts w:eastAsia="EUAlbertina-Regular-Identity-H"/>
              </w:rPr>
              <w:t>»</w:t>
            </w:r>
            <w:r>
              <w:t>, erzeugen kann, zusammenzufassen, und geeignet für die in Unternummer a erfassten Systeme.</w:t>
            </w:r>
          </w:p>
          <w:p>
            <w:pPr>
              <w:pStyle w:val="Tabkrper49pt"/>
            </w:pPr>
            <w:r>
              <w:rPr>
                <w:i/>
              </w:rPr>
              <w:t>Technische Anmerkung</w:t>
            </w:r>
            <w:r>
              <w:t xml:space="preserve">: Ein </w:t>
            </w:r>
            <w:r>
              <w:rPr>
                <w:rFonts w:eastAsia="EUAlbertina-Regular-Identity-H"/>
              </w:rPr>
              <w:t>«</w:t>
            </w:r>
            <w:r>
              <w:t>Prüftisch</w:t>
            </w:r>
            <w:r>
              <w:rPr>
                <w:rFonts w:eastAsia="EUAlbertina-Regular-Identity-H"/>
              </w:rPr>
              <w:t>»</w:t>
            </w:r>
            <w:r>
              <w:t xml:space="preserve"> ist ein flacher Tisch oder eine flache Oberfläche ohne Aufnahmen oder Halterungen.</w:t>
            </w:r>
          </w:p>
        </w:tc>
        <w:tc>
          <w:tcPr>
            <w:tcW w:w="1017" w:type="dxa"/>
            <w:gridSpan w:val="2"/>
          </w:tcPr>
          <w:p>
            <w:pPr>
              <w:pStyle w:val="Tabkrper49pt"/>
            </w:pPr>
            <w:r>
              <w:lastRenderedPageBreak/>
              <w:t xml:space="preserve">2B116 </w:t>
            </w:r>
          </w:p>
        </w:tc>
      </w:tr>
      <w:tr>
        <w:tc>
          <w:tcPr>
            <w:tcW w:w="868" w:type="dxa"/>
            <w:gridSpan w:val="2"/>
          </w:tcPr>
          <w:p>
            <w:pPr>
              <w:pStyle w:val="Tabkrper49pt"/>
            </w:pPr>
            <w:r>
              <w:t xml:space="preserve">II.A2.002 </w:t>
            </w:r>
          </w:p>
        </w:tc>
        <w:tc>
          <w:tcPr>
            <w:tcW w:w="4239" w:type="dxa"/>
            <w:gridSpan w:val="2"/>
          </w:tcPr>
          <w:p>
            <w:pPr>
              <w:pStyle w:val="Tabkrper49pt"/>
            </w:pPr>
            <w:r>
              <w:t>Werkzeugmaschinen und Bestandteile und Steuerungen für Werkzeugmaschinen wie folgt:</w:t>
            </w:r>
          </w:p>
          <w:p>
            <w:pPr>
              <w:pStyle w:val="Tab-Struktur149pt"/>
            </w:pPr>
            <w:r>
              <w:t>a)</w:t>
            </w:r>
            <w:r>
              <w:tab/>
              <w:t xml:space="preserve">Werkzeugmaschinen für Schleifbearbeitung mit einer Positioniergenauigkeit mit </w:t>
            </w:r>
            <w:r>
              <w:rPr>
                <w:rFonts w:eastAsia="EUAlbertina-Regular-Identity-H"/>
              </w:rPr>
              <w:t>«</w:t>
            </w:r>
            <w:r>
              <w:t>allen verfügbaren Kompensationen</w:t>
            </w:r>
            <w:r>
              <w:rPr>
                <w:rFonts w:eastAsia="EUAlbertina-Regular-Identity-H"/>
              </w:rPr>
              <w:t>»</w:t>
            </w:r>
            <w:r>
              <w:t xml:space="preserve"> von kleiner (besser)/gleich 15 μm nach ISO 230/2 (1988) (1) oder entsprechenden nationalen Normen entlang einer Linearachse;</w:t>
            </w:r>
          </w:p>
          <w:p>
            <w:pPr>
              <w:pStyle w:val="Tabkrper49pt"/>
            </w:pPr>
            <w:r>
              <w:rPr>
                <w:i/>
              </w:rPr>
              <w:t>Anmerkung</w:t>
            </w:r>
            <w:r>
              <w:t>: Diese Nummer erfasst nicht Werkzeugmaschinen für Schleifbearbeitung, erfasst in den Unternummern 2B201b und 2B001c.</w:t>
            </w:r>
          </w:p>
          <w:p>
            <w:pPr>
              <w:pStyle w:val="Tab-Struktur149pt"/>
            </w:pPr>
            <w:r>
              <w:t>b)</w:t>
            </w:r>
            <w:r>
              <w:tab/>
              <w:t>Bestandteile und Steuerungen, besonders konstruiert für Werkzeugmaschinen, erfasst in Nummer 2B001 oder 2B201 oder in Unternummer a.</w:t>
            </w:r>
          </w:p>
        </w:tc>
        <w:tc>
          <w:tcPr>
            <w:tcW w:w="1017" w:type="dxa"/>
            <w:gridSpan w:val="2"/>
          </w:tcPr>
          <w:p>
            <w:pPr>
              <w:pStyle w:val="Tabkrper49pt"/>
            </w:pPr>
            <w:r>
              <w:t>2B201b</w:t>
            </w:r>
          </w:p>
          <w:p>
            <w:pPr>
              <w:pStyle w:val="Tabkrper49pt"/>
            </w:pPr>
            <w:r>
              <w:t xml:space="preserve">2B001c </w:t>
            </w:r>
          </w:p>
        </w:tc>
      </w:tr>
      <w:tr>
        <w:tc>
          <w:tcPr>
            <w:tcW w:w="868" w:type="dxa"/>
            <w:gridSpan w:val="2"/>
          </w:tcPr>
          <w:p>
            <w:pPr>
              <w:pStyle w:val="Tabkrper49pt"/>
              <w:rPr>
                <w:color w:val="19161B"/>
              </w:rPr>
            </w:pPr>
            <w:r>
              <w:t>II.A2.003</w:t>
            </w:r>
            <w:r>
              <w:rPr>
                <w:color w:val="19161B"/>
              </w:rPr>
              <w:t xml:space="preserve"> </w:t>
            </w:r>
          </w:p>
        </w:tc>
        <w:tc>
          <w:tcPr>
            <w:tcW w:w="4239" w:type="dxa"/>
            <w:gridSpan w:val="2"/>
          </w:tcPr>
          <w:p>
            <w:pPr>
              <w:pStyle w:val="Tabkrper49pt"/>
            </w:pPr>
            <w:r>
              <w:t>Auswuchtmaschinen und zugehörige Ausrüstung wie folgt:</w:t>
            </w:r>
          </w:p>
          <w:p>
            <w:pPr>
              <w:pStyle w:val="Tab-Struktur149pt"/>
            </w:pPr>
            <w:r>
              <w:t>a)</w:t>
            </w:r>
            <w:r>
              <w:tab/>
              <w:t>Auswuchtmaschinen, konstruiert oder geändert für zahnmedizinische oder andere medizinische Ausrüstung, mit allen folgenden Eigenschaften:</w:t>
            </w:r>
          </w:p>
          <w:p>
            <w:pPr>
              <w:pStyle w:val="Tab-Struktur209pt"/>
            </w:pPr>
            <w:r>
              <w:t>1.</w:t>
            </w:r>
            <w:r>
              <w:tab/>
              <w:t>nicht geeignet zum Auswuchten von Rotoren/ Baugruppen mit einer Masse grösser als 3 kg,</w:t>
            </w:r>
          </w:p>
          <w:p>
            <w:pPr>
              <w:pStyle w:val="Tab-Struktur209pt"/>
            </w:pPr>
            <w:r>
              <w:lastRenderedPageBreak/>
              <w:t>2.</w:t>
            </w:r>
            <w:r>
              <w:tab/>
              <w:t>geeignet zum Auswuchten von Rotoren/Baugruppen bei Drehzahlen grösser als 12 500 U/min,</w:t>
            </w:r>
          </w:p>
          <w:p>
            <w:pPr>
              <w:pStyle w:val="Tab-Struktur209pt"/>
            </w:pPr>
            <w:r>
              <w:t>3.</w:t>
            </w:r>
            <w:r>
              <w:tab/>
              <w:t>geeignet zur Korrektur von Unwuchten in zwei oder mehr Ebenen; und</w:t>
            </w:r>
          </w:p>
          <w:p>
            <w:pPr>
              <w:pStyle w:val="Tab-Struktur209pt"/>
            </w:pPr>
            <w:r>
              <w:t>4.</w:t>
            </w:r>
            <w:r>
              <w:tab/>
              <w:t>geeignet zum Auswuchten bis zu einer spezifischen Restunwucht von 0,2 g mm/kg der Rotormasse;</w:t>
            </w:r>
          </w:p>
          <w:p>
            <w:pPr>
              <w:pStyle w:val="Abstand4pt"/>
            </w:pPr>
          </w:p>
          <w:p>
            <w:pPr>
              <w:pStyle w:val="Tab-Struktur149pt"/>
            </w:pPr>
            <w:r>
              <w:t>b)</w:t>
            </w:r>
            <w:r>
              <w:tab/>
              <w:t>Messgeräte (indicator heads), konstruiert oder geändert für den Einsatz in Maschinen, erfasst in Unternummer a.</w:t>
            </w:r>
          </w:p>
          <w:p>
            <w:pPr>
              <w:pStyle w:val="Abstand4pt"/>
            </w:pPr>
          </w:p>
          <w:p>
            <w:pPr>
              <w:pStyle w:val="Tabkrper49pt"/>
            </w:pPr>
            <w:r>
              <w:rPr>
                <w:i/>
              </w:rPr>
              <w:t>Technische Anmerkung</w:t>
            </w:r>
            <w:r>
              <w:t>: Indicator heads werden auch als balancing instrumentation bezeichnet.</w:t>
            </w:r>
          </w:p>
        </w:tc>
        <w:tc>
          <w:tcPr>
            <w:tcW w:w="1017" w:type="dxa"/>
            <w:gridSpan w:val="2"/>
          </w:tcPr>
          <w:p>
            <w:pPr>
              <w:pStyle w:val="Tabkrper49pt"/>
            </w:pPr>
            <w:r>
              <w:lastRenderedPageBreak/>
              <w:t>2B119</w:t>
            </w:r>
          </w:p>
        </w:tc>
      </w:tr>
      <w:tr>
        <w:tc>
          <w:tcPr>
            <w:tcW w:w="868" w:type="dxa"/>
            <w:gridSpan w:val="2"/>
          </w:tcPr>
          <w:p>
            <w:pPr>
              <w:pStyle w:val="Tabkrper49pt"/>
            </w:pPr>
            <w:r>
              <w:t xml:space="preserve">II.A2.004 </w:t>
            </w:r>
          </w:p>
        </w:tc>
        <w:tc>
          <w:tcPr>
            <w:tcW w:w="4239" w:type="dxa"/>
            <w:gridSpan w:val="2"/>
          </w:tcPr>
          <w:p>
            <w:pPr>
              <w:pStyle w:val="Tabkrper49pt"/>
            </w:pPr>
            <w:r>
              <w:t>Fernlenk-Manipulatoren, die für ferngesteuerte Tätigkeiten bei radiochemischen Trennprozessen oder in Heissen Zellen eingesetzt werden können, soweit nicht in Nummer 2B225 erfasst, mit einer der folgenden Eigenschaften:</w:t>
            </w:r>
          </w:p>
          <w:p>
            <w:pPr>
              <w:pStyle w:val="Tab-Struktur149pt"/>
            </w:pPr>
            <w:r>
              <w:t>a)</w:t>
            </w:r>
            <w:r>
              <w:tab/>
              <w:t>Eignung zur Durchdringung der Wand einer Heissen Zelle mit einer Dicke grösser/gleich 0,3 m (Durch-die-Wand-Modifikation); oder</w:t>
            </w:r>
          </w:p>
          <w:p>
            <w:pPr>
              <w:pStyle w:val="Tab-Struktur149pt"/>
            </w:pPr>
            <w:r>
              <w:t>b)</w:t>
            </w:r>
            <w:r>
              <w:tab/>
              <w:t>Eignung zur Überbrückung der Wand einer Heissen Zelle mit einer Dicke grösser/gleich 0,3 m (Über-die-Wand-Modifikation).</w:t>
            </w:r>
          </w:p>
        </w:tc>
        <w:tc>
          <w:tcPr>
            <w:tcW w:w="1017" w:type="dxa"/>
            <w:gridSpan w:val="2"/>
          </w:tcPr>
          <w:p>
            <w:pPr>
              <w:pStyle w:val="Tabkrper49pt"/>
            </w:pPr>
            <w:r>
              <w:t xml:space="preserve">2B225 </w:t>
            </w:r>
          </w:p>
        </w:tc>
      </w:tr>
      <w:tr>
        <w:tc>
          <w:tcPr>
            <w:tcW w:w="868" w:type="dxa"/>
            <w:gridSpan w:val="2"/>
          </w:tcPr>
          <w:p>
            <w:pPr>
              <w:pStyle w:val="Tabkrper49pt"/>
            </w:pPr>
            <w:r>
              <w:t xml:space="preserve">II.A2.006 </w:t>
            </w:r>
          </w:p>
        </w:tc>
        <w:tc>
          <w:tcPr>
            <w:tcW w:w="4239" w:type="dxa"/>
            <w:gridSpan w:val="2"/>
          </w:tcPr>
          <w:p>
            <w:pPr>
              <w:pStyle w:val="Tabkrper49pt"/>
            </w:pPr>
            <w:r>
              <w:t xml:space="preserve">Öfen, geeignet für Betriebstemperaturen grösser als </w:t>
            </w:r>
            <w:r>
              <w:br/>
              <w:t xml:space="preserve">400 °C, wie folgt: </w:t>
            </w:r>
          </w:p>
          <w:p>
            <w:pPr>
              <w:pStyle w:val="Tab-Struktur149pt"/>
            </w:pPr>
            <w:r>
              <w:t>a)</w:t>
            </w:r>
            <w:r>
              <w:tab/>
              <w:t>Oxydationsöfen;</w:t>
            </w:r>
          </w:p>
          <w:p>
            <w:pPr>
              <w:pStyle w:val="Tab-Struktur149pt"/>
            </w:pPr>
            <w:r>
              <w:t>b)</w:t>
            </w:r>
            <w:r>
              <w:tab/>
              <w:t>Mit kontrollierter Atmosphäre betriebene Wärmebehandlungsöfen.</w:t>
            </w:r>
          </w:p>
          <w:p>
            <w:pPr>
              <w:pStyle w:val="Tabkrper49pt"/>
              <w:rPr>
                <w:i/>
              </w:rPr>
            </w:pPr>
            <w:r>
              <w:rPr>
                <w:i/>
              </w:rPr>
              <w:t xml:space="preserve">Anmerkung: </w:t>
            </w:r>
            <w:r>
              <w:t>Diese Nummer erfasst nicht Tunnelöfen mit Rollenbahn oder Wagen, Tunnelöfen mit Förderband, Durchschuböfen oder Herdwagenöfen, die für die Herstellung von Glas, Tischgeschirr aus Keramik oder Strukturkeramik konstruiert wurden.</w:t>
            </w:r>
          </w:p>
        </w:tc>
        <w:tc>
          <w:tcPr>
            <w:tcW w:w="1017" w:type="dxa"/>
            <w:gridSpan w:val="2"/>
          </w:tcPr>
          <w:p>
            <w:pPr>
              <w:pStyle w:val="Tabkrper49pt"/>
            </w:pPr>
            <w:r>
              <w:t>2B226</w:t>
            </w:r>
          </w:p>
          <w:p>
            <w:pPr>
              <w:pStyle w:val="Tabkrper49pt"/>
            </w:pPr>
            <w:r>
              <w:t>2B227</w:t>
            </w:r>
          </w:p>
        </w:tc>
      </w:tr>
      <w:tr>
        <w:tc>
          <w:tcPr>
            <w:tcW w:w="868" w:type="dxa"/>
            <w:gridSpan w:val="2"/>
          </w:tcPr>
          <w:p>
            <w:pPr>
              <w:pStyle w:val="Tabkrper49pt"/>
            </w:pPr>
            <w:r>
              <w:t xml:space="preserve">II.A2.007 </w:t>
            </w:r>
          </w:p>
        </w:tc>
        <w:tc>
          <w:tcPr>
            <w:tcW w:w="4239" w:type="dxa"/>
            <w:gridSpan w:val="2"/>
          </w:tcPr>
          <w:p>
            <w:pPr>
              <w:pStyle w:val="Tabkrper49pt"/>
            </w:pPr>
            <w:r>
              <w:rPr>
                <w:rFonts w:eastAsia="EUAlbertina-Regular-Identity-H"/>
              </w:rPr>
              <w:t>«</w:t>
            </w:r>
            <w:r>
              <w:t>Druckmessgeräte</w:t>
            </w:r>
            <w:r>
              <w:rPr>
                <w:rFonts w:eastAsia="EUAlbertina-Regular-Identity-H"/>
              </w:rPr>
              <w:t>»</w:t>
            </w:r>
            <w:r>
              <w:t>, soweit nicht in Nummer 2B230 erfasst, geeignet zum Messen von Absolutdrücken im Bereich von 0 bis 200 kPa, mit beiden folgenden Eigenschaften:</w:t>
            </w:r>
          </w:p>
          <w:p>
            <w:pPr>
              <w:pStyle w:val="Tab-Struktur149pt"/>
            </w:pPr>
            <w:r>
              <w:t>a)</w:t>
            </w:r>
            <w:r>
              <w:tab/>
              <w:t xml:space="preserve">Drucksensoren, hergestellt aus oder geschützt durch </w:t>
            </w:r>
            <w:r>
              <w:rPr>
                <w:rFonts w:eastAsia="EUAlbertina-Regular-Identity-H"/>
              </w:rPr>
              <w:t xml:space="preserve">«gegen Korrosion </w:t>
            </w:r>
            <w:r>
              <w:t>durch Uranhexafluorid (UF 6 )-resistente Werkstoffe</w:t>
            </w:r>
            <w:r>
              <w:rPr>
                <w:rFonts w:eastAsia="EUAlbertina-Regular-Identity-H"/>
              </w:rPr>
              <w:t>»;</w:t>
            </w:r>
            <w:r>
              <w:t xml:space="preserve"> und </w:t>
            </w:r>
          </w:p>
          <w:p>
            <w:pPr>
              <w:pStyle w:val="Tab-Struktur149pt"/>
            </w:pPr>
            <w:r>
              <w:t>b)</w:t>
            </w:r>
            <w:r>
              <w:tab/>
              <w:t>mit einer der folgenden Eigenschaften:</w:t>
            </w:r>
          </w:p>
          <w:p>
            <w:pPr>
              <w:pStyle w:val="Tab-Struktur209pt"/>
            </w:pPr>
            <w:r>
              <w:lastRenderedPageBreak/>
              <w:t>1.</w:t>
            </w:r>
            <w:r>
              <w:tab/>
              <w:t xml:space="preserve">Messbereich kleiner als 200 kPa und </w:t>
            </w:r>
            <w:r>
              <w:rPr>
                <w:rFonts w:eastAsia="EUAlbertina-Regular-Identity-H"/>
              </w:rPr>
              <w:t>«</w:t>
            </w:r>
            <w:r>
              <w:t>Messgenauigkeit</w:t>
            </w:r>
            <w:r>
              <w:rPr>
                <w:rFonts w:eastAsia="EUAlbertina-Regular-Identity-H"/>
              </w:rPr>
              <w:t>»</w:t>
            </w:r>
            <w:r>
              <w:t xml:space="preserve"> kleiner (besser) als ± 1 % vom Skalenendwert; oder</w:t>
            </w:r>
          </w:p>
          <w:p>
            <w:pPr>
              <w:pStyle w:val="Abstand4pt"/>
            </w:pPr>
          </w:p>
          <w:p>
            <w:pPr>
              <w:pStyle w:val="Tab-Struktur209pt"/>
            </w:pPr>
            <w:r>
              <w:t>2.</w:t>
            </w:r>
            <w:r>
              <w:tab/>
              <w:t xml:space="preserve">Messbereich grösser/gleich 200 kPa und </w:t>
            </w:r>
            <w:r>
              <w:rPr>
                <w:rFonts w:eastAsia="EUAlbertina-Regular-Identity-H"/>
              </w:rPr>
              <w:t>«</w:t>
            </w:r>
            <w:r>
              <w:t>Messgenauigkeit</w:t>
            </w:r>
            <w:r>
              <w:rPr>
                <w:rFonts w:eastAsia="EUAlbertina-Regular-Identity-H"/>
              </w:rPr>
              <w:t>»</w:t>
            </w:r>
            <w:r>
              <w:t xml:space="preserve"> kleiner (besser) als 2 kPa.</w:t>
            </w:r>
          </w:p>
          <w:p>
            <w:pPr>
              <w:pStyle w:val="Tab-Struktur209pt"/>
            </w:pPr>
          </w:p>
        </w:tc>
        <w:tc>
          <w:tcPr>
            <w:tcW w:w="1017" w:type="dxa"/>
            <w:gridSpan w:val="2"/>
          </w:tcPr>
          <w:p>
            <w:pPr>
              <w:pStyle w:val="Tabkrper49pt"/>
            </w:pPr>
            <w:r>
              <w:lastRenderedPageBreak/>
              <w:t>2B230</w:t>
            </w:r>
          </w:p>
        </w:tc>
      </w:tr>
      <w:tr>
        <w:tc>
          <w:tcPr>
            <w:tcW w:w="868" w:type="dxa"/>
            <w:gridSpan w:val="2"/>
          </w:tcPr>
          <w:p>
            <w:pPr>
              <w:pStyle w:val="Tabkrper49pt"/>
            </w:pPr>
            <w:r>
              <w:rPr>
                <w:szCs w:val="18"/>
              </w:rPr>
              <w:t xml:space="preserve">II.A2.008 </w:t>
            </w:r>
          </w:p>
        </w:tc>
        <w:tc>
          <w:tcPr>
            <w:tcW w:w="4239" w:type="dxa"/>
            <w:gridSpan w:val="2"/>
          </w:tcPr>
          <w:p>
            <w:pPr>
              <w:pStyle w:val="Tabkrper49pt"/>
              <w:rPr>
                <w:szCs w:val="18"/>
              </w:rPr>
            </w:pPr>
            <w:r>
              <w:rPr>
                <w:szCs w:val="18"/>
              </w:rPr>
              <w:t>Flüssig-flüssig Kontakt-Ausrüstung (Mischer-Abscheider, Pulsationskolonnen und Zentrifugalextraktoren) und Flüssigkeitsverteiler, Dampfverteiler oder Flüssigkeitssammler, konstruiert für solche Ausrüstung, bei denen die medienberührenden Flächen ganz aus einem der folgenden Werkstoffe bestehen:</w:t>
            </w:r>
          </w:p>
          <w:p>
            <w:pPr>
              <w:pStyle w:val="Tabkrper49pt"/>
              <w:rPr>
                <w:bCs/>
                <w:color w:val="19161B"/>
                <w:szCs w:val="18"/>
              </w:rPr>
            </w:pPr>
            <w:r>
              <w:rPr>
                <w:bCs/>
                <w:color w:val="19161B"/>
                <w:szCs w:val="18"/>
              </w:rPr>
              <w:t xml:space="preserve">ANMERKUNG: SIEHE AUCH ZIFFER II.A2.014. </w:t>
            </w:r>
          </w:p>
          <w:p>
            <w:pPr>
              <w:pStyle w:val="Tab-Struktur149pt"/>
            </w:pPr>
            <w:r>
              <w:t>1.</w:t>
            </w:r>
            <w:r>
              <w:tab/>
              <w:t xml:space="preserve">rostfreier Stahl. </w:t>
            </w:r>
          </w:p>
          <w:p>
            <w:pPr>
              <w:pStyle w:val="Tabkrper49pt"/>
              <w:rPr>
                <w:rFonts w:eastAsia="EUAlbertina-Regular-Identity-H"/>
              </w:rPr>
            </w:pPr>
            <w:r>
              <w:rPr>
                <w:i/>
              </w:rPr>
              <w:t xml:space="preserve">Anmerkung: </w:t>
            </w:r>
            <w:r>
              <w:t xml:space="preserve">Für rostfreien Stahl mit mehr als 25 Gew.-% Nickel und 20 Gew.-% Chrom siehe Nummer II.A2.014.a </w:t>
            </w:r>
          </w:p>
        </w:tc>
        <w:tc>
          <w:tcPr>
            <w:tcW w:w="1017" w:type="dxa"/>
            <w:gridSpan w:val="2"/>
          </w:tcPr>
          <w:p>
            <w:pPr>
              <w:pStyle w:val="Tabkrper49pt"/>
            </w:pPr>
            <w:r>
              <w:rPr>
                <w:szCs w:val="18"/>
              </w:rPr>
              <w:t>2B350e</w:t>
            </w:r>
          </w:p>
        </w:tc>
      </w:tr>
      <w:tr>
        <w:tc>
          <w:tcPr>
            <w:tcW w:w="868" w:type="dxa"/>
            <w:gridSpan w:val="2"/>
          </w:tcPr>
          <w:p>
            <w:pPr>
              <w:pStyle w:val="Tabkrper49pt"/>
            </w:pPr>
            <w:r>
              <w:rPr>
                <w:szCs w:val="18"/>
              </w:rPr>
              <w:t xml:space="preserve">II.A2.009 </w:t>
            </w:r>
          </w:p>
        </w:tc>
        <w:tc>
          <w:tcPr>
            <w:tcW w:w="4239" w:type="dxa"/>
            <w:gridSpan w:val="2"/>
          </w:tcPr>
          <w:p>
            <w:pPr>
              <w:pStyle w:val="Tabkrper49pt"/>
              <w:rPr>
                <w:szCs w:val="18"/>
              </w:rPr>
            </w:pPr>
            <w:r>
              <w:rPr>
                <w:szCs w:val="18"/>
              </w:rPr>
              <w:t xml:space="preserve">Industrielle Geräte und Bestandteile, soweit nicht in </w:t>
            </w:r>
            <w:r>
              <w:rPr>
                <w:szCs w:val="18"/>
              </w:rPr>
              <w:br/>
              <w:t xml:space="preserve">Unternummer 2B350d erfasst, wie folgt: </w:t>
            </w:r>
          </w:p>
          <w:p>
            <w:pPr>
              <w:pStyle w:val="Tabkrper49pt"/>
              <w:rPr>
                <w:szCs w:val="18"/>
              </w:rPr>
            </w:pPr>
            <w:r>
              <w:rPr>
                <w:bCs/>
                <w:color w:val="19161B"/>
                <w:szCs w:val="18"/>
              </w:rPr>
              <w:t>ANMERKUNG: SIEHE AUCH ZIFFER II.A2.015</w:t>
            </w:r>
          </w:p>
          <w:p>
            <w:pPr>
              <w:pStyle w:val="Tabkrper49pt"/>
              <w:rPr>
                <w:szCs w:val="18"/>
              </w:rPr>
            </w:pPr>
            <w:r>
              <w:rPr>
                <w:szCs w:val="18"/>
              </w:rPr>
              <w:t>Wärmetauscher oder Kondensatoren mit einer Wärmeaustauschfläche grösser als 0,05 m</w:t>
            </w:r>
            <w:r>
              <w:rPr>
                <w:position w:val="4"/>
                <w:sz w:val="13"/>
              </w:rPr>
              <w:t>2</w:t>
            </w:r>
            <w:r>
              <w:rPr>
                <w:szCs w:val="18"/>
              </w:rPr>
              <w:t xml:space="preserve"> und kleiner als 30 m</w:t>
            </w:r>
            <w:r>
              <w:rPr>
                <w:position w:val="4"/>
                <w:sz w:val="13"/>
              </w:rPr>
              <w:t>2</w:t>
            </w:r>
            <w:r>
              <w:rPr>
                <w:szCs w:val="18"/>
              </w:rPr>
              <w:t xml:space="preserve"> sowie für solche Wärmetauscher oder Kondensatoren konstruierte Rohre, Platten, Coils oder Blöcke, bei denen die medienberührenden Flächen ganz aus einem der folgenden Werkstoffe bestehen:</w:t>
            </w:r>
          </w:p>
          <w:p>
            <w:pPr>
              <w:pStyle w:val="Tab-Struktur149pt"/>
            </w:pPr>
            <w:r>
              <w:t xml:space="preserve">1. rostfreier Stahl. </w:t>
            </w:r>
          </w:p>
          <w:p>
            <w:pPr>
              <w:pStyle w:val="Tabkrper49pt"/>
              <w:rPr>
                <w:i/>
              </w:rPr>
            </w:pPr>
            <w:r>
              <w:rPr>
                <w:i/>
              </w:rPr>
              <w:t xml:space="preserve">Anmerkung 1: </w:t>
            </w:r>
            <w:r>
              <w:t xml:space="preserve">Für rostfreien Stahl mit mehr als </w:t>
            </w:r>
            <w:r>
              <w:br/>
              <w:t xml:space="preserve">25 Gew.-% Nickel und 20 Gew.-% Chrom siehe Nummer II.A2.015.a </w:t>
            </w:r>
          </w:p>
          <w:p>
            <w:pPr>
              <w:pStyle w:val="Tabkrper29pt"/>
              <w:rPr>
                <w:i/>
                <w:iCs/>
                <w:color w:val="19161B"/>
                <w:szCs w:val="18"/>
              </w:rPr>
            </w:pPr>
            <w:r>
              <w:rPr>
                <w:i/>
                <w:iCs/>
                <w:color w:val="19161B"/>
                <w:szCs w:val="18"/>
              </w:rPr>
              <w:t xml:space="preserve">Anmerkung 2: </w:t>
            </w:r>
            <w:r>
              <w:rPr>
                <w:iCs/>
                <w:color w:val="19161B"/>
                <w:szCs w:val="18"/>
              </w:rPr>
              <w:t>Diese Nummer erfasst nicht Fahrzeug</w:t>
            </w:r>
            <w:r>
              <w:rPr>
                <w:iCs/>
                <w:color w:val="19161B"/>
                <w:szCs w:val="18"/>
              </w:rPr>
              <w:softHyphen/>
              <w:t>kühler.</w:t>
            </w:r>
          </w:p>
          <w:p>
            <w:pPr>
              <w:pStyle w:val="Tabkrper49pt"/>
              <w:rPr>
                <w:rFonts w:eastAsia="EUAlbertina-Regular-Identity-H"/>
              </w:rPr>
            </w:pPr>
            <w:r>
              <w:rPr>
                <w:i/>
              </w:rPr>
              <w:t xml:space="preserve">Technische Anmerkung: </w:t>
            </w:r>
            <w:r>
              <w:t>Die für Dichtungen und Verschlüsse und weitere Verschlussfunktionen verwendeten Materialien bestimmen nicht den Kontrollstatus des Wärmetauschers.</w:t>
            </w:r>
          </w:p>
        </w:tc>
        <w:tc>
          <w:tcPr>
            <w:tcW w:w="1017" w:type="dxa"/>
            <w:gridSpan w:val="2"/>
          </w:tcPr>
          <w:p>
            <w:pPr>
              <w:pStyle w:val="Tabkrper49pt"/>
            </w:pPr>
            <w:r>
              <w:rPr>
                <w:szCs w:val="18"/>
              </w:rPr>
              <w:t>2B350d</w:t>
            </w:r>
          </w:p>
        </w:tc>
      </w:tr>
      <w:tr>
        <w:tc>
          <w:tcPr>
            <w:tcW w:w="868" w:type="dxa"/>
            <w:gridSpan w:val="2"/>
          </w:tcPr>
          <w:p>
            <w:pPr>
              <w:pStyle w:val="Tabkrper49pt"/>
            </w:pPr>
            <w:r>
              <w:t xml:space="preserve">II.A2.010 </w:t>
            </w:r>
          </w:p>
        </w:tc>
        <w:tc>
          <w:tcPr>
            <w:tcW w:w="4239" w:type="dxa"/>
            <w:gridSpan w:val="2"/>
          </w:tcPr>
          <w:p>
            <w:pPr>
              <w:pStyle w:val="Tabkrper49pt"/>
            </w:pPr>
            <w:r>
              <w:t>Pumpen mit Mehrfachdichtung und dichtungslose Pumpen, soweit nicht in Unternummer 2B350i erfasst, geeignet für korrodierende Flüssigkeiten, mit einer vom Hersteller angegebenen maximalen Förderleistung grösser als 0,6 m</w:t>
            </w:r>
            <w:r>
              <w:rPr>
                <w:position w:val="4"/>
                <w:sz w:val="13"/>
              </w:rPr>
              <w:t>3</w:t>
            </w:r>
            <w:r>
              <w:t xml:space="preserve">/h oder Vakuumpumpen mit einer vom Hersteller </w:t>
            </w:r>
            <w:r>
              <w:lastRenderedPageBreak/>
              <w:t>angegebenen maximalen Förderleistung grösser als 5 m</w:t>
            </w:r>
            <w:r>
              <w:rPr>
                <w:position w:val="4"/>
                <w:sz w:val="13"/>
              </w:rPr>
              <w:t>3</w:t>
            </w:r>
            <w:r>
              <w:t>/h (jeweils unter Standard-Bedingungen von 273 K (0 °C) und 101,3 kPa) sowie für solche Pumpen konstruierte Pumpengehäuse, vorgeformte Gehäuseauskleidungen, Lauf</w:t>
            </w:r>
            <w:r>
              <w:softHyphen/>
              <w:t>räder, Rotoren oder Strahlpumpendüsen, bei denen die medienberührenden Flächen ganz aus den folgenden Materialien bestehen:</w:t>
            </w:r>
          </w:p>
          <w:p>
            <w:pPr>
              <w:pStyle w:val="Tabkrper49pt"/>
            </w:pPr>
            <w:r>
              <w:t xml:space="preserve">ANMERKUNG: SIEHE AUCH </w:t>
            </w:r>
            <w:r>
              <w:rPr>
                <w:bCs/>
                <w:color w:val="19161B"/>
              </w:rPr>
              <w:t xml:space="preserve">ZIFFER </w:t>
            </w:r>
            <w:r>
              <w:t>II.A2.016.</w:t>
            </w:r>
          </w:p>
          <w:p>
            <w:pPr>
              <w:pStyle w:val="Tab-Struktur149pt"/>
            </w:pPr>
            <w:r>
              <w:t>1.</w:t>
            </w:r>
            <w:r>
              <w:tab/>
              <w:t>rostfreier Stahl.</w:t>
            </w:r>
          </w:p>
          <w:p>
            <w:pPr>
              <w:pStyle w:val="Tabkrper49pt"/>
              <w:rPr>
                <w:i/>
              </w:rPr>
            </w:pPr>
            <w:r>
              <w:rPr>
                <w:i/>
              </w:rPr>
              <w:t xml:space="preserve">Anmerkung: </w:t>
            </w:r>
            <w:r>
              <w:t>Für rostfreien Stahl mit mehr als 25 Gew.-% Nickel und 20 Gew.-% Chrom siehe Nummer II.A2.016.a.</w:t>
            </w:r>
            <w:r>
              <w:rPr>
                <w:i/>
              </w:rPr>
              <w:t xml:space="preserve"> </w:t>
            </w:r>
          </w:p>
          <w:p>
            <w:pPr>
              <w:pStyle w:val="Tabkrper49pt"/>
              <w:rPr>
                <w:rFonts w:eastAsia="EUAlbertina-Regular-Identity-H"/>
              </w:rPr>
            </w:pPr>
            <w:r>
              <w:rPr>
                <w:i/>
                <w:spacing w:val="-2"/>
              </w:rPr>
              <w:t xml:space="preserve">Technische Anmerkung: </w:t>
            </w:r>
            <w:r>
              <w:rPr>
                <w:spacing w:val="-2"/>
              </w:rPr>
              <w:t>Die für Dichtungen und Verschlüsse und weitere Verschlussfunktionen verwendeten Mate</w:t>
            </w:r>
            <w:r>
              <w:rPr>
                <w:spacing w:val="-2"/>
              </w:rPr>
              <w:softHyphen/>
              <w:t xml:space="preserve">rialien bestimmen nicht den Kontrollstatus der Pumpe. </w:t>
            </w:r>
          </w:p>
        </w:tc>
        <w:tc>
          <w:tcPr>
            <w:tcW w:w="1017" w:type="dxa"/>
            <w:gridSpan w:val="2"/>
          </w:tcPr>
          <w:p>
            <w:pPr>
              <w:pStyle w:val="Tabkrper49pt"/>
            </w:pPr>
            <w:r>
              <w:lastRenderedPageBreak/>
              <w:t>2B350i</w:t>
            </w:r>
          </w:p>
        </w:tc>
      </w:tr>
      <w:tr>
        <w:tc>
          <w:tcPr>
            <w:tcW w:w="868" w:type="dxa"/>
            <w:gridSpan w:val="2"/>
          </w:tcPr>
          <w:p>
            <w:pPr>
              <w:pStyle w:val="Tabkrper49pt"/>
            </w:pPr>
            <w:r>
              <w:t xml:space="preserve">II.A2.011 </w:t>
            </w:r>
          </w:p>
        </w:tc>
        <w:tc>
          <w:tcPr>
            <w:tcW w:w="4239" w:type="dxa"/>
            <w:gridSpan w:val="2"/>
          </w:tcPr>
          <w:p>
            <w:pPr>
              <w:pStyle w:val="Tabkrper49pt"/>
            </w:pPr>
            <w:r>
              <w:t>Zentrifugalseparatoren, geeignet zur kontinuierlichen Trennung ohne Aerosolfreisetzung und hergestellt aus einem der folgenden Werkstoffe:</w:t>
            </w:r>
          </w:p>
          <w:p>
            <w:pPr>
              <w:pStyle w:val="Tab-Struktur149pt"/>
            </w:pPr>
            <w:r>
              <w:t>1.</w:t>
            </w:r>
            <w:r>
              <w:tab/>
              <w:t xml:space="preserve">Legierungen mit mehr als 25 Gew.-% Nickel und </w:t>
            </w:r>
            <w:r>
              <w:br/>
              <w:t>20 Gew.-% Chrom;</w:t>
            </w:r>
          </w:p>
          <w:p>
            <w:pPr>
              <w:pStyle w:val="Tab-Struktur149pt"/>
            </w:pPr>
            <w:r>
              <w:t>2.</w:t>
            </w:r>
            <w:r>
              <w:tab/>
              <w:t>Fluorpolymeren;</w:t>
            </w:r>
          </w:p>
          <w:p>
            <w:pPr>
              <w:pStyle w:val="Tab-Struktur149pt"/>
            </w:pPr>
            <w:r>
              <w:t>3.</w:t>
            </w:r>
            <w:r>
              <w:tab/>
              <w:t>Glas oder Email;</w:t>
            </w:r>
          </w:p>
          <w:p>
            <w:pPr>
              <w:pStyle w:val="Tab-Struktur149pt"/>
            </w:pPr>
            <w:r>
              <w:t>4.</w:t>
            </w:r>
            <w:r>
              <w:tab/>
              <w:t>Nickel oder Nickel-Legierungen mit mehr als 40 Gew.-% Nickel;</w:t>
            </w:r>
          </w:p>
          <w:p>
            <w:pPr>
              <w:pStyle w:val="Tab-Struktur149pt"/>
            </w:pPr>
            <w:r>
              <w:t>5.</w:t>
            </w:r>
            <w:r>
              <w:tab/>
              <w:t>Tantal oder Tantallegierungen;</w:t>
            </w:r>
          </w:p>
          <w:p>
            <w:pPr>
              <w:pStyle w:val="Tab-Struktur149pt"/>
            </w:pPr>
            <w:r>
              <w:t>6.</w:t>
            </w:r>
            <w:r>
              <w:tab/>
              <w:t>Titan oder Titanlegierungen; oder</w:t>
            </w:r>
          </w:p>
          <w:p>
            <w:pPr>
              <w:pStyle w:val="Tab-Struktur149pt"/>
            </w:pPr>
            <w:r>
              <w:t>7.</w:t>
            </w:r>
            <w:r>
              <w:tab/>
              <w:t>Zirkonium oder Zirkoniumlegierungen.</w:t>
            </w:r>
          </w:p>
          <w:p>
            <w:pPr>
              <w:pStyle w:val="Tabkrper49pt"/>
            </w:pPr>
            <w:r>
              <w:rPr>
                <w:i/>
              </w:rPr>
              <w:t>Anmerkung</w:t>
            </w:r>
            <w:r>
              <w:t>: Diese Nummer erfasst nicht Zentrifugalseparatoren, erfasst in Unternummer 2B352c.</w:t>
            </w:r>
          </w:p>
        </w:tc>
        <w:tc>
          <w:tcPr>
            <w:tcW w:w="1017" w:type="dxa"/>
            <w:gridSpan w:val="2"/>
          </w:tcPr>
          <w:p>
            <w:pPr>
              <w:pStyle w:val="Tabkrper49pt"/>
            </w:pPr>
            <w:r>
              <w:t xml:space="preserve">2B352c </w:t>
            </w:r>
          </w:p>
        </w:tc>
      </w:tr>
      <w:tr>
        <w:tc>
          <w:tcPr>
            <w:tcW w:w="868" w:type="dxa"/>
            <w:gridSpan w:val="2"/>
          </w:tcPr>
          <w:p>
            <w:pPr>
              <w:pStyle w:val="Tabkrper49pt"/>
            </w:pPr>
            <w:r>
              <w:t xml:space="preserve">II.A2.012 </w:t>
            </w:r>
          </w:p>
        </w:tc>
        <w:tc>
          <w:tcPr>
            <w:tcW w:w="4239" w:type="dxa"/>
            <w:gridSpan w:val="2"/>
          </w:tcPr>
          <w:p>
            <w:pPr>
              <w:pStyle w:val="Tabkrper49pt"/>
            </w:pPr>
            <w:r>
              <w:t>Filter aus gesintertem Metall, aus Nickel oder Nickellegierungen mit 40 Gew.-% Nickel oder mehr.</w:t>
            </w:r>
          </w:p>
          <w:p>
            <w:pPr>
              <w:pStyle w:val="Tabkrper49pt"/>
            </w:pPr>
            <w:r>
              <w:rPr>
                <w:i/>
              </w:rPr>
              <w:t>Anmerkung</w:t>
            </w:r>
            <w:r>
              <w:t>: Diese Nummer erfasst nicht Filter, erfasst in Unternummer 2B352d.</w:t>
            </w:r>
          </w:p>
        </w:tc>
        <w:tc>
          <w:tcPr>
            <w:tcW w:w="1017" w:type="dxa"/>
            <w:gridSpan w:val="2"/>
          </w:tcPr>
          <w:p>
            <w:pPr>
              <w:pStyle w:val="Tabkrper49pt"/>
            </w:pPr>
            <w:r>
              <w:t>2B352d</w:t>
            </w:r>
          </w:p>
        </w:tc>
      </w:tr>
      <w:tr>
        <w:tc>
          <w:tcPr>
            <w:tcW w:w="868" w:type="dxa"/>
            <w:gridSpan w:val="2"/>
          </w:tcPr>
          <w:p>
            <w:pPr>
              <w:pStyle w:val="Tabkrper49pt"/>
            </w:pPr>
            <w:r>
              <w:t xml:space="preserve">II.A2.013 </w:t>
            </w:r>
          </w:p>
        </w:tc>
        <w:tc>
          <w:tcPr>
            <w:tcW w:w="4239" w:type="dxa"/>
            <w:gridSpan w:val="2"/>
          </w:tcPr>
          <w:p>
            <w:pPr>
              <w:pStyle w:val="Tabkrper49pt"/>
            </w:pPr>
            <w:r>
              <w:t xml:space="preserve">Drück- und Fliessdrückmaschinen, soweit nicht in </w:t>
            </w:r>
            <w:r>
              <w:br/>
              <w:t>Nummer 2B009, 2B109 oder 2B209 erfasst, mit einer Supportkraft grösser als 60 kN und besonders konstruierte Bestandteile hierfür.</w:t>
            </w:r>
          </w:p>
          <w:p>
            <w:pPr>
              <w:pStyle w:val="Tabkrper49pt"/>
            </w:pPr>
            <w:r>
              <w:rPr>
                <w:i/>
              </w:rPr>
              <w:lastRenderedPageBreak/>
              <w:t>Technische Anmerkung</w:t>
            </w:r>
            <w:r>
              <w:t>: Im Sinne von Nummer II.A2.013 werden Maschinen mit kombinierter Drück- und</w:t>
            </w:r>
            <w:r>
              <w:br/>
              <w:t xml:space="preserve">Fliessdrückfunktion als Fliessdrückmaschinen betrachtet. </w:t>
            </w:r>
          </w:p>
        </w:tc>
        <w:tc>
          <w:tcPr>
            <w:tcW w:w="1017" w:type="dxa"/>
            <w:gridSpan w:val="2"/>
          </w:tcPr>
          <w:p>
            <w:pPr>
              <w:pStyle w:val="Tabkrper49pt"/>
            </w:pPr>
          </w:p>
        </w:tc>
      </w:tr>
      <w:tr>
        <w:tc>
          <w:tcPr>
            <w:tcW w:w="868" w:type="dxa"/>
            <w:gridSpan w:val="2"/>
          </w:tcPr>
          <w:p>
            <w:pPr>
              <w:pStyle w:val="Tabkrper49pt"/>
            </w:pPr>
            <w:r>
              <w:t>II.A2.014</w:t>
            </w:r>
          </w:p>
        </w:tc>
        <w:tc>
          <w:tcPr>
            <w:tcW w:w="4239" w:type="dxa"/>
            <w:gridSpan w:val="2"/>
          </w:tcPr>
          <w:p>
            <w:pPr>
              <w:pStyle w:val="Tabkrper49pt"/>
            </w:pPr>
            <w:r>
              <w:t xml:space="preserve">Flüssig-flüssig-Kontakt-Ausrüstung (Mischer-Abscheider, Pulsationskolonnen und Zentrifugalextraktoren) und Flüssigkeitsverteiler, Dampfverteiler oder Flüssigkeitssammler, konstruiert für solche Ausrüstung, bei denen </w:t>
            </w:r>
            <w:r>
              <w:br/>
              <w:t>die medienberührenden Flächen ganz aus einem der folgenden Werkstoffe bestehen:</w:t>
            </w:r>
          </w:p>
          <w:p>
            <w:pPr>
              <w:pStyle w:val="Tabkrper49pt"/>
              <w:rPr>
                <w:color w:val="19161B"/>
              </w:rPr>
            </w:pPr>
            <w:r>
              <w:rPr>
                <w:bCs/>
                <w:color w:val="19161B"/>
              </w:rPr>
              <w:t>ANMERKUNG: SIEHE AUCH ZIFFER II.A2.008</w:t>
            </w:r>
            <w:r>
              <w:rPr>
                <w:color w:val="19161B"/>
              </w:rPr>
              <w:t>.</w:t>
            </w:r>
          </w:p>
          <w:p>
            <w:pPr>
              <w:pStyle w:val="Tab-Struktur149pt"/>
            </w:pPr>
            <w:r>
              <w:t xml:space="preserve">a) hergestellt aus einem der folgenden Materialien: </w:t>
            </w:r>
          </w:p>
          <w:p>
            <w:pPr>
              <w:pStyle w:val="Tab-Struktur209pt"/>
            </w:pPr>
            <w:r>
              <w:t>1.</w:t>
            </w:r>
            <w:r>
              <w:tab/>
              <w:t xml:space="preserve">Legierungen mit mehr als 25 Gew.-% Nickel und </w:t>
            </w:r>
            <w:r>
              <w:br/>
              <w:t xml:space="preserve">20 Gew.-% Chrom; </w:t>
            </w:r>
          </w:p>
          <w:p>
            <w:pPr>
              <w:pStyle w:val="Tab-Struktur209pt"/>
            </w:pPr>
            <w:r>
              <w:t>2.</w:t>
            </w:r>
            <w:r>
              <w:tab/>
              <w:t xml:space="preserve">Fluorpolymeren; </w:t>
            </w:r>
          </w:p>
          <w:p>
            <w:pPr>
              <w:pStyle w:val="Tab-Struktur209pt"/>
            </w:pPr>
            <w:r>
              <w:t>3.</w:t>
            </w:r>
            <w:r>
              <w:tab/>
              <w:t xml:space="preserve">Glas oder Email; </w:t>
            </w:r>
          </w:p>
          <w:p>
            <w:pPr>
              <w:pStyle w:val="Tab-Struktur209pt"/>
            </w:pPr>
            <w:r>
              <w:t>4.</w:t>
            </w:r>
            <w:r>
              <w:tab/>
              <w:t xml:space="preserve">Grafit oder </w:t>
            </w:r>
            <w:r>
              <w:rPr>
                <w:rFonts w:eastAsia="EUAlbertina-Regular-Identity-H"/>
              </w:rPr>
              <w:t>«</w:t>
            </w:r>
            <w:r>
              <w:rPr>
                <w:iCs/>
                <w:color w:val="19161B"/>
                <w:szCs w:val="18"/>
              </w:rPr>
              <w:t>Carbon-Grafit</w:t>
            </w:r>
            <w:r>
              <w:rPr>
                <w:rFonts w:eastAsia="EUAlbertina-Regular-Identity-H"/>
              </w:rPr>
              <w:t>»</w:t>
            </w:r>
            <w:r>
              <w:t xml:space="preserve">; </w:t>
            </w:r>
          </w:p>
          <w:p>
            <w:pPr>
              <w:pStyle w:val="Tab-Struktur209pt"/>
            </w:pPr>
            <w:r>
              <w:t>5.</w:t>
            </w:r>
            <w:r>
              <w:tab/>
              <w:t xml:space="preserve">Nickel oder Nickel-Legierungen mit mehr als 40 Gew.-% Nickel; </w:t>
            </w:r>
          </w:p>
          <w:p>
            <w:pPr>
              <w:pStyle w:val="Tab-Struktur209pt"/>
            </w:pPr>
            <w:r>
              <w:t>6.</w:t>
            </w:r>
            <w:r>
              <w:tab/>
              <w:t xml:space="preserve">Tantal oder Tantallegierungen; </w:t>
            </w:r>
          </w:p>
          <w:p>
            <w:pPr>
              <w:pStyle w:val="Tab-Struktur209pt"/>
            </w:pPr>
            <w:r>
              <w:t>7.</w:t>
            </w:r>
            <w:r>
              <w:tab/>
              <w:t xml:space="preserve">Titan oder Titanlegierungen; oder </w:t>
            </w:r>
          </w:p>
          <w:p>
            <w:pPr>
              <w:pStyle w:val="Tab-Struktur209pt"/>
            </w:pPr>
            <w:r>
              <w:t>8.</w:t>
            </w:r>
            <w:r>
              <w:tab/>
              <w:t xml:space="preserve">Zirkonium oder Zirkoniumlegierungen; oder </w:t>
            </w:r>
          </w:p>
          <w:p>
            <w:pPr>
              <w:pStyle w:val="Tab-Struktur149pt"/>
            </w:pPr>
            <w:r>
              <w:t xml:space="preserve">b) aus Edelstahl und einem oder mehreren in II.A2.014.a erfassten Materialien. </w:t>
            </w:r>
          </w:p>
          <w:p>
            <w:pPr>
              <w:pStyle w:val="Tabkrper49pt"/>
              <w:rPr>
                <w:szCs w:val="18"/>
              </w:rPr>
            </w:pPr>
            <w:r>
              <w:rPr>
                <w:i/>
              </w:rPr>
              <w:t>Technische Anmerkung</w:t>
            </w:r>
            <w:r>
              <w:t>: «Carbon-Grafit» besteht aus amorphem Kohlenstoff und Grafit, wobei der Grafitgehalt 8 Gew.-% oder mehr beträgt.</w:t>
            </w:r>
          </w:p>
        </w:tc>
        <w:tc>
          <w:tcPr>
            <w:tcW w:w="1017" w:type="dxa"/>
            <w:gridSpan w:val="2"/>
          </w:tcPr>
          <w:p>
            <w:pPr>
              <w:pStyle w:val="Tabkrper49pt"/>
            </w:pPr>
            <w:r>
              <w:t xml:space="preserve">2B350e </w:t>
            </w:r>
          </w:p>
        </w:tc>
      </w:tr>
      <w:tr>
        <w:tc>
          <w:tcPr>
            <w:tcW w:w="868" w:type="dxa"/>
            <w:gridSpan w:val="2"/>
          </w:tcPr>
          <w:p>
            <w:pPr>
              <w:pStyle w:val="Tabkrper49pt"/>
            </w:pPr>
            <w:r>
              <w:t>II.A2.015</w:t>
            </w:r>
          </w:p>
        </w:tc>
        <w:tc>
          <w:tcPr>
            <w:tcW w:w="4239" w:type="dxa"/>
            <w:gridSpan w:val="2"/>
          </w:tcPr>
          <w:p>
            <w:pPr>
              <w:pStyle w:val="Tabkrper49pt"/>
            </w:pPr>
            <w:r>
              <w:t xml:space="preserve">Industrielle Geräte und Bestandteile, soweit nicht in Unternummer 2B350d erfasst, wie folgt: </w:t>
            </w:r>
          </w:p>
          <w:p>
            <w:pPr>
              <w:pStyle w:val="Tabkrper49pt"/>
              <w:rPr>
                <w:bCs/>
              </w:rPr>
            </w:pPr>
            <w:r>
              <w:rPr>
                <w:bCs/>
              </w:rPr>
              <w:t xml:space="preserve">ANMERKUNG: SIEHE AUCH ZIFFER II.A2.009. </w:t>
            </w:r>
          </w:p>
          <w:p>
            <w:pPr>
              <w:pStyle w:val="Tabkrper49pt"/>
            </w:pPr>
            <w:r>
              <w:t>Wärmetauscher oder Kondensatoren mit einer Wärmeaustauschfläche grösser als 0,05 m</w:t>
            </w:r>
            <w:r>
              <w:rPr>
                <w:position w:val="4"/>
                <w:sz w:val="13"/>
              </w:rPr>
              <w:t>2</w:t>
            </w:r>
            <w:r>
              <w:t xml:space="preserve"> und kleiner als 30 m</w:t>
            </w:r>
            <w:r>
              <w:rPr>
                <w:position w:val="4"/>
                <w:sz w:val="13"/>
              </w:rPr>
              <w:t>2</w:t>
            </w:r>
            <w:r>
              <w:t xml:space="preserve"> sowie für solche Wärmetauscher oder Kondensatoren konstruierte Rohre, Platten, Coils oder Blöcke, bei denen die medienberührenden Flächen ganz aus einem der folgenden Werkstoffe bestehen:</w:t>
            </w:r>
          </w:p>
          <w:p>
            <w:pPr>
              <w:pStyle w:val="Tab-Struktur149pt"/>
            </w:pPr>
            <w:r>
              <w:t>a)</w:t>
            </w:r>
            <w:r>
              <w:tab/>
              <w:t xml:space="preserve">hergestellt aus einem der folgenden Materialien: </w:t>
            </w:r>
          </w:p>
          <w:p>
            <w:pPr>
              <w:pStyle w:val="Tab-Struktur209pt"/>
            </w:pPr>
            <w:r>
              <w:t>1.</w:t>
            </w:r>
            <w:r>
              <w:tab/>
              <w:t xml:space="preserve">Legierungen mit mehr als 25 Gew.-% Nickel und </w:t>
            </w:r>
            <w:r>
              <w:br/>
              <w:t xml:space="preserve">20 Gew.-% Chrom; </w:t>
            </w:r>
          </w:p>
          <w:p>
            <w:pPr>
              <w:pStyle w:val="Tab-Struktur209pt"/>
            </w:pPr>
            <w:r>
              <w:t>2.</w:t>
            </w:r>
            <w:r>
              <w:tab/>
              <w:t xml:space="preserve">Fluorpolymeren; </w:t>
            </w:r>
          </w:p>
          <w:p>
            <w:pPr>
              <w:pStyle w:val="Tab-Struktur209pt"/>
            </w:pPr>
            <w:r>
              <w:t>3.</w:t>
            </w:r>
            <w:r>
              <w:tab/>
              <w:t xml:space="preserve">Glas oder Email; </w:t>
            </w:r>
          </w:p>
          <w:p>
            <w:pPr>
              <w:pStyle w:val="Tab-Struktur209pt"/>
            </w:pPr>
            <w:r>
              <w:t>4.</w:t>
            </w:r>
            <w:r>
              <w:tab/>
              <w:t xml:space="preserve">Grafit oder </w:t>
            </w:r>
            <w:r>
              <w:rPr>
                <w:rFonts w:eastAsia="EUAlbertina-Regular-Identity-H"/>
              </w:rPr>
              <w:t>«</w:t>
            </w:r>
            <w:r>
              <w:rPr>
                <w:iCs/>
                <w:color w:val="19161B"/>
                <w:szCs w:val="18"/>
              </w:rPr>
              <w:t>Carbon-Grafit</w:t>
            </w:r>
            <w:r>
              <w:rPr>
                <w:rFonts w:eastAsia="EUAlbertina-Regular-Identity-H"/>
              </w:rPr>
              <w:t>»</w:t>
            </w:r>
            <w:r>
              <w:rPr>
                <w:color w:val="19161B"/>
                <w:szCs w:val="18"/>
              </w:rPr>
              <w:t xml:space="preserve"> </w:t>
            </w:r>
            <w:r>
              <w:t xml:space="preserve"> </w:t>
            </w:r>
          </w:p>
          <w:p>
            <w:pPr>
              <w:pStyle w:val="Tab-Struktur209pt"/>
            </w:pPr>
            <w:r>
              <w:lastRenderedPageBreak/>
              <w:t>5.</w:t>
            </w:r>
            <w:r>
              <w:tab/>
              <w:t xml:space="preserve">Nickel oder Nickel-Legierungen mit mehr als </w:t>
            </w:r>
            <w:r>
              <w:br/>
              <w:t xml:space="preserve">40 Gew.-% Nickel; </w:t>
            </w:r>
          </w:p>
          <w:p>
            <w:pPr>
              <w:pStyle w:val="Tab-Struktur209pt"/>
            </w:pPr>
            <w:r>
              <w:t>6.</w:t>
            </w:r>
            <w:r>
              <w:tab/>
              <w:t xml:space="preserve">Tantal oder Tantallegierungen; </w:t>
            </w:r>
          </w:p>
          <w:p>
            <w:pPr>
              <w:pStyle w:val="Tab-Struktur209pt"/>
            </w:pPr>
            <w:r>
              <w:t>7.</w:t>
            </w:r>
            <w:r>
              <w:tab/>
              <w:t xml:space="preserve">Titan oder Titanlegierungen; </w:t>
            </w:r>
          </w:p>
          <w:p>
            <w:pPr>
              <w:pStyle w:val="Tab-Struktur209pt"/>
            </w:pPr>
            <w:r>
              <w:t>8.</w:t>
            </w:r>
            <w:r>
              <w:tab/>
              <w:t>Zirkonium oder Zirkoniumlegierungen;</w:t>
            </w:r>
            <w:r>
              <w:rPr>
                <w:color w:val="000000"/>
              </w:rPr>
              <w:t xml:space="preserve"> </w:t>
            </w:r>
          </w:p>
          <w:p>
            <w:pPr>
              <w:pStyle w:val="Tab-Struktur209pt"/>
            </w:pPr>
            <w:r>
              <w:t>9.</w:t>
            </w:r>
            <w:r>
              <w:tab/>
              <w:t xml:space="preserve">Siliziumkarbid; oder </w:t>
            </w:r>
          </w:p>
          <w:p>
            <w:pPr>
              <w:pStyle w:val="Tab-Struktur209pt"/>
            </w:pPr>
            <w:r>
              <w:t xml:space="preserve">10.Titankarbid; oder </w:t>
            </w:r>
          </w:p>
          <w:p>
            <w:pPr>
              <w:pStyle w:val="Tab-Struktur149pt"/>
            </w:pPr>
            <w:r>
              <w:t>b)</w:t>
            </w:r>
            <w:r>
              <w:tab/>
              <w:t>aus Edelstahl und einem oder mehreren in II.A2.015.a erfassten Materialien.</w:t>
            </w:r>
          </w:p>
          <w:p>
            <w:pPr>
              <w:pStyle w:val="Tabkrper49pt"/>
            </w:pPr>
            <w:r>
              <w:rPr>
                <w:i/>
              </w:rPr>
              <w:t xml:space="preserve">Anmerkung: </w:t>
            </w:r>
            <w:r>
              <w:t>Diese Nummer erfasst nicht Fahrzeugkühler.</w:t>
            </w:r>
          </w:p>
          <w:p>
            <w:pPr>
              <w:pStyle w:val="Tabkrper49pt"/>
            </w:pPr>
            <w:r>
              <w:rPr>
                <w:i/>
              </w:rPr>
              <w:t>Technische Anmerkung</w:t>
            </w:r>
            <w:r>
              <w:t>: Die für Dichtungen und Verschlüsse und weitere Verschlussfunktionen verwendeten Materialien bestimmen nicht den Kontrollstatus des Wärmetauschers.</w:t>
            </w:r>
          </w:p>
        </w:tc>
        <w:tc>
          <w:tcPr>
            <w:tcW w:w="1017" w:type="dxa"/>
            <w:gridSpan w:val="2"/>
          </w:tcPr>
          <w:p>
            <w:pPr>
              <w:pStyle w:val="Tabkrper49pt"/>
              <w:rPr>
                <w:szCs w:val="18"/>
              </w:rPr>
            </w:pPr>
            <w:r>
              <w:lastRenderedPageBreak/>
              <w:t xml:space="preserve">2B350d </w:t>
            </w:r>
          </w:p>
        </w:tc>
      </w:tr>
      <w:tr>
        <w:tc>
          <w:tcPr>
            <w:tcW w:w="868" w:type="dxa"/>
            <w:gridSpan w:val="2"/>
          </w:tcPr>
          <w:p>
            <w:pPr>
              <w:pStyle w:val="Tabkrper49pt"/>
            </w:pPr>
            <w:r>
              <w:t>II.A2.016</w:t>
            </w:r>
          </w:p>
        </w:tc>
        <w:tc>
          <w:tcPr>
            <w:tcW w:w="4239" w:type="dxa"/>
            <w:gridSpan w:val="2"/>
          </w:tcPr>
          <w:p>
            <w:pPr>
              <w:pStyle w:val="Tabkrper49pt"/>
            </w:pPr>
            <w:r>
              <w:t>Pumpen mit Mehrfachdichtung und dichtungslose Pumpen, soweit nicht in Unternummer 2B350i erfasst, geeignet für korrodierende Flüssigkeiten, mit einer vom Hersteller angegebenen maximalen Förderleistung grösser als 0,6 m</w:t>
            </w:r>
            <w:r>
              <w:rPr>
                <w:position w:val="4"/>
                <w:sz w:val="13"/>
              </w:rPr>
              <w:t>3</w:t>
            </w:r>
            <w:r>
              <w:t xml:space="preserve">/h oder Vakuumpumpen mit einer vom Hersteller angegebenen maximalen Förderleistung grösser als </w:t>
            </w:r>
            <w:r>
              <w:br/>
              <w:t>5 m</w:t>
            </w:r>
            <w:r>
              <w:rPr>
                <w:position w:val="4"/>
                <w:sz w:val="13"/>
              </w:rPr>
              <w:t>3</w:t>
            </w:r>
            <w:r>
              <w:t>/h (jeweils unter Standard-Bedingungen von 273 K (0 °C) und 101,3 kPa); sowie für solche Pumpen konstruierte Pumpengehäuse, vorgeformte Gehäuseauskleidungen, Laufräder, Rotoren oder Strahlpumpendüsen, bei denen die medienberührenden Flächen ganz aus einem der folgenden Materialien bestehen:</w:t>
            </w:r>
          </w:p>
          <w:p>
            <w:pPr>
              <w:pStyle w:val="Tabkrper49pt"/>
              <w:rPr>
                <w:bCs/>
              </w:rPr>
            </w:pPr>
            <w:r>
              <w:rPr>
                <w:bCs/>
              </w:rPr>
              <w:t>ANMERKUNG: SIEHE AUCH ZIFFER II.A2.010.</w:t>
            </w:r>
          </w:p>
          <w:p>
            <w:pPr>
              <w:pStyle w:val="Tab-Struktur149pt"/>
            </w:pPr>
            <w:r>
              <w:t xml:space="preserve">a) hergestellt aus einem der folgenden Materialien: </w:t>
            </w:r>
          </w:p>
          <w:p>
            <w:pPr>
              <w:pStyle w:val="Tab-Struktur209pt"/>
            </w:pPr>
            <w:r>
              <w:t>1.</w:t>
            </w:r>
            <w:r>
              <w:tab/>
              <w:t xml:space="preserve">Legierungen mit mehr als 25 Gew.-% Nickel und </w:t>
            </w:r>
            <w:r>
              <w:br/>
              <w:t xml:space="preserve">20 Gew.-% Chrom; </w:t>
            </w:r>
          </w:p>
          <w:p>
            <w:pPr>
              <w:pStyle w:val="Tab-Struktur209pt"/>
            </w:pPr>
            <w:r>
              <w:t>2.</w:t>
            </w:r>
            <w:r>
              <w:tab/>
              <w:t xml:space="preserve">Keramik; </w:t>
            </w:r>
          </w:p>
          <w:p>
            <w:pPr>
              <w:pStyle w:val="Tab-Struktur209pt"/>
            </w:pPr>
            <w:r>
              <w:t>3.</w:t>
            </w:r>
            <w:r>
              <w:tab/>
              <w:t xml:space="preserve">Ferrosiliziumguss; </w:t>
            </w:r>
          </w:p>
          <w:p>
            <w:pPr>
              <w:pStyle w:val="Tab-Struktur209pt"/>
            </w:pPr>
            <w:r>
              <w:t>4.</w:t>
            </w:r>
            <w:r>
              <w:tab/>
              <w:t>Fluorpolymeren;</w:t>
            </w:r>
          </w:p>
          <w:p>
            <w:pPr>
              <w:pStyle w:val="Tab-Struktur209pt"/>
            </w:pPr>
            <w:r>
              <w:t>5.</w:t>
            </w:r>
            <w:r>
              <w:tab/>
              <w:t>Glas oder Email;</w:t>
            </w:r>
          </w:p>
          <w:p>
            <w:pPr>
              <w:pStyle w:val="Tab-Struktur209pt"/>
            </w:pPr>
            <w:r>
              <w:t>6.</w:t>
            </w:r>
            <w:r>
              <w:tab/>
              <w:t xml:space="preserve">Grafit oder </w:t>
            </w:r>
            <w:r>
              <w:rPr>
                <w:rFonts w:eastAsia="EUAlbertina-Regular-Identity-H"/>
              </w:rPr>
              <w:t>«</w:t>
            </w:r>
            <w:r>
              <w:rPr>
                <w:iCs/>
                <w:color w:val="19161B"/>
                <w:szCs w:val="18"/>
              </w:rPr>
              <w:t>Carbon-Grafit</w:t>
            </w:r>
            <w:r>
              <w:rPr>
                <w:rFonts w:eastAsia="EUAlbertina-Regular-Identity-H"/>
              </w:rPr>
              <w:t>»</w:t>
            </w:r>
            <w:r>
              <w:t xml:space="preserve">; </w:t>
            </w:r>
          </w:p>
          <w:p>
            <w:pPr>
              <w:pStyle w:val="Tab-Struktur209pt"/>
            </w:pPr>
            <w:r>
              <w:t>7.</w:t>
            </w:r>
            <w:r>
              <w:tab/>
              <w:t xml:space="preserve">Nickel oder Nickel-Legierungen mit mehr als </w:t>
            </w:r>
            <w:r>
              <w:br/>
              <w:t xml:space="preserve">40 Gew.-% Nickel; </w:t>
            </w:r>
          </w:p>
          <w:p>
            <w:pPr>
              <w:pStyle w:val="Tab-Struktur209pt"/>
            </w:pPr>
            <w:r>
              <w:t>8.</w:t>
            </w:r>
            <w:r>
              <w:tab/>
              <w:t xml:space="preserve">Tantal oder Tantallegierungen; </w:t>
            </w:r>
          </w:p>
          <w:p>
            <w:pPr>
              <w:pStyle w:val="Tab-Struktur209pt"/>
            </w:pPr>
            <w:r>
              <w:t>9.</w:t>
            </w:r>
            <w:r>
              <w:tab/>
              <w:t xml:space="preserve">Titan oder Titanlegierungen; </w:t>
            </w:r>
          </w:p>
          <w:p>
            <w:pPr>
              <w:pStyle w:val="Tab-Struktur209pt"/>
            </w:pPr>
            <w:r>
              <w:t xml:space="preserve">10. Zirkonium oder Zirkoniumlegierungen; </w:t>
            </w:r>
          </w:p>
          <w:p>
            <w:pPr>
              <w:pStyle w:val="Tab-Struktur209pt"/>
            </w:pPr>
            <w:r>
              <w:t>11. Niob (Columbium) oder Niob-</w:t>
            </w:r>
            <w:r>
              <w:rPr>
                <w:rFonts w:eastAsia="EUAlbertina-Regular-Identity-H"/>
              </w:rPr>
              <w:t>«</w:t>
            </w:r>
            <w:r>
              <w:t>Legierungen</w:t>
            </w:r>
            <w:r>
              <w:rPr>
                <w:rFonts w:eastAsia="EUAlbertina-Regular-Identity-H"/>
              </w:rPr>
              <w:t>»</w:t>
            </w:r>
            <w:r>
              <w:t xml:space="preserve">; oder </w:t>
            </w:r>
          </w:p>
          <w:p>
            <w:pPr>
              <w:pStyle w:val="Tab-Struktur209pt"/>
            </w:pPr>
            <w:r>
              <w:t>12. Aluminiumlegierungen; oder</w:t>
            </w:r>
          </w:p>
          <w:p>
            <w:pPr>
              <w:pStyle w:val="Tab-Struktur149pt"/>
            </w:pPr>
            <w:r>
              <w:lastRenderedPageBreak/>
              <w:t xml:space="preserve">b) aus Edelstahl und einem oder mehreren in II.A2.016.a. erfassten Materialien. </w:t>
            </w:r>
          </w:p>
          <w:p>
            <w:pPr>
              <w:pStyle w:val="Tabkrper49pt"/>
            </w:pPr>
            <w:r>
              <w:rPr>
                <w:i/>
              </w:rPr>
              <w:t xml:space="preserve">Technische Anmerkung: </w:t>
            </w:r>
            <w:r>
              <w:t>Die für Dichtungen und Verschlüsse und weitere Verschlussfunktionen verwendeten Materialien bestimmen nicht den Kontrollstatus der Pumpe.</w:t>
            </w:r>
          </w:p>
        </w:tc>
        <w:tc>
          <w:tcPr>
            <w:tcW w:w="1017" w:type="dxa"/>
            <w:gridSpan w:val="2"/>
          </w:tcPr>
          <w:p>
            <w:pPr>
              <w:pStyle w:val="Tabkrper49pt"/>
            </w:pPr>
            <w:r>
              <w:lastRenderedPageBreak/>
              <w:t xml:space="preserve">2B350i </w:t>
            </w:r>
          </w:p>
        </w:tc>
      </w:tr>
      <w:tr>
        <w:tc>
          <w:tcPr>
            <w:tcW w:w="868" w:type="dxa"/>
            <w:gridSpan w:val="2"/>
          </w:tcPr>
          <w:p>
            <w:pPr>
              <w:pStyle w:val="Tabkrper49pt"/>
            </w:pPr>
            <w:r>
              <w:t>II.A2.017</w:t>
            </w:r>
          </w:p>
        </w:tc>
        <w:tc>
          <w:tcPr>
            <w:tcW w:w="4239" w:type="dxa"/>
            <w:gridSpan w:val="2"/>
          </w:tcPr>
          <w:p>
            <w:pPr>
              <w:pStyle w:val="Tabkrper49pt"/>
            </w:pPr>
            <w:r>
              <w:t xml:space="preserve">Funkenerodiermaschinen (EDM) zum Entfernen oder Schneiden von Metallen, Keramiken oder </w:t>
            </w:r>
            <w:r>
              <w:rPr>
                <w:rFonts w:eastAsia="EUAlbertina-Regular-Identity-H"/>
              </w:rPr>
              <w:t>«</w:t>
            </w:r>
            <w:r>
              <w:t>Verbundwerkstoffen</w:t>
            </w:r>
            <w:r>
              <w:rPr>
                <w:rFonts w:eastAsia="EUAlbertina-Regular-Identity-H"/>
              </w:rPr>
              <w:t>»</w:t>
            </w:r>
            <w:r>
              <w:t>, wie folgt, und besondere konstruierte Ramm-, Senk- oder Drahtelektroden hierfür:</w:t>
            </w:r>
          </w:p>
          <w:p>
            <w:pPr>
              <w:pStyle w:val="Tab-Struktur149pt"/>
            </w:pPr>
            <w:r>
              <w:t>a)</w:t>
            </w:r>
            <w:r>
              <w:tab/>
              <w:t xml:space="preserve">Funkenerodiermaschinen mit Ramm- oder </w:t>
            </w:r>
            <w:r>
              <w:br/>
              <w:t>Senkelektroden;</w:t>
            </w:r>
          </w:p>
          <w:p>
            <w:pPr>
              <w:pStyle w:val="Tab-Struktur149pt"/>
            </w:pPr>
            <w:r>
              <w:t>b)</w:t>
            </w:r>
            <w:r>
              <w:tab/>
              <w:t xml:space="preserve">Funkenerodiermaschinen mit Drahtelektroden. </w:t>
            </w:r>
          </w:p>
          <w:p>
            <w:pPr>
              <w:pStyle w:val="Tabkrper49pt"/>
            </w:pPr>
            <w:r>
              <w:rPr>
                <w:i/>
                <w:iCs/>
              </w:rPr>
              <w:t xml:space="preserve">Anmerkung: </w:t>
            </w:r>
            <w:r>
              <w:rPr>
                <w:iCs/>
              </w:rPr>
              <w:t>Funkenerodiermaschinen werden auch als Drahterodiermaschinen bezeichnet.</w:t>
            </w:r>
          </w:p>
        </w:tc>
        <w:tc>
          <w:tcPr>
            <w:tcW w:w="1017" w:type="dxa"/>
            <w:gridSpan w:val="2"/>
          </w:tcPr>
          <w:p>
            <w:pPr>
              <w:pStyle w:val="Tabkrper49pt"/>
            </w:pPr>
            <w:r>
              <w:t>2B001d</w:t>
            </w:r>
          </w:p>
        </w:tc>
      </w:tr>
      <w:tr>
        <w:tc>
          <w:tcPr>
            <w:tcW w:w="868" w:type="dxa"/>
            <w:gridSpan w:val="2"/>
          </w:tcPr>
          <w:p>
            <w:pPr>
              <w:pStyle w:val="Tabkrper49pt"/>
            </w:pPr>
            <w:r>
              <w:t>II.A2.018</w:t>
            </w:r>
          </w:p>
        </w:tc>
        <w:tc>
          <w:tcPr>
            <w:tcW w:w="4239" w:type="dxa"/>
            <w:gridSpan w:val="2"/>
          </w:tcPr>
          <w:p>
            <w:pPr>
              <w:pStyle w:val="Tabkrper49pt"/>
            </w:pPr>
            <w:r>
              <w:t xml:space="preserve">Rechnergesteuerte oder </w:t>
            </w:r>
            <w:r>
              <w:rPr>
                <w:rFonts w:eastAsia="EUAlbertina-Regular-Identity-H"/>
              </w:rPr>
              <w:t>«</w:t>
            </w:r>
            <w:r>
              <w:t>numerisch gesteuerte</w:t>
            </w:r>
            <w:r>
              <w:rPr>
                <w:rFonts w:eastAsia="EUAlbertina-Regular-Identity-H"/>
              </w:rPr>
              <w:t>»</w:t>
            </w:r>
            <w:r>
              <w:t xml:space="preserve"> Koordi</w:t>
            </w:r>
            <w:r>
              <w:softHyphen/>
              <w:t xml:space="preserve">natenmessmaschinen (CMM) mit einer dreidimensionalen (volumetrischen) Längenmessabweichung (MPPE) an einem Punkt innerhalb des Arbeitsbereiches der Maschine (d.h. innerhalb der Achslängen) kleiner (besser)/gleich </w:t>
            </w:r>
            <w:r>
              <w:br/>
              <w:t>(3 + L/1000) μm (L ist die Messlänge in mm), geprüft nach ISO 10360-2 (2001), und hierfür konstruierte Messsonden.</w:t>
            </w:r>
          </w:p>
        </w:tc>
        <w:tc>
          <w:tcPr>
            <w:tcW w:w="1017" w:type="dxa"/>
            <w:gridSpan w:val="2"/>
          </w:tcPr>
          <w:p>
            <w:pPr>
              <w:pStyle w:val="Tabkrper49pt"/>
            </w:pPr>
            <w:r>
              <w:t xml:space="preserve">2B006a </w:t>
            </w:r>
          </w:p>
          <w:p>
            <w:pPr>
              <w:pStyle w:val="Tabkrper49pt"/>
            </w:pPr>
            <w:r>
              <w:t>2B206a</w:t>
            </w:r>
          </w:p>
        </w:tc>
      </w:tr>
      <w:tr>
        <w:tc>
          <w:tcPr>
            <w:tcW w:w="868" w:type="dxa"/>
            <w:gridSpan w:val="2"/>
          </w:tcPr>
          <w:p>
            <w:pPr>
              <w:pStyle w:val="Tabkrper49pt"/>
            </w:pPr>
            <w:r>
              <w:t>II.A2.019</w:t>
            </w:r>
          </w:p>
        </w:tc>
        <w:tc>
          <w:tcPr>
            <w:tcW w:w="4239" w:type="dxa"/>
            <w:gridSpan w:val="2"/>
          </w:tcPr>
          <w:p>
            <w:pPr>
              <w:pStyle w:val="Tabkrper49pt"/>
            </w:pPr>
            <w:r>
              <w:t xml:space="preserve">Rechnergesteuerte oder </w:t>
            </w:r>
            <w:r>
              <w:rPr>
                <w:rFonts w:eastAsia="EUAlbertina-Regular-Identity-H"/>
              </w:rPr>
              <w:t>«</w:t>
            </w:r>
            <w:r>
              <w:t>rechnergestützte</w:t>
            </w:r>
            <w:r>
              <w:rPr>
                <w:rFonts w:eastAsia="EUAlbertina-Regular-Identity-H"/>
              </w:rPr>
              <w:t>»</w:t>
            </w:r>
            <w:r>
              <w:t xml:space="preserve"> Elektronenstrahlschweissmaschinen, und besonders konstruierte Bauteile hierfür.</w:t>
            </w:r>
          </w:p>
        </w:tc>
        <w:tc>
          <w:tcPr>
            <w:tcW w:w="1017" w:type="dxa"/>
            <w:gridSpan w:val="2"/>
          </w:tcPr>
          <w:p>
            <w:pPr>
              <w:pStyle w:val="Tabkrper49pt"/>
            </w:pPr>
            <w:r>
              <w:t>2B001e1b</w:t>
            </w:r>
          </w:p>
        </w:tc>
      </w:tr>
      <w:tr>
        <w:tc>
          <w:tcPr>
            <w:tcW w:w="868" w:type="dxa"/>
            <w:gridSpan w:val="2"/>
          </w:tcPr>
          <w:p>
            <w:pPr>
              <w:pStyle w:val="Tabkrper49pt"/>
            </w:pPr>
            <w:r>
              <w:t>II.A2.020</w:t>
            </w:r>
          </w:p>
        </w:tc>
        <w:tc>
          <w:tcPr>
            <w:tcW w:w="4239" w:type="dxa"/>
            <w:gridSpan w:val="2"/>
          </w:tcPr>
          <w:p>
            <w:pPr>
              <w:pStyle w:val="Tabkrper49pt"/>
            </w:pPr>
            <w:r>
              <w:t xml:space="preserve">Rechnergesteuerte oder </w:t>
            </w:r>
            <w:r>
              <w:rPr>
                <w:rFonts w:eastAsia="EUAlbertina-Regular-Identity-H"/>
              </w:rPr>
              <w:t>«</w:t>
            </w:r>
            <w:r>
              <w:t>rechnergestützte</w:t>
            </w:r>
            <w:r>
              <w:rPr>
                <w:rFonts w:eastAsia="EUAlbertina-Regular-Identity-H"/>
              </w:rPr>
              <w:t>»</w:t>
            </w:r>
            <w:r>
              <w:t xml:space="preserve"> </w:t>
            </w:r>
            <w:r>
              <w:br/>
              <w:t>Laserschweiss- und Laserschneidmaschinen, und besonders konstruierte Bauteile hierfür.</w:t>
            </w:r>
          </w:p>
        </w:tc>
        <w:tc>
          <w:tcPr>
            <w:tcW w:w="1017" w:type="dxa"/>
            <w:gridSpan w:val="2"/>
          </w:tcPr>
          <w:p>
            <w:pPr>
              <w:pStyle w:val="Tabkrper49pt"/>
            </w:pPr>
            <w:r>
              <w:t>2B001e1c</w:t>
            </w:r>
          </w:p>
        </w:tc>
      </w:tr>
      <w:tr>
        <w:tc>
          <w:tcPr>
            <w:tcW w:w="868" w:type="dxa"/>
            <w:gridSpan w:val="2"/>
          </w:tcPr>
          <w:p>
            <w:pPr>
              <w:pStyle w:val="Tabkrper49pt"/>
            </w:pPr>
            <w:r>
              <w:t>II.A2.021</w:t>
            </w:r>
          </w:p>
        </w:tc>
        <w:tc>
          <w:tcPr>
            <w:tcW w:w="4239" w:type="dxa"/>
            <w:gridSpan w:val="2"/>
          </w:tcPr>
          <w:p>
            <w:pPr>
              <w:pStyle w:val="Tabkrper49pt"/>
            </w:pPr>
            <w:r>
              <w:t xml:space="preserve">Rechnergesteuerte oder </w:t>
            </w:r>
            <w:r>
              <w:rPr>
                <w:rFonts w:eastAsia="EUAlbertina-Regular-Identity-H"/>
              </w:rPr>
              <w:t>«</w:t>
            </w:r>
            <w:r>
              <w:t>rechnergestützte</w:t>
            </w:r>
            <w:r>
              <w:rPr>
                <w:rFonts w:eastAsia="EUAlbertina-Regular-Identity-H"/>
              </w:rPr>
              <w:t>»</w:t>
            </w:r>
            <w:r>
              <w:t xml:space="preserve"> Plasma</w:t>
            </w:r>
            <w:r>
              <w:softHyphen/>
              <w:t>schneidmaschinen und besonders konstruierte Bauteile hierfür.</w:t>
            </w:r>
          </w:p>
        </w:tc>
        <w:tc>
          <w:tcPr>
            <w:tcW w:w="1017" w:type="dxa"/>
            <w:gridSpan w:val="2"/>
          </w:tcPr>
          <w:p>
            <w:pPr>
              <w:pStyle w:val="Tabkrper49pt"/>
            </w:pPr>
            <w:r>
              <w:t>2B001e1</w:t>
            </w:r>
          </w:p>
        </w:tc>
      </w:tr>
      <w:tr>
        <w:tc>
          <w:tcPr>
            <w:tcW w:w="868" w:type="dxa"/>
            <w:gridSpan w:val="2"/>
          </w:tcPr>
          <w:p>
            <w:pPr>
              <w:pStyle w:val="Tabkrper49pt"/>
            </w:pPr>
            <w:r>
              <w:t>II.A2.022</w:t>
            </w:r>
          </w:p>
        </w:tc>
        <w:tc>
          <w:tcPr>
            <w:tcW w:w="4239" w:type="dxa"/>
            <w:gridSpan w:val="2"/>
          </w:tcPr>
          <w:p>
            <w:pPr>
              <w:pStyle w:val="Tabkrper49pt"/>
            </w:pPr>
            <w:r>
              <w:t>Vibrationsprüfgeräte besonders konstruiert für Rotoren oder rotierende Ausrüstungen und Maschinen, geeignet zum Messen von Frequenzen zwischen 600 und 2000 Hz.</w:t>
            </w:r>
          </w:p>
        </w:tc>
        <w:tc>
          <w:tcPr>
            <w:tcW w:w="1017" w:type="dxa"/>
            <w:gridSpan w:val="2"/>
          </w:tcPr>
          <w:p>
            <w:pPr>
              <w:pStyle w:val="Tabkrper49pt"/>
            </w:pPr>
            <w:r>
              <w:t>2B116</w:t>
            </w:r>
          </w:p>
        </w:tc>
      </w:tr>
      <w:tr>
        <w:tc>
          <w:tcPr>
            <w:tcW w:w="868" w:type="dxa"/>
            <w:gridSpan w:val="2"/>
          </w:tcPr>
          <w:p>
            <w:pPr>
              <w:pStyle w:val="Tabkrper49pt"/>
            </w:pPr>
            <w:r>
              <w:t>II.A2.023</w:t>
            </w:r>
          </w:p>
        </w:tc>
        <w:tc>
          <w:tcPr>
            <w:tcW w:w="4239" w:type="dxa"/>
            <w:gridSpan w:val="2"/>
          </w:tcPr>
          <w:p>
            <w:pPr>
              <w:pStyle w:val="Tabkrper49pt"/>
            </w:pPr>
            <w:r>
              <w:t>Flüssigringvakuumpumpen, und besonders konstruierte Bauteile hierfür.</w:t>
            </w:r>
          </w:p>
        </w:tc>
        <w:tc>
          <w:tcPr>
            <w:tcW w:w="1017" w:type="dxa"/>
            <w:gridSpan w:val="2"/>
          </w:tcPr>
          <w:p>
            <w:pPr>
              <w:pStyle w:val="Tabkrper49pt"/>
            </w:pPr>
            <w:r>
              <w:t xml:space="preserve">2B231 </w:t>
            </w:r>
          </w:p>
          <w:p>
            <w:pPr>
              <w:pStyle w:val="Tabkrper49pt"/>
            </w:pPr>
            <w:r>
              <w:t>2B350i</w:t>
            </w:r>
          </w:p>
        </w:tc>
      </w:tr>
      <w:tr>
        <w:tc>
          <w:tcPr>
            <w:tcW w:w="868" w:type="dxa"/>
            <w:gridSpan w:val="2"/>
          </w:tcPr>
          <w:p>
            <w:pPr>
              <w:pStyle w:val="Tabkrper49pt"/>
            </w:pPr>
            <w:r>
              <w:t>II.A2.024</w:t>
            </w:r>
          </w:p>
        </w:tc>
        <w:tc>
          <w:tcPr>
            <w:tcW w:w="4239" w:type="dxa"/>
            <w:gridSpan w:val="2"/>
          </w:tcPr>
          <w:p>
            <w:pPr>
              <w:pStyle w:val="Tabkrper49pt"/>
            </w:pPr>
            <w:r>
              <w:t xml:space="preserve">Drehschiebervakuumpumpen, und besonders konstruierte Bauteile hierfür. </w:t>
            </w:r>
          </w:p>
          <w:p>
            <w:pPr>
              <w:pStyle w:val="Tabkrper49pt"/>
              <w:rPr>
                <w:i/>
              </w:rPr>
            </w:pPr>
            <w:r>
              <w:rPr>
                <w:i/>
              </w:rPr>
              <w:lastRenderedPageBreak/>
              <w:t xml:space="preserve">Anmerkung 1: </w:t>
            </w:r>
            <w:r>
              <w:t>Nummer II.A2.024 erfasst nicht Drehschiebervakuumpumpen, die für andere spezifische Ausrüstungen besonders konstruiert sind.</w:t>
            </w:r>
          </w:p>
          <w:p>
            <w:pPr>
              <w:pStyle w:val="Tabkrper49pt"/>
            </w:pPr>
            <w:r>
              <w:rPr>
                <w:i/>
              </w:rPr>
              <w:t xml:space="preserve">Anmerkung 2: </w:t>
            </w:r>
            <w:r>
              <w:t>Die Erfassung von Drehschiebervakuumpumpen, besonders entwickelt für andere Geräte, richtet sich nach der Erfassung der anderen Geräte.</w:t>
            </w:r>
          </w:p>
        </w:tc>
        <w:tc>
          <w:tcPr>
            <w:tcW w:w="1017" w:type="dxa"/>
            <w:gridSpan w:val="2"/>
          </w:tcPr>
          <w:p>
            <w:pPr>
              <w:pStyle w:val="Tabkrper49pt"/>
            </w:pPr>
            <w:r>
              <w:lastRenderedPageBreak/>
              <w:t xml:space="preserve">2B231 </w:t>
            </w:r>
          </w:p>
          <w:p>
            <w:pPr>
              <w:pStyle w:val="Tabkrper49pt"/>
            </w:pPr>
            <w:r>
              <w:t xml:space="preserve">2B235i </w:t>
            </w:r>
          </w:p>
          <w:p>
            <w:pPr>
              <w:pStyle w:val="Tabkrper49pt"/>
            </w:pPr>
            <w:r>
              <w:lastRenderedPageBreak/>
              <w:t>0B002f</w:t>
            </w:r>
          </w:p>
        </w:tc>
      </w:tr>
      <w:tr>
        <w:tc>
          <w:tcPr>
            <w:tcW w:w="868" w:type="dxa"/>
            <w:gridSpan w:val="2"/>
          </w:tcPr>
          <w:p>
            <w:pPr>
              <w:pStyle w:val="Tabkrper49pt"/>
            </w:pPr>
            <w:r>
              <w:lastRenderedPageBreak/>
              <w:t>II.A2.025</w:t>
            </w:r>
          </w:p>
        </w:tc>
        <w:tc>
          <w:tcPr>
            <w:tcW w:w="4239" w:type="dxa"/>
            <w:gridSpan w:val="2"/>
          </w:tcPr>
          <w:p>
            <w:pPr>
              <w:pStyle w:val="Tabkrper49pt"/>
            </w:pPr>
            <w:r>
              <w:t xml:space="preserve">Luftfilter, wie folgt, mit einem Durchmesser von mehr </w:t>
            </w:r>
            <w:r>
              <w:br/>
              <w:t xml:space="preserve">als 1000 mm: </w:t>
            </w:r>
          </w:p>
          <w:p>
            <w:pPr>
              <w:pStyle w:val="Tab-Struktur149pt"/>
            </w:pPr>
            <w:r>
              <w:t>a)</w:t>
            </w:r>
            <w:r>
              <w:tab/>
              <w:t xml:space="preserve">HEPA-Filter (High Efficiency Particulate Air filters); </w:t>
            </w:r>
          </w:p>
          <w:p>
            <w:pPr>
              <w:pStyle w:val="Tab-Struktur149pt"/>
            </w:pPr>
            <w:r>
              <w:t>b)</w:t>
            </w:r>
            <w:r>
              <w:tab/>
              <w:t xml:space="preserve">ULPA-Filter (Ultra Low Penetration Air filters). </w:t>
            </w:r>
          </w:p>
          <w:p>
            <w:pPr>
              <w:pStyle w:val="Tabkrper49pt"/>
            </w:pPr>
            <w:r>
              <w:rPr>
                <w:i/>
              </w:rPr>
              <w:t xml:space="preserve">Anmerkung: </w:t>
            </w:r>
            <w:r>
              <w:t>Die Nummer II.A2.025 erfasst nicht für medizinische Ausrüstung besonders konstruierte Luftfilter.</w:t>
            </w:r>
          </w:p>
        </w:tc>
        <w:tc>
          <w:tcPr>
            <w:tcW w:w="1017" w:type="dxa"/>
            <w:gridSpan w:val="2"/>
          </w:tcPr>
          <w:p>
            <w:pPr>
              <w:pStyle w:val="Tabkrper49pt"/>
            </w:pPr>
            <w:r>
              <w:t>2B352d</w:t>
            </w:r>
          </w:p>
        </w:tc>
      </w:tr>
      <w:tr>
        <w:tc>
          <w:tcPr>
            <w:tcW w:w="6124" w:type="dxa"/>
            <w:gridSpan w:val="6"/>
          </w:tcPr>
          <w:p>
            <w:pPr>
              <w:pStyle w:val="Tab-Utit9pt-kurs"/>
            </w:pPr>
            <w:r>
              <w:t>A3. Allgemeine Elektronik</w:t>
            </w:r>
          </w:p>
        </w:tc>
      </w:tr>
      <w:tr>
        <w:tc>
          <w:tcPr>
            <w:tcW w:w="868" w:type="dxa"/>
            <w:gridSpan w:val="2"/>
          </w:tcPr>
          <w:p>
            <w:pPr>
              <w:pStyle w:val="Tabkrper49pt"/>
            </w:pPr>
            <w:r>
              <w:t xml:space="preserve">II.A3.001 </w:t>
            </w:r>
          </w:p>
        </w:tc>
        <w:tc>
          <w:tcPr>
            <w:tcW w:w="4239" w:type="dxa"/>
            <w:gridSpan w:val="2"/>
          </w:tcPr>
          <w:p>
            <w:pPr>
              <w:pStyle w:val="Tabkrper49pt"/>
            </w:pPr>
            <w:r>
              <w:t xml:space="preserve">Hochspannungs-Gleichstromversorgungsgeräte mit </w:t>
            </w:r>
            <w:r>
              <w:br/>
              <w:t>beiden folgenden Eigenschaften:</w:t>
            </w:r>
          </w:p>
          <w:p>
            <w:pPr>
              <w:pStyle w:val="Tab-Struktur149pt"/>
            </w:pPr>
            <w:r>
              <w:t>a)</w:t>
            </w:r>
            <w:r>
              <w:tab/>
              <w:t>Erzeugung von 10 kV oder mehr im Dauerbetrieb über einen Zeitraum von acht Stunden mit einer Ausgangsleistung grösser/gleich 5 kW, auch mit sweeping; und</w:t>
            </w:r>
          </w:p>
          <w:p>
            <w:pPr>
              <w:pStyle w:val="Tab-Struktur149pt"/>
            </w:pPr>
            <w:r>
              <w:t>b)</w:t>
            </w:r>
            <w:r>
              <w:tab/>
              <w:t xml:space="preserve">Strom- oder Spannungsregelung besser als </w:t>
            </w:r>
            <w:r>
              <w:br/>
              <w:t>0,1 % über einen Zeitraum von vier Stunden</w:t>
            </w:r>
          </w:p>
          <w:p>
            <w:pPr>
              <w:pStyle w:val="Tabkrper49pt"/>
            </w:pPr>
            <w:r>
              <w:rPr>
                <w:i/>
              </w:rPr>
              <w:t>Anmerkung</w:t>
            </w:r>
            <w:r>
              <w:t>: Diese Nummer erfasst nicht Stromversorgungsgeräte, erfasst in Unternummer 0B001j5 und Nummer 3A227.</w:t>
            </w:r>
          </w:p>
        </w:tc>
        <w:tc>
          <w:tcPr>
            <w:tcW w:w="1017" w:type="dxa"/>
            <w:gridSpan w:val="2"/>
          </w:tcPr>
          <w:p>
            <w:pPr>
              <w:pStyle w:val="Tabkrper49pt"/>
            </w:pPr>
            <w:r>
              <w:t xml:space="preserve">3A227 </w:t>
            </w:r>
          </w:p>
        </w:tc>
      </w:tr>
      <w:tr>
        <w:tc>
          <w:tcPr>
            <w:tcW w:w="868" w:type="dxa"/>
            <w:gridSpan w:val="2"/>
          </w:tcPr>
          <w:p>
            <w:pPr>
              <w:pStyle w:val="Tabkrper49pt"/>
            </w:pPr>
            <w:r>
              <w:t xml:space="preserve">II.A3.002 </w:t>
            </w:r>
          </w:p>
        </w:tc>
        <w:tc>
          <w:tcPr>
            <w:tcW w:w="4239" w:type="dxa"/>
            <w:gridSpan w:val="2"/>
          </w:tcPr>
          <w:p>
            <w:pPr>
              <w:pStyle w:val="Tabkrper49pt"/>
            </w:pPr>
            <w:r>
              <w:t xml:space="preserve">Massenspektrometer, soweit nicht in Nummer 3A233 </w:t>
            </w:r>
            <w:r>
              <w:br/>
              <w:t xml:space="preserve">oder Unternummer 0B002g erfasst, für die Messung von Ionen einer Atommasse grösser/gleich 200 amu (atomic mass units) mit einer Auflösung besser als 2 amu bei </w:t>
            </w:r>
            <w:r>
              <w:br/>
              <w:t>200 amu oder grösser, und Ionenquellen hierfür wie folgt:</w:t>
            </w:r>
          </w:p>
          <w:p>
            <w:pPr>
              <w:pStyle w:val="Tab-Struktur149pt"/>
            </w:pPr>
            <w:r>
              <w:t>a)</w:t>
            </w:r>
            <w:r>
              <w:tab/>
              <w:t>induktiv gekoppelte Plasma-Massenspektrometer (ICP/MS);</w:t>
            </w:r>
          </w:p>
          <w:p>
            <w:pPr>
              <w:pStyle w:val="Tab-Struktur149pt"/>
            </w:pPr>
            <w:r>
              <w:t>b)</w:t>
            </w:r>
            <w:r>
              <w:tab/>
              <w:t>Glühentladungs-Massenspektrometer (GDMS);</w:t>
            </w:r>
          </w:p>
          <w:p>
            <w:pPr>
              <w:pStyle w:val="Tab-Struktur149pt"/>
            </w:pPr>
            <w:r>
              <w:t>c)</w:t>
            </w:r>
            <w:r>
              <w:tab/>
              <w:t>Thermoionisations-Massenspektrometer (TIMS);</w:t>
            </w:r>
          </w:p>
          <w:p>
            <w:pPr>
              <w:pStyle w:val="Tab-Struktur149pt"/>
            </w:pPr>
            <w:r>
              <w:t>d)</w:t>
            </w:r>
            <w:r>
              <w:tab/>
              <w:t xml:space="preserve">Elektronenstoss-Massenspektrometer mit einer Quellenkammer, hergestellt aus </w:t>
            </w:r>
            <w:r>
              <w:rPr>
                <w:rFonts w:eastAsia="EUAlbertina-Regular-Identity-H"/>
              </w:rPr>
              <w:t>«</w:t>
            </w:r>
            <w:r>
              <w:t>Uranhexafluorid (UF</w:t>
            </w:r>
            <w:r>
              <w:rPr>
                <w:position w:val="-2"/>
              </w:rPr>
              <w:t>6</w:t>
            </w:r>
            <w:r>
              <w:t xml:space="preserve"> )-resistenten Werkstoffen</w:t>
            </w:r>
            <w:r>
              <w:rPr>
                <w:rFonts w:eastAsia="EUAlbertina-Regular-Identity-H"/>
              </w:rPr>
              <w:t>»</w:t>
            </w:r>
            <w:r>
              <w:t>, damit ausgekleidet oder plattiert;</w:t>
            </w:r>
          </w:p>
          <w:p>
            <w:pPr>
              <w:pStyle w:val="Tab-Struktur149pt"/>
            </w:pPr>
            <w:r>
              <w:t>e)</w:t>
            </w:r>
            <w:r>
              <w:tab/>
              <w:t>Molekularstrahl-Massenspektrometer mit einer der folgenden Eigenschaften:</w:t>
            </w:r>
          </w:p>
          <w:p>
            <w:pPr>
              <w:pStyle w:val="Tab-Struktur209pt"/>
            </w:pPr>
            <w:r>
              <w:lastRenderedPageBreak/>
              <w:t>1.</w:t>
            </w:r>
            <w:r>
              <w:tab/>
              <w:t>mit einer Quellenkammer, hergestellt aus rostfreiem Stahl oder Molybdän, damit ausgekleidet oder plattiert, und mit einer Kühlfalle, die auf 193 K (–80 °C) oder weniger kühlen kann; oder</w:t>
            </w:r>
          </w:p>
          <w:p>
            <w:pPr>
              <w:pStyle w:val="Tab-Struktur209pt"/>
            </w:pPr>
            <w:r>
              <w:t>2.</w:t>
            </w:r>
            <w:r>
              <w:tab/>
              <w:t xml:space="preserve">mit einer Quellenkammer, hergestellt aus </w:t>
            </w:r>
            <w:r>
              <w:br/>
            </w:r>
            <w:r>
              <w:rPr>
                <w:rFonts w:eastAsia="EUAlbertina-Regular-Identity-H"/>
              </w:rPr>
              <w:t>«</w:t>
            </w:r>
            <w:r>
              <w:t>Uran</w:t>
            </w:r>
            <w:r>
              <w:softHyphen/>
              <w:t>hexafluorid (UF</w:t>
            </w:r>
            <w:r>
              <w:rPr>
                <w:position w:val="-2"/>
              </w:rPr>
              <w:t>6</w:t>
            </w:r>
            <w:r>
              <w:t>)-resistenten Werkstoffen</w:t>
            </w:r>
            <w:r>
              <w:rPr>
                <w:rFonts w:eastAsia="EUAlbertina-Regular-Identity-H"/>
              </w:rPr>
              <w:t>»</w:t>
            </w:r>
            <w:r>
              <w:t xml:space="preserve">, </w:t>
            </w:r>
            <w:r>
              <w:br/>
              <w:t>damit ausgekleidet oder plattiert;</w:t>
            </w:r>
          </w:p>
          <w:p>
            <w:pPr>
              <w:pStyle w:val="Tab-Struktur149pt"/>
            </w:pPr>
            <w:r>
              <w:t>f)</w:t>
            </w:r>
            <w:r>
              <w:tab/>
              <w:t>Massenspektrometer, ausgestattet mit einer Mikrofluorierungs-Ionenquelle, konstruiert für Aktinide oder Aktinidenfluoride.</w:t>
            </w:r>
          </w:p>
        </w:tc>
        <w:tc>
          <w:tcPr>
            <w:tcW w:w="1017" w:type="dxa"/>
            <w:gridSpan w:val="2"/>
          </w:tcPr>
          <w:p>
            <w:pPr>
              <w:pStyle w:val="Tabkrper49pt"/>
            </w:pPr>
            <w:r>
              <w:lastRenderedPageBreak/>
              <w:t xml:space="preserve">3A233 </w:t>
            </w:r>
          </w:p>
          <w:p>
            <w:pPr>
              <w:pStyle w:val="Tabkrper49pt"/>
            </w:pPr>
          </w:p>
        </w:tc>
      </w:tr>
      <w:tr>
        <w:trPr>
          <w:gridAfter w:val="1"/>
          <w:wAfter w:w="20" w:type="dxa"/>
        </w:trPr>
        <w:tc>
          <w:tcPr>
            <w:tcW w:w="848" w:type="dxa"/>
          </w:tcPr>
          <w:p>
            <w:pPr>
              <w:pStyle w:val="Tabkrper49pt"/>
              <w:rPr>
                <w:szCs w:val="18"/>
              </w:rPr>
            </w:pPr>
            <w:r>
              <w:rPr>
                <w:szCs w:val="18"/>
              </w:rPr>
              <w:t xml:space="preserve">II.A3.003 </w:t>
            </w:r>
          </w:p>
        </w:tc>
        <w:tc>
          <w:tcPr>
            <w:tcW w:w="4239" w:type="dxa"/>
            <w:gridSpan w:val="2"/>
          </w:tcPr>
          <w:p>
            <w:pPr>
              <w:pStyle w:val="Tabkrper49pt"/>
              <w:rPr>
                <w:szCs w:val="18"/>
              </w:rPr>
            </w:pPr>
            <w:r>
              <w:rPr>
                <w:szCs w:val="18"/>
              </w:rPr>
              <w:t xml:space="preserve">Spektrometer oder Diffraktometer, konstruiert für den indikativen Test oder die quantitative Analyse der Elementzusammensetzung von Metallen oder Legierungen ohne chemisches Aufschliessen des Materials </w:t>
            </w:r>
          </w:p>
        </w:tc>
        <w:tc>
          <w:tcPr>
            <w:tcW w:w="1017" w:type="dxa"/>
            <w:gridSpan w:val="2"/>
          </w:tcPr>
          <w:p>
            <w:pPr>
              <w:pStyle w:val="Tabkrper49pt"/>
              <w:rPr>
                <w:szCs w:val="18"/>
              </w:rPr>
            </w:pPr>
          </w:p>
        </w:tc>
      </w:tr>
      <w:tr>
        <w:tc>
          <w:tcPr>
            <w:tcW w:w="868" w:type="dxa"/>
            <w:gridSpan w:val="2"/>
          </w:tcPr>
          <w:p>
            <w:pPr>
              <w:pStyle w:val="Tabkrper49pt"/>
            </w:pPr>
            <w:r>
              <w:t xml:space="preserve">II.A3.004 </w:t>
            </w:r>
          </w:p>
        </w:tc>
        <w:tc>
          <w:tcPr>
            <w:tcW w:w="4239" w:type="dxa"/>
            <w:gridSpan w:val="2"/>
          </w:tcPr>
          <w:p>
            <w:pPr>
              <w:pStyle w:val="Tabkrper49pt"/>
            </w:pPr>
            <w:r>
              <w:t>Frequenzumwandler oder Generatoren, die nicht nach Nummer 0B001 oder 3A225 verboten sind, mit allen folgenden Eigenschaften sowie besonders konstruierte Bestandteile und entworfene Software hierfür:</w:t>
            </w:r>
          </w:p>
          <w:p>
            <w:pPr>
              <w:pStyle w:val="Tab-Struktur149pt"/>
            </w:pPr>
            <w:r>
              <w:t>a)</w:t>
            </w:r>
            <w:r>
              <w:tab/>
              <w:t>Mehrphasenausgang mit einer Leistung grösser/gleich 10 W;</w:t>
            </w:r>
          </w:p>
          <w:p>
            <w:pPr>
              <w:pStyle w:val="Tab-Struktur149pt"/>
            </w:pPr>
            <w:r>
              <w:t>b)</w:t>
            </w:r>
            <w:r>
              <w:tab/>
              <w:t>Betriebsfrequez von 600 Hz oder mehr; und</w:t>
            </w:r>
          </w:p>
          <w:p>
            <w:pPr>
              <w:pStyle w:val="Tab-Struktur149pt"/>
            </w:pPr>
            <w:r>
              <w:t>c)</w:t>
            </w:r>
            <w:r>
              <w:tab/>
              <w:t>Frequenzstabilisierung besser (kleiner) als 0,2 %.</w:t>
            </w:r>
          </w:p>
          <w:p>
            <w:pPr>
              <w:pStyle w:val="Tabkrper49pt"/>
            </w:pPr>
            <w:r>
              <w:rPr>
                <w:i/>
              </w:rPr>
              <w:t>Technische Anmerkung</w:t>
            </w:r>
            <w:r>
              <w:t>: Frequenzumwandler werden auch als Konverter oder Inverter bezeichnet.</w:t>
            </w:r>
          </w:p>
          <w:p>
            <w:pPr>
              <w:pStyle w:val="Tabkrper49pt"/>
              <w:rPr>
                <w:i/>
              </w:rPr>
            </w:pPr>
            <w:r>
              <w:rPr>
                <w:i/>
              </w:rPr>
              <w:t>Anmerkungen:</w:t>
            </w:r>
          </w:p>
          <w:p>
            <w:pPr>
              <w:pStyle w:val="Tabkrper49pt"/>
              <w:numPr>
                <w:ilvl w:val="0"/>
                <w:numId w:val="45"/>
              </w:numPr>
            </w:pPr>
            <w:r>
              <w:t>Nummer II.A3.004 erfasst nicht Frequenzumwandler, die mit Kommunikationsprotokollen oder Schnittstellen für spezifische Industriemaschinen (wie Werkzeugmaschinen, Spinnmaschinen, Leiterplattenmaschinen) ausgestattet sind, so dass die Frequenzumwandler bei Erfüllung der oben genannten Leistungsmerkmale nicht zu anderen Zwecken verwendet werden können.</w:t>
            </w:r>
          </w:p>
          <w:p>
            <w:pPr>
              <w:pStyle w:val="Tabkrper49pt"/>
              <w:numPr>
                <w:ilvl w:val="0"/>
                <w:numId w:val="45"/>
              </w:numPr>
            </w:pPr>
            <w:r>
              <w:t>Nummer II.A3.004 erfasst nicht für Fahrzeuge besonders konstruierte Frequenzumwandler mit einer zwischen Frequenzumwandler und Fahrzeugkontrolleinheit gegenseitig kommunizierten Kontrollsequenz.</w:t>
            </w:r>
          </w:p>
        </w:tc>
        <w:tc>
          <w:tcPr>
            <w:tcW w:w="1017" w:type="dxa"/>
            <w:gridSpan w:val="2"/>
          </w:tcPr>
          <w:p>
            <w:pPr>
              <w:pStyle w:val="Tabkrper49pt"/>
            </w:pPr>
            <w:r>
              <w:t>3A225</w:t>
            </w:r>
          </w:p>
          <w:p>
            <w:pPr>
              <w:pStyle w:val="Tabkrper49pt"/>
              <w:rPr>
                <w:szCs w:val="18"/>
              </w:rPr>
            </w:pPr>
            <w:r>
              <w:t>0B001b13</w:t>
            </w:r>
          </w:p>
        </w:tc>
      </w:tr>
      <w:tr>
        <w:tc>
          <w:tcPr>
            <w:tcW w:w="6124" w:type="dxa"/>
            <w:gridSpan w:val="6"/>
          </w:tcPr>
          <w:p>
            <w:pPr>
              <w:pStyle w:val="Tab-Utit9pt-kurs"/>
            </w:pPr>
            <w:r>
              <w:lastRenderedPageBreak/>
              <w:t>A6. Sensoren und Laser</w:t>
            </w:r>
          </w:p>
        </w:tc>
      </w:tr>
      <w:tr>
        <w:tc>
          <w:tcPr>
            <w:tcW w:w="868" w:type="dxa"/>
            <w:gridSpan w:val="2"/>
          </w:tcPr>
          <w:p>
            <w:pPr>
              <w:pStyle w:val="Tabkrper49pt"/>
            </w:pPr>
            <w:r>
              <w:t xml:space="preserve">II.A6.001 </w:t>
            </w:r>
          </w:p>
        </w:tc>
        <w:tc>
          <w:tcPr>
            <w:tcW w:w="4239" w:type="dxa"/>
            <w:gridSpan w:val="2"/>
          </w:tcPr>
          <w:p>
            <w:pPr>
              <w:pStyle w:val="Tabkrper49pt"/>
            </w:pPr>
            <w:r>
              <w:t>Stäbe aus Yttrium-Aluminium-Granat (YAG).</w:t>
            </w:r>
          </w:p>
        </w:tc>
        <w:tc>
          <w:tcPr>
            <w:tcW w:w="1017" w:type="dxa"/>
            <w:gridSpan w:val="2"/>
          </w:tcPr>
          <w:p>
            <w:pPr>
              <w:pStyle w:val="Tabkrper49pt"/>
            </w:pPr>
          </w:p>
        </w:tc>
      </w:tr>
      <w:tr>
        <w:tc>
          <w:tcPr>
            <w:tcW w:w="868" w:type="dxa"/>
            <w:gridSpan w:val="2"/>
          </w:tcPr>
          <w:p>
            <w:pPr>
              <w:pStyle w:val="Tabkrper49pt"/>
            </w:pPr>
            <w:r>
              <w:t xml:space="preserve">II.A6.002 </w:t>
            </w:r>
          </w:p>
        </w:tc>
        <w:tc>
          <w:tcPr>
            <w:tcW w:w="4239" w:type="dxa"/>
            <w:gridSpan w:val="2"/>
          </w:tcPr>
          <w:p>
            <w:pPr>
              <w:pStyle w:val="Tabkrper49pt"/>
            </w:pPr>
            <w:r>
              <w:t xml:space="preserve">Optische Ausrüstung und Bestandteile, soweit nicht in Nummer 6A002 oder Unternummer 6A004b erfasst, </w:t>
            </w:r>
            <w:r>
              <w:br/>
              <w:t xml:space="preserve">wie folgt: </w:t>
            </w:r>
          </w:p>
          <w:p>
            <w:pPr>
              <w:pStyle w:val="Tabkrper49pt"/>
            </w:pPr>
            <w:r>
              <w:t>Infrarotoptiken im Wellenlängenbereich grösser/gleich 9000 nm und kleiner/gleich 17000 nm und Bestandteile hierfür, einschliesslich Bestandteilen aus Cadmiumtellurid (CdTe).</w:t>
            </w:r>
          </w:p>
        </w:tc>
        <w:tc>
          <w:tcPr>
            <w:tcW w:w="1017" w:type="dxa"/>
            <w:gridSpan w:val="2"/>
          </w:tcPr>
          <w:p>
            <w:pPr>
              <w:pStyle w:val="Tabkrper49pt"/>
            </w:pPr>
            <w:r>
              <w:t>6A002</w:t>
            </w:r>
          </w:p>
          <w:p>
            <w:pPr>
              <w:pStyle w:val="Tabkrper49pt"/>
            </w:pPr>
            <w:r>
              <w:t>6A004b</w:t>
            </w:r>
          </w:p>
        </w:tc>
      </w:tr>
      <w:tr>
        <w:tc>
          <w:tcPr>
            <w:tcW w:w="868" w:type="dxa"/>
            <w:gridSpan w:val="2"/>
          </w:tcPr>
          <w:p>
            <w:pPr>
              <w:pStyle w:val="Tabkrper49pt"/>
            </w:pPr>
            <w:r>
              <w:t xml:space="preserve">II.A6.003 </w:t>
            </w:r>
          </w:p>
        </w:tc>
        <w:tc>
          <w:tcPr>
            <w:tcW w:w="4239" w:type="dxa"/>
            <w:gridSpan w:val="2"/>
          </w:tcPr>
          <w:p>
            <w:pPr>
              <w:pStyle w:val="Tabkrper49pt"/>
            </w:pPr>
            <w:r>
              <w:t xml:space="preserve">Wellenfrontkorrektursysteme für die Verwendung mit einem Laserstrahl mit einem Durchmesser grösser als </w:t>
            </w:r>
            <w:r>
              <w:br/>
              <w:t xml:space="preserve">4 mm und besonders konstruierte Bestandteile hierfür, einschliesslich Steuersysteme und Phasenfront-Erkennungssysteme und </w:t>
            </w:r>
            <w:r>
              <w:rPr>
                <w:rFonts w:eastAsia="EUAlbertina-Regular-Identity-H"/>
              </w:rPr>
              <w:t>«</w:t>
            </w:r>
            <w:r>
              <w:t>verformbare Spiegel</w:t>
            </w:r>
            <w:r>
              <w:rPr>
                <w:rFonts w:eastAsia="EUAlbertina-Regular-Identity-H"/>
              </w:rPr>
              <w:t>»</w:t>
            </w:r>
            <w:r>
              <w:t xml:space="preserve"> einschliesslich bimorphen Spiegeln.</w:t>
            </w:r>
          </w:p>
          <w:p>
            <w:pPr>
              <w:pStyle w:val="Tabkrper49pt"/>
            </w:pPr>
            <w:r>
              <w:rPr>
                <w:i/>
              </w:rPr>
              <w:t>Anmerkung</w:t>
            </w:r>
            <w:r>
              <w:t>: Diese Nummer erfasst nicht Spiegel, erfasst in den Unternummern 6A004a, 6A005e und 6A005f.</w:t>
            </w:r>
          </w:p>
        </w:tc>
        <w:tc>
          <w:tcPr>
            <w:tcW w:w="1017" w:type="dxa"/>
            <w:gridSpan w:val="2"/>
          </w:tcPr>
          <w:p>
            <w:pPr>
              <w:pStyle w:val="Tabkrper49pt"/>
            </w:pPr>
            <w:r>
              <w:t xml:space="preserve">6A003 </w:t>
            </w:r>
          </w:p>
        </w:tc>
      </w:tr>
      <w:tr>
        <w:tc>
          <w:tcPr>
            <w:tcW w:w="868" w:type="dxa"/>
            <w:gridSpan w:val="2"/>
          </w:tcPr>
          <w:p>
            <w:pPr>
              <w:pStyle w:val="Tabkrper49pt"/>
            </w:pPr>
            <w:r>
              <w:t xml:space="preserve">II.A6.004 </w:t>
            </w:r>
          </w:p>
        </w:tc>
        <w:tc>
          <w:tcPr>
            <w:tcW w:w="4239" w:type="dxa"/>
            <w:gridSpan w:val="2"/>
          </w:tcPr>
          <w:p>
            <w:pPr>
              <w:pStyle w:val="Tabkrper49pt"/>
            </w:pPr>
            <w:r>
              <w:t>Argonionen-</w:t>
            </w:r>
            <w:r>
              <w:rPr>
                <w:rFonts w:eastAsia="EUAlbertina-Regular-Identity-H"/>
              </w:rPr>
              <w:t>«</w:t>
            </w:r>
            <w:r>
              <w:t>Laser</w:t>
            </w:r>
            <w:r>
              <w:rPr>
                <w:rFonts w:eastAsia="EUAlbertina-Regular-Identity-H"/>
              </w:rPr>
              <w:t>»</w:t>
            </w:r>
            <w:r>
              <w:t xml:space="preserve"> mit einer mittleren Ausgangs-</w:t>
            </w:r>
            <w:r>
              <w:br/>
              <w:t>leistung grösser/gleich 5 W.</w:t>
            </w:r>
          </w:p>
          <w:p>
            <w:pPr>
              <w:pStyle w:val="Tabkrper49pt"/>
            </w:pPr>
            <w:r>
              <w:rPr>
                <w:i/>
              </w:rPr>
              <w:t>Anmerkung</w:t>
            </w:r>
            <w:r>
              <w:t>: Diese Nummer erfasst nicht Argonionen-</w:t>
            </w:r>
            <w:r>
              <w:rPr>
                <w:rFonts w:eastAsia="EUAlbertina-Regular-Identity-H"/>
              </w:rPr>
              <w:t>«</w:t>
            </w:r>
            <w:r>
              <w:t>Laser</w:t>
            </w:r>
            <w:r>
              <w:rPr>
                <w:rFonts w:eastAsia="EUAlbertina-Regular-Identity-H"/>
              </w:rPr>
              <w:t>»</w:t>
            </w:r>
            <w:r>
              <w:t>, erfasst in Unternummer 0B001g5, Nummer 6A005 und Unternummer 6A205a.</w:t>
            </w:r>
          </w:p>
        </w:tc>
        <w:tc>
          <w:tcPr>
            <w:tcW w:w="1017" w:type="dxa"/>
            <w:gridSpan w:val="2"/>
          </w:tcPr>
          <w:p>
            <w:pPr>
              <w:pStyle w:val="Tabkrper49pt"/>
            </w:pPr>
            <w:r>
              <w:t>6A005a6</w:t>
            </w:r>
          </w:p>
          <w:p>
            <w:pPr>
              <w:pStyle w:val="Tabkrper49pt"/>
            </w:pPr>
            <w:r>
              <w:t xml:space="preserve">6A205a </w:t>
            </w:r>
          </w:p>
        </w:tc>
      </w:tr>
      <w:tr>
        <w:tc>
          <w:tcPr>
            <w:tcW w:w="868" w:type="dxa"/>
            <w:gridSpan w:val="2"/>
          </w:tcPr>
          <w:p>
            <w:pPr>
              <w:pStyle w:val="Tabkrper49pt"/>
            </w:pPr>
            <w:r>
              <w:t xml:space="preserve">II.A6.005 </w:t>
            </w:r>
          </w:p>
        </w:tc>
        <w:tc>
          <w:tcPr>
            <w:tcW w:w="4239" w:type="dxa"/>
            <w:gridSpan w:val="2"/>
          </w:tcPr>
          <w:p>
            <w:pPr>
              <w:pStyle w:val="Tabkrper49pt"/>
            </w:pPr>
            <w:r>
              <w:t>Halbleiter-</w:t>
            </w:r>
            <w:r>
              <w:rPr>
                <w:rFonts w:eastAsia="EUAlbertina-Regular-Identity-H"/>
              </w:rPr>
              <w:t>«</w:t>
            </w:r>
            <w:r>
              <w:t>Laser</w:t>
            </w:r>
            <w:r>
              <w:rPr>
                <w:rFonts w:eastAsia="EUAlbertina-Regular-Identity-H"/>
              </w:rPr>
              <w:t>»</w:t>
            </w:r>
            <w:r>
              <w:t xml:space="preserve"> und Bestandteile hierfür wie folgt:</w:t>
            </w:r>
          </w:p>
          <w:p>
            <w:pPr>
              <w:pStyle w:val="Tab-Struktur149pt"/>
            </w:pPr>
            <w:r>
              <w:t>a)</w:t>
            </w:r>
            <w:r>
              <w:tab/>
              <w:t>einzelne Halbleiter-</w:t>
            </w:r>
            <w:r>
              <w:rPr>
                <w:rFonts w:eastAsia="EUAlbertina-Regular-Identity-H"/>
              </w:rPr>
              <w:t>«</w:t>
            </w:r>
            <w:r>
              <w:t>Laser</w:t>
            </w:r>
            <w:r>
              <w:rPr>
                <w:rFonts w:eastAsia="EUAlbertina-Regular-Identity-H"/>
              </w:rPr>
              <w:t>»</w:t>
            </w:r>
            <w:r>
              <w:t xml:space="preserve"> mit einer jeweiligen Ausgangsleistung grösser als 200 mW, in Mengen grösser als 100;</w:t>
            </w:r>
          </w:p>
          <w:p>
            <w:pPr>
              <w:pStyle w:val="Tab-Struktur149pt"/>
            </w:pPr>
            <w:r>
              <w:t>b)</w:t>
            </w:r>
            <w:r>
              <w:tab/>
              <w:t>Halbleiter-</w:t>
            </w:r>
            <w:r>
              <w:rPr>
                <w:rFonts w:eastAsia="EUAlbertina-Regular-Identity-H"/>
              </w:rPr>
              <w:t>«</w:t>
            </w:r>
            <w:r>
              <w:t>Laser</w:t>
            </w:r>
            <w:r>
              <w:rPr>
                <w:rFonts w:eastAsia="EUAlbertina-Regular-Identity-H"/>
              </w:rPr>
              <w:t>»</w:t>
            </w:r>
            <w:r>
              <w:t>-Arrays mit einer Ausgangsleistung grösser als 20 W.</w:t>
            </w:r>
          </w:p>
          <w:p>
            <w:pPr>
              <w:pStyle w:val="Tabkrper49pt"/>
              <w:rPr>
                <w:i/>
              </w:rPr>
            </w:pPr>
            <w:r>
              <w:rPr>
                <w:i/>
              </w:rPr>
              <w:t>Anmerkungen:</w:t>
            </w:r>
          </w:p>
          <w:p>
            <w:pPr>
              <w:pStyle w:val="Tab-Struktur149pt"/>
            </w:pPr>
            <w:r>
              <w:t>1.</w:t>
            </w:r>
            <w:r>
              <w:tab/>
              <w:t>Halbleiter-</w:t>
            </w:r>
            <w:r>
              <w:rPr>
                <w:rFonts w:eastAsia="EUAlbertina-Regular-Identity-H"/>
              </w:rPr>
              <w:t>«</w:t>
            </w:r>
            <w:r>
              <w:t>Laser</w:t>
            </w:r>
            <w:r>
              <w:rPr>
                <w:rFonts w:eastAsia="EUAlbertina-Regular-Identity-H"/>
              </w:rPr>
              <w:t>»</w:t>
            </w:r>
            <w:r>
              <w:t xml:space="preserve"> werden gewöhnlich als </w:t>
            </w:r>
            <w:r>
              <w:rPr>
                <w:rFonts w:eastAsia="EUAlbertina-Regular-Identity-H"/>
              </w:rPr>
              <w:t>«</w:t>
            </w:r>
            <w:r>
              <w:t>Laser</w:t>
            </w:r>
            <w:r>
              <w:rPr>
                <w:rFonts w:eastAsia="EUAlbertina-Regular-Identity-H"/>
              </w:rPr>
              <w:t>»</w:t>
            </w:r>
            <w:r>
              <w:t>-Dioden bezeichnet.</w:t>
            </w:r>
          </w:p>
          <w:p>
            <w:pPr>
              <w:pStyle w:val="Tab-Struktur149pt"/>
            </w:pPr>
            <w:r>
              <w:t>2.</w:t>
            </w:r>
            <w:r>
              <w:tab/>
              <w:t xml:space="preserve">Diese Nummer erfasst nicht </w:t>
            </w:r>
            <w:r>
              <w:rPr>
                <w:rFonts w:eastAsia="EUAlbertina-Regular-Identity-H"/>
              </w:rPr>
              <w:t>«</w:t>
            </w:r>
            <w:r>
              <w:t>Laser</w:t>
            </w:r>
            <w:r>
              <w:rPr>
                <w:rFonts w:eastAsia="EUAlbertina-Regular-Identity-H"/>
              </w:rPr>
              <w:t>»</w:t>
            </w:r>
            <w:r>
              <w:t>, erfasst in den Unternummern 0B001g5, 0B001h6 und 6A005.</w:t>
            </w:r>
          </w:p>
          <w:p>
            <w:pPr>
              <w:pStyle w:val="Tab-Struktur149pt"/>
            </w:pPr>
            <w:r>
              <w:t>3.</w:t>
            </w:r>
            <w:r>
              <w:tab/>
              <w:t xml:space="preserve">Diese Nummer erfasst nicht </w:t>
            </w:r>
            <w:r>
              <w:rPr>
                <w:rFonts w:eastAsia="EUAlbertina-Regular-Identity-H"/>
              </w:rPr>
              <w:t>«</w:t>
            </w:r>
            <w:r>
              <w:t>Laser</w:t>
            </w:r>
            <w:r>
              <w:rPr>
                <w:rFonts w:eastAsia="EUAlbertina-Regular-Identity-H"/>
              </w:rPr>
              <w:t>»</w:t>
            </w:r>
            <w:r>
              <w:t>-Dioden mit einer Wellenlänge im Bereich 1200 nm–2000 nm.</w:t>
            </w:r>
          </w:p>
        </w:tc>
        <w:tc>
          <w:tcPr>
            <w:tcW w:w="1017" w:type="dxa"/>
            <w:gridSpan w:val="2"/>
          </w:tcPr>
          <w:p>
            <w:pPr>
              <w:pStyle w:val="Tabkrper49pt"/>
            </w:pPr>
            <w:r>
              <w:t>6A005b</w:t>
            </w:r>
          </w:p>
        </w:tc>
      </w:tr>
      <w:tr>
        <w:tc>
          <w:tcPr>
            <w:tcW w:w="868" w:type="dxa"/>
            <w:gridSpan w:val="2"/>
          </w:tcPr>
          <w:p>
            <w:pPr>
              <w:pStyle w:val="Tabkrper49pt"/>
            </w:pPr>
            <w:r>
              <w:t xml:space="preserve">II.A6.006 </w:t>
            </w:r>
          </w:p>
        </w:tc>
        <w:tc>
          <w:tcPr>
            <w:tcW w:w="4239" w:type="dxa"/>
            <w:gridSpan w:val="2"/>
          </w:tcPr>
          <w:p>
            <w:pPr>
              <w:pStyle w:val="Tabkrper49pt"/>
            </w:pPr>
            <w:r>
              <w:t>Abstimmbare Halbleiter-</w:t>
            </w:r>
            <w:r>
              <w:rPr>
                <w:rFonts w:eastAsia="EUAlbertina-Regular-Identity-H"/>
              </w:rPr>
              <w:t>«</w:t>
            </w:r>
            <w:r>
              <w:t>Laser</w:t>
            </w:r>
            <w:r>
              <w:rPr>
                <w:rFonts w:eastAsia="EUAlbertina-Regular-Identity-H"/>
              </w:rPr>
              <w:t>»</w:t>
            </w:r>
            <w:r>
              <w:t xml:space="preserve"> und abstimmbare </w:t>
            </w:r>
            <w:r>
              <w:br/>
              <w:t>Halbleiter-</w:t>
            </w:r>
            <w:r>
              <w:rPr>
                <w:rFonts w:eastAsia="EUAlbertina-Regular-Identity-H"/>
              </w:rPr>
              <w:t>«</w:t>
            </w:r>
            <w:r>
              <w:t>Laser</w:t>
            </w:r>
            <w:r>
              <w:rPr>
                <w:rFonts w:eastAsia="EUAlbertina-Regular-Identity-H"/>
              </w:rPr>
              <w:t>»</w:t>
            </w:r>
            <w:r>
              <w:t xml:space="preserve">-Arrays mit einer Wellenlänge grösser/ gleich 9 μm und kleiner/gleich 17 μm sowie Stacks aus </w:t>
            </w:r>
            <w:r>
              <w:lastRenderedPageBreak/>
              <w:t>Halbleiter-</w:t>
            </w:r>
            <w:r>
              <w:rPr>
                <w:rFonts w:eastAsia="EUAlbertina-Regular-Identity-H"/>
              </w:rPr>
              <w:t>«</w:t>
            </w:r>
            <w:r>
              <w:t>Lasern</w:t>
            </w:r>
            <w:r>
              <w:rPr>
                <w:rFonts w:eastAsia="EUAlbertina-Regular-Identity-H"/>
              </w:rPr>
              <w:t>»</w:t>
            </w:r>
            <w:r>
              <w:t>, die wenigstens ein abstimmbares Halbleiter-</w:t>
            </w:r>
            <w:r>
              <w:rPr>
                <w:rFonts w:eastAsia="EUAlbertina-Regular-Identity-H"/>
              </w:rPr>
              <w:t>«</w:t>
            </w:r>
            <w:r>
              <w:t>Laser</w:t>
            </w:r>
            <w:r>
              <w:rPr>
                <w:rFonts w:eastAsia="EUAlbertina-Regular-Identity-H"/>
              </w:rPr>
              <w:t>»</w:t>
            </w:r>
            <w:r>
              <w:t>-Array mit einer solchen Wellenlänge enthalten.</w:t>
            </w:r>
          </w:p>
          <w:p>
            <w:pPr>
              <w:pStyle w:val="Tabkrper49pt"/>
              <w:rPr>
                <w:i/>
              </w:rPr>
            </w:pPr>
            <w:r>
              <w:rPr>
                <w:i/>
              </w:rPr>
              <w:t>Anmerkungen:</w:t>
            </w:r>
          </w:p>
          <w:p>
            <w:pPr>
              <w:pStyle w:val="Tab-Struktur149pt"/>
            </w:pPr>
            <w:r>
              <w:t>1.</w:t>
            </w:r>
            <w:r>
              <w:tab/>
              <w:t>Halbleiter-</w:t>
            </w:r>
            <w:r>
              <w:rPr>
                <w:rFonts w:eastAsia="EUAlbertina-Regular-Identity-H"/>
              </w:rPr>
              <w:t>«</w:t>
            </w:r>
            <w:r>
              <w:t>Laser</w:t>
            </w:r>
            <w:r>
              <w:rPr>
                <w:rFonts w:eastAsia="EUAlbertina-Regular-Identity-H"/>
              </w:rPr>
              <w:t>»</w:t>
            </w:r>
            <w:r>
              <w:t xml:space="preserve"> werden gewöhnlich als </w:t>
            </w:r>
            <w:r>
              <w:rPr>
                <w:rFonts w:eastAsia="EUAlbertina-Regular-Identity-H"/>
              </w:rPr>
              <w:t>«</w:t>
            </w:r>
            <w:r>
              <w:t>Laser</w:t>
            </w:r>
            <w:r>
              <w:rPr>
                <w:rFonts w:eastAsia="EUAlbertina-Regular-Identity-H"/>
              </w:rPr>
              <w:t>»</w:t>
            </w:r>
            <w:r>
              <w:t>-Dioden bezeichnet.</w:t>
            </w:r>
          </w:p>
          <w:p>
            <w:pPr>
              <w:pStyle w:val="Tab-Struktur149pt"/>
            </w:pPr>
            <w:r>
              <w:t>2.</w:t>
            </w:r>
            <w:r>
              <w:tab/>
              <w:t>Diese Nummer erfasst nicht Halbleiter-</w:t>
            </w:r>
            <w:r>
              <w:rPr>
                <w:rFonts w:eastAsia="EUAlbertina-Regular-Identity-H"/>
              </w:rPr>
              <w:t>«</w:t>
            </w:r>
            <w:r>
              <w:t>Laser</w:t>
            </w:r>
            <w:r>
              <w:rPr>
                <w:rFonts w:eastAsia="EUAlbertina-Regular-Identity-H"/>
              </w:rPr>
              <w:t>»</w:t>
            </w:r>
            <w:r>
              <w:t xml:space="preserve">, </w:t>
            </w:r>
            <w:r>
              <w:br/>
              <w:t>erfasst in den Unternummern 0B001h6 und 6A005b.</w:t>
            </w:r>
          </w:p>
        </w:tc>
        <w:tc>
          <w:tcPr>
            <w:tcW w:w="1017" w:type="dxa"/>
            <w:gridSpan w:val="2"/>
          </w:tcPr>
          <w:p>
            <w:pPr>
              <w:pStyle w:val="Tabkrper49pt"/>
            </w:pPr>
            <w:r>
              <w:lastRenderedPageBreak/>
              <w:t>6A005b</w:t>
            </w:r>
          </w:p>
        </w:tc>
      </w:tr>
      <w:tr>
        <w:tc>
          <w:tcPr>
            <w:tcW w:w="868" w:type="dxa"/>
            <w:gridSpan w:val="2"/>
          </w:tcPr>
          <w:p>
            <w:pPr>
              <w:pStyle w:val="Tabkrper49pt"/>
            </w:pPr>
            <w:r>
              <w:t xml:space="preserve">II.A6.007 </w:t>
            </w:r>
          </w:p>
        </w:tc>
        <w:tc>
          <w:tcPr>
            <w:tcW w:w="4239" w:type="dxa"/>
            <w:gridSpan w:val="2"/>
          </w:tcPr>
          <w:p>
            <w:pPr>
              <w:pStyle w:val="Tabkrper49pt"/>
            </w:pPr>
            <w:r>
              <w:rPr>
                <w:rFonts w:eastAsia="EUAlbertina-Regular-Identity-H"/>
              </w:rPr>
              <w:t>«</w:t>
            </w:r>
            <w:r>
              <w:t>Abstimmbare</w:t>
            </w:r>
            <w:r>
              <w:rPr>
                <w:rFonts w:eastAsia="EUAlbertina-Regular-Identity-H"/>
              </w:rPr>
              <w:t>»</w:t>
            </w:r>
            <w:r>
              <w:t xml:space="preserve"> Festkörper-</w:t>
            </w:r>
            <w:r>
              <w:rPr>
                <w:rFonts w:eastAsia="EUAlbertina-Regular-Identity-H"/>
              </w:rPr>
              <w:t>«</w:t>
            </w:r>
            <w:r>
              <w:t>Laser</w:t>
            </w:r>
            <w:r>
              <w:rPr>
                <w:rFonts w:eastAsia="EUAlbertina-Regular-Identity-H"/>
              </w:rPr>
              <w:t>»</w:t>
            </w:r>
            <w:r>
              <w:t xml:space="preserve"> und besonders </w:t>
            </w:r>
            <w:r>
              <w:br/>
              <w:t>konstruierte Bestandteile hierfür wie folgt:</w:t>
            </w:r>
          </w:p>
          <w:p>
            <w:pPr>
              <w:pStyle w:val="Tab-Struktur149pt"/>
            </w:pPr>
            <w:r>
              <w:t>a)</w:t>
            </w:r>
            <w:r>
              <w:tab/>
              <w:t>Titan-Saphir-Laser;</w:t>
            </w:r>
          </w:p>
          <w:p>
            <w:pPr>
              <w:pStyle w:val="Tab-Struktur149pt"/>
            </w:pPr>
            <w:r>
              <w:t>b)</w:t>
            </w:r>
            <w:r>
              <w:tab/>
              <w:t>Alexandrit-Laser.</w:t>
            </w:r>
          </w:p>
          <w:p>
            <w:pPr>
              <w:pStyle w:val="Tabkrper49pt"/>
            </w:pPr>
            <w:r>
              <w:rPr>
                <w:i/>
              </w:rPr>
              <w:t>Anmerkung</w:t>
            </w:r>
            <w:r>
              <w:t>: Diese Nummer erfasst nicht Titan-Saphir- und Alexandrit-Laser, erfasst in den Unternummern 0B001g5, 0B001h6 und 6A005c1.</w:t>
            </w:r>
          </w:p>
        </w:tc>
        <w:tc>
          <w:tcPr>
            <w:tcW w:w="1017" w:type="dxa"/>
            <w:gridSpan w:val="2"/>
          </w:tcPr>
          <w:p>
            <w:pPr>
              <w:pStyle w:val="Tabkrper49pt"/>
            </w:pPr>
            <w:r>
              <w:t xml:space="preserve">6A005c1 </w:t>
            </w:r>
          </w:p>
        </w:tc>
      </w:tr>
      <w:tr>
        <w:tc>
          <w:tcPr>
            <w:tcW w:w="868" w:type="dxa"/>
            <w:gridSpan w:val="2"/>
          </w:tcPr>
          <w:p>
            <w:pPr>
              <w:pStyle w:val="Tabkrper49pt"/>
            </w:pPr>
            <w:r>
              <w:t xml:space="preserve">II.A6.008 </w:t>
            </w:r>
          </w:p>
        </w:tc>
        <w:tc>
          <w:tcPr>
            <w:tcW w:w="4239" w:type="dxa"/>
            <w:gridSpan w:val="2"/>
          </w:tcPr>
          <w:p>
            <w:pPr>
              <w:pStyle w:val="Tabkrper49pt"/>
            </w:pPr>
            <w:r>
              <w:t>Neodym-dotierte (andere als Glas-)</w:t>
            </w:r>
            <w:r>
              <w:rPr>
                <w:rFonts w:eastAsia="EUAlbertina-Regular-Identity-H"/>
              </w:rPr>
              <w:t>«</w:t>
            </w:r>
            <w:r>
              <w:t>Laser</w:t>
            </w:r>
            <w:r>
              <w:rPr>
                <w:rFonts w:eastAsia="EUAlbertina-Regular-Identity-H"/>
              </w:rPr>
              <w:t>»</w:t>
            </w:r>
            <w:r>
              <w:t xml:space="preserve"> mit einer Ausgangswellenlänge grösser als 1000 nm und kleiner/gleich 1100 nm und einer Ausgangsenergie je Puls grösser als 10 J.</w:t>
            </w:r>
          </w:p>
          <w:p>
            <w:pPr>
              <w:pStyle w:val="Tabkrper49pt"/>
            </w:pPr>
            <w:r>
              <w:rPr>
                <w:i/>
              </w:rPr>
              <w:t>Anmerkung</w:t>
            </w:r>
            <w:r>
              <w:t xml:space="preserve">: Diese Nummer erfasst nicht Neodym-dotierte (andere als Glas-) </w:t>
            </w:r>
            <w:r>
              <w:rPr>
                <w:rFonts w:eastAsia="EUAlbertina-Regular-Identity-H"/>
              </w:rPr>
              <w:t>«</w:t>
            </w:r>
            <w:r>
              <w:t>Laser</w:t>
            </w:r>
            <w:r>
              <w:rPr>
                <w:rFonts w:eastAsia="EUAlbertina-Regular-Identity-H"/>
              </w:rPr>
              <w:t>»</w:t>
            </w:r>
            <w:r>
              <w:t>, erfasst in Unternummer 6A005c2b.</w:t>
            </w:r>
          </w:p>
        </w:tc>
        <w:tc>
          <w:tcPr>
            <w:tcW w:w="1017" w:type="dxa"/>
            <w:gridSpan w:val="2"/>
          </w:tcPr>
          <w:p>
            <w:pPr>
              <w:pStyle w:val="Tabkrper49pt"/>
            </w:pPr>
            <w:r>
              <w:t>6A005c2</w:t>
            </w:r>
          </w:p>
        </w:tc>
      </w:tr>
      <w:tr>
        <w:tc>
          <w:tcPr>
            <w:tcW w:w="868" w:type="dxa"/>
            <w:gridSpan w:val="2"/>
          </w:tcPr>
          <w:p>
            <w:pPr>
              <w:pStyle w:val="Tabkrper49pt"/>
            </w:pPr>
            <w:r>
              <w:t xml:space="preserve">II.A6.009 </w:t>
            </w:r>
          </w:p>
        </w:tc>
        <w:tc>
          <w:tcPr>
            <w:tcW w:w="4239" w:type="dxa"/>
            <w:gridSpan w:val="2"/>
          </w:tcPr>
          <w:p>
            <w:pPr>
              <w:pStyle w:val="Tabkrper49pt"/>
            </w:pPr>
            <w:r>
              <w:t>Akustooptische Bestandteile wie folgt:</w:t>
            </w:r>
          </w:p>
          <w:p>
            <w:pPr>
              <w:pStyle w:val="Tab-Struktur149pt"/>
            </w:pPr>
            <w:r>
              <w:t>a)</w:t>
            </w:r>
            <w:r>
              <w:tab/>
              <w:t>Aufnahmeröhren und Halbleiter-Bildsensoren, die eine Bildwiederholungsfrequenz grösser/gleich 1 kHz erlauben;</w:t>
            </w:r>
          </w:p>
          <w:p>
            <w:pPr>
              <w:pStyle w:val="Tab-Struktur149pt"/>
            </w:pPr>
            <w:r>
              <w:t>b)</w:t>
            </w:r>
            <w:r>
              <w:tab/>
              <w:t>die Bildwiederholungsfrequenz bestimmendes Zubehör;</w:t>
            </w:r>
          </w:p>
          <w:p>
            <w:pPr>
              <w:pStyle w:val="Tab-Struktur149pt"/>
            </w:pPr>
            <w:r>
              <w:t>c)</w:t>
            </w:r>
            <w:r>
              <w:tab/>
              <w:t>Pockels-Zellen.</w:t>
            </w:r>
          </w:p>
        </w:tc>
        <w:tc>
          <w:tcPr>
            <w:tcW w:w="1017" w:type="dxa"/>
            <w:gridSpan w:val="2"/>
          </w:tcPr>
          <w:p>
            <w:pPr>
              <w:pStyle w:val="Tabkrper49pt"/>
            </w:pPr>
            <w:r>
              <w:t xml:space="preserve">6A203b4c </w:t>
            </w:r>
          </w:p>
        </w:tc>
      </w:tr>
      <w:tr>
        <w:tc>
          <w:tcPr>
            <w:tcW w:w="868" w:type="dxa"/>
            <w:gridSpan w:val="2"/>
          </w:tcPr>
          <w:p>
            <w:pPr>
              <w:pStyle w:val="Tabkrper49pt"/>
            </w:pPr>
            <w:r>
              <w:t xml:space="preserve">II.A6.010 </w:t>
            </w:r>
          </w:p>
        </w:tc>
        <w:tc>
          <w:tcPr>
            <w:tcW w:w="4239" w:type="dxa"/>
            <w:gridSpan w:val="2"/>
          </w:tcPr>
          <w:p>
            <w:pPr>
              <w:pStyle w:val="Tabkrper49pt"/>
            </w:pPr>
            <w:r>
              <w:t xml:space="preserve">Strahlungsfeste Kameras oder Linsen hierfür, soweit </w:t>
            </w:r>
            <w:r>
              <w:br/>
              <w:t>nicht in Unternummer 6A203c erfasst, besonders konstruiert oder ausgelegt als unempfindlich gegen Strahlungsbelastungen grösser als 50 × 10</w:t>
            </w:r>
            <w:r>
              <w:rPr>
                <w:position w:val="4"/>
                <w:sz w:val="13"/>
              </w:rPr>
              <w:t>3</w:t>
            </w:r>
            <w:r>
              <w:t xml:space="preserve"> Gy (Silizium)</w:t>
            </w:r>
            <w:r>
              <w:br/>
              <w:t>(5 × 10</w:t>
            </w:r>
            <w:r>
              <w:rPr>
                <w:position w:val="4"/>
                <w:sz w:val="13"/>
              </w:rPr>
              <w:t>6</w:t>
            </w:r>
            <w:r>
              <w:t xml:space="preserve"> Rad (Silizium)) ohne betriebsbedingten Qualitätsverlust.</w:t>
            </w:r>
          </w:p>
          <w:p>
            <w:pPr>
              <w:pStyle w:val="Tabkrper49pt"/>
            </w:pPr>
            <w:r>
              <w:rPr>
                <w:i/>
              </w:rPr>
              <w:t>Technische Anmerkung</w:t>
            </w:r>
            <w:r>
              <w:t xml:space="preserve">: Der Ausdruck Gy (Silizium) bezieht sich auf die in Joule pro Kilogramm ausgedrückte Energie, die von einer ionisierender Strahlung </w:t>
            </w:r>
            <w:r>
              <w:lastRenderedPageBreak/>
              <w:t>ausgesetzten Probe von nicht abgeschirmtem Silizium absorbiert wird.</w:t>
            </w:r>
          </w:p>
        </w:tc>
        <w:tc>
          <w:tcPr>
            <w:tcW w:w="1017" w:type="dxa"/>
            <w:gridSpan w:val="2"/>
          </w:tcPr>
          <w:p>
            <w:pPr>
              <w:pStyle w:val="Tabkrper49pt"/>
            </w:pPr>
            <w:r>
              <w:lastRenderedPageBreak/>
              <w:t xml:space="preserve">6A203c </w:t>
            </w:r>
          </w:p>
        </w:tc>
      </w:tr>
      <w:tr>
        <w:tc>
          <w:tcPr>
            <w:tcW w:w="868" w:type="dxa"/>
            <w:gridSpan w:val="2"/>
          </w:tcPr>
          <w:p>
            <w:pPr>
              <w:pStyle w:val="Tabkrper49pt"/>
            </w:pPr>
            <w:r>
              <w:t xml:space="preserve">II.A6.011 </w:t>
            </w:r>
          </w:p>
        </w:tc>
        <w:tc>
          <w:tcPr>
            <w:tcW w:w="4239" w:type="dxa"/>
            <w:gridSpan w:val="2"/>
          </w:tcPr>
          <w:p>
            <w:pPr>
              <w:pStyle w:val="Tabkrper49pt"/>
            </w:pPr>
            <w:r>
              <w:t>Abstimmbare, gepulste Farbstoff-(Dye-)Laserverstärker und -Oszillatoren mit allen folgenden Eigenschaften:</w:t>
            </w:r>
          </w:p>
          <w:p>
            <w:pPr>
              <w:pStyle w:val="Tab-Struktur149pt"/>
            </w:pPr>
            <w:r>
              <w:t>1.</w:t>
            </w:r>
            <w:r>
              <w:tab/>
              <w:t>einer Betriebswellenlänge grösser/gleich 300 nm und kleiner/gleich 800 nm;</w:t>
            </w:r>
          </w:p>
          <w:p>
            <w:pPr>
              <w:pStyle w:val="Tab-Struktur149pt"/>
            </w:pPr>
            <w:r>
              <w:t>2.</w:t>
            </w:r>
            <w:r>
              <w:tab/>
              <w:t>einer mittleren Ausgangsleistung grösser als 10 W und kleiner/gleich 30 W;</w:t>
            </w:r>
          </w:p>
          <w:p>
            <w:pPr>
              <w:pStyle w:val="Tab-Struktur149pt"/>
            </w:pPr>
            <w:r>
              <w:t>3.</w:t>
            </w:r>
            <w:r>
              <w:tab/>
              <w:t xml:space="preserve">Pulsfrequenz grösser als 1 kHz; und </w:t>
            </w:r>
          </w:p>
          <w:p>
            <w:pPr>
              <w:pStyle w:val="Tab-Struktur149pt"/>
            </w:pPr>
            <w:r>
              <w:t>4.</w:t>
            </w:r>
            <w:r>
              <w:tab/>
              <w:t>einer Pulsdauer kleiner als 100 ns.</w:t>
            </w:r>
          </w:p>
          <w:p>
            <w:pPr>
              <w:pStyle w:val="Tabkrper49pt"/>
              <w:rPr>
                <w:i/>
              </w:rPr>
            </w:pPr>
            <w:r>
              <w:rPr>
                <w:i/>
              </w:rPr>
              <w:t>Anmerkungen:</w:t>
            </w:r>
          </w:p>
          <w:p>
            <w:pPr>
              <w:pStyle w:val="Tab-Struktur149pt"/>
            </w:pPr>
            <w:r>
              <w:t>1.</w:t>
            </w:r>
            <w:r>
              <w:tab/>
              <w:t>Diese Nummer erfasst nicht Single-Mode-Oszillatoren.</w:t>
            </w:r>
          </w:p>
          <w:p>
            <w:pPr>
              <w:pStyle w:val="Tab-Struktur149pt"/>
            </w:pPr>
            <w:r>
              <w:t>2.</w:t>
            </w:r>
            <w:r>
              <w:tab/>
              <w:t>Diese Nummer erfasst nicht abstimmbare, gepulste Farbstoff-(Dye-)Laserverstärker und -Oszillatoren, erfasst in den Unternummern 6A205c und 0B001g5 sowie in Nummer 6A005.</w:t>
            </w:r>
          </w:p>
        </w:tc>
        <w:tc>
          <w:tcPr>
            <w:tcW w:w="1017" w:type="dxa"/>
            <w:gridSpan w:val="2"/>
          </w:tcPr>
          <w:p>
            <w:pPr>
              <w:pStyle w:val="Tabkrper49pt"/>
            </w:pPr>
            <w:r>
              <w:t xml:space="preserve">6A205c </w:t>
            </w:r>
          </w:p>
        </w:tc>
      </w:tr>
      <w:tr>
        <w:tc>
          <w:tcPr>
            <w:tcW w:w="868" w:type="dxa"/>
            <w:gridSpan w:val="2"/>
          </w:tcPr>
          <w:p>
            <w:pPr>
              <w:pStyle w:val="Tabkrper49pt"/>
            </w:pPr>
            <w:r>
              <w:t xml:space="preserve">II.A6.012 </w:t>
            </w:r>
          </w:p>
        </w:tc>
        <w:tc>
          <w:tcPr>
            <w:tcW w:w="4239" w:type="dxa"/>
            <w:gridSpan w:val="2"/>
          </w:tcPr>
          <w:p>
            <w:pPr>
              <w:pStyle w:val="Tabkrper49pt"/>
            </w:pPr>
            <w:r>
              <w:t>Gepulste CO</w:t>
            </w:r>
            <w:r>
              <w:rPr>
                <w:position w:val="-2"/>
                <w:sz w:val="13"/>
              </w:rPr>
              <w:t>2</w:t>
            </w:r>
            <w:r>
              <w:t xml:space="preserve"> -</w:t>
            </w:r>
            <w:r>
              <w:rPr>
                <w:rFonts w:eastAsia="EUAlbertina-Regular-Identity-H"/>
              </w:rPr>
              <w:t>«</w:t>
            </w:r>
            <w:r>
              <w:t>Laser</w:t>
            </w:r>
            <w:r>
              <w:rPr>
                <w:rFonts w:eastAsia="EUAlbertina-Regular-Identity-H"/>
              </w:rPr>
              <w:t>»</w:t>
            </w:r>
            <w:r>
              <w:t xml:space="preserve"> mit allen folgenden </w:t>
            </w:r>
            <w:r>
              <w:br/>
              <w:t>Eigenschaften:</w:t>
            </w:r>
          </w:p>
          <w:p>
            <w:pPr>
              <w:pStyle w:val="Tab-Struktur149pt"/>
            </w:pPr>
            <w:r>
              <w:t>1.</w:t>
            </w:r>
            <w:r>
              <w:tab/>
              <w:t>einer Betriebswellenlänge grösser/gleich 9000 nm und kleiner/gleich 11 000 nm;</w:t>
            </w:r>
          </w:p>
          <w:p>
            <w:pPr>
              <w:pStyle w:val="Tab-Struktur149pt"/>
            </w:pPr>
            <w:r>
              <w:t>2.</w:t>
            </w:r>
            <w:r>
              <w:tab/>
              <w:t>einer Pulsfrequenz grösser als 250 Hz;</w:t>
            </w:r>
          </w:p>
          <w:p>
            <w:pPr>
              <w:pStyle w:val="Tab-Struktur149pt"/>
            </w:pPr>
            <w:r>
              <w:t>3.</w:t>
            </w:r>
            <w:r>
              <w:tab/>
              <w:t>einer mittleren Ausgangsleistung grösser als 100 W und kleiner/gleich 500 W; und</w:t>
            </w:r>
          </w:p>
          <w:p>
            <w:pPr>
              <w:pStyle w:val="Tab-Struktur149pt"/>
            </w:pPr>
            <w:r>
              <w:t>4.</w:t>
            </w:r>
            <w:r>
              <w:tab/>
              <w:t>einer Pulsdauer kleiner als 200 ns.</w:t>
            </w:r>
          </w:p>
          <w:p>
            <w:pPr>
              <w:pStyle w:val="Tabkrper49pt"/>
              <w:rPr>
                <w:szCs w:val="18"/>
              </w:rPr>
            </w:pPr>
            <w:r>
              <w:rPr>
                <w:i/>
                <w:szCs w:val="18"/>
              </w:rPr>
              <w:t>Anmerkung</w:t>
            </w:r>
            <w:r>
              <w:rPr>
                <w:szCs w:val="18"/>
              </w:rPr>
              <w:t>: Diese Nummer erfasst nicht gepulste CO</w:t>
            </w:r>
            <w:r>
              <w:rPr>
                <w:position w:val="-2"/>
                <w:sz w:val="13"/>
              </w:rPr>
              <w:t>2</w:t>
            </w:r>
            <w:r>
              <w:rPr>
                <w:szCs w:val="18"/>
              </w:rPr>
              <w:t xml:space="preserve"> -Laserverstärker und -Oszillatoren, erfasst in den Unternummern 6A205d, 0B001h6 und 6A005d.</w:t>
            </w:r>
          </w:p>
        </w:tc>
        <w:tc>
          <w:tcPr>
            <w:tcW w:w="1017" w:type="dxa"/>
            <w:gridSpan w:val="2"/>
          </w:tcPr>
          <w:p>
            <w:pPr>
              <w:pStyle w:val="Tabkrper49pt"/>
            </w:pPr>
            <w:r>
              <w:t xml:space="preserve">6A205d </w:t>
            </w:r>
          </w:p>
        </w:tc>
      </w:tr>
      <w:tr>
        <w:tc>
          <w:tcPr>
            <w:tcW w:w="868" w:type="dxa"/>
            <w:gridSpan w:val="2"/>
          </w:tcPr>
          <w:p>
            <w:pPr>
              <w:pStyle w:val="Tabkrper49pt"/>
              <w:rPr>
                <w:szCs w:val="18"/>
              </w:rPr>
            </w:pPr>
            <w:r>
              <w:rPr>
                <w:szCs w:val="18"/>
              </w:rPr>
              <w:t>II.A6.013</w:t>
            </w:r>
          </w:p>
        </w:tc>
        <w:tc>
          <w:tcPr>
            <w:tcW w:w="4239" w:type="dxa"/>
            <w:gridSpan w:val="2"/>
          </w:tcPr>
          <w:p>
            <w:pPr>
              <w:pStyle w:val="Tabkrper49pt"/>
              <w:rPr>
                <w:szCs w:val="18"/>
              </w:rPr>
            </w:pPr>
            <w:r>
              <w:rPr>
                <w:szCs w:val="18"/>
              </w:rPr>
              <w:t>Kupferdampf-</w:t>
            </w:r>
            <w:r>
              <w:rPr>
                <w:rFonts w:eastAsia="EUAlbertina-Regular-Identity-H"/>
              </w:rPr>
              <w:t>«</w:t>
            </w:r>
            <w:r>
              <w:t>Laser</w:t>
            </w:r>
            <w:r>
              <w:rPr>
                <w:rFonts w:eastAsia="EUAlbertina-Regular-Identity-H"/>
              </w:rPr>
              <w:t>»</w:t>
            </w:r>
            <w:r>
              <w:t xml:space="preserve"> </w:t>
            </w:r>
            <w:r>
              <w:rPr>
                <w:szCs w:val="18"/>
              </w:rPr>
              <w:t xml:space="preserve"> mit allen folgenden Eigenschaften:</w:t>
            </w:r>
          </w:p>
          <w:p>
            <w:pPr>
              <w:pStyle w:val="Tab-Struktur149pt"/>
            </w:pPr>
            <w:r>
              <w:t>1.</w:t>
            </w:r>
            <w:r>
              <w:tab/>
              <w:t xml:space="preserve">Ausgangswellenlänge grösser/gleich 500 nm und kleiner/gleich 600 nm; und </w:t>
            </w:r>
          </w:p>
          <w:p>
            <w:pPr>
              <w:pStyle w:val="Tab-Struktur149pt"/>
            </w:pPr>
            <w:r>
              <w:t>2.</w:t>
            </w:r>
            <w:r>
              <w:tab/>
              <w:t>einer mittleren Ausgangsleistung grösser/gleich 15 W.</w:t>
            </w:r>
          </w:p>
        </w:tc>
        <w:tc>
          <w:tcPr>
            <w:tcW w:w="1017" w:type="dxa"/>
            <w:gridSpan w:val="2"/>
          </w:tcPr>
          <w:p>
            <w:pPr>
              <w:pStyle w:val="Tabkrper49pt"/>
              <w:rPr>
                <w:szCs w:val="18"/>
              </w:rPr>
            </w:pPr>
            <w:r>
              <w:rPr>
                <w:szCs w:val="18"/>
              </w:rPr>
              <w:t xml:space="preserve">6A005b </w:t>
            </w:r>
          </w:p>
        </w:tc>
      </w:tr>
      <w:tr>
        <w:tc>
          <w:tcPr>
            <w:tcW w:w="868" w:type="dxa"/>
            <w:gridSpan w:val="2"/>
          </w:tcPr>
          <w:p>
            <w:pPr>
              <w:pStyle w:val="Tabkrper49pt"/>
              <w:rPr>
                <w:szCs w:val="18"/>
              </w:rPr>
            </w:pPr>
            <w:r>
              <w:rPr>
                <w:szCs w:val="18"/>
              </w:rPr>
              <w:t>II.A6.014</w:t>
            </w:r>
          </w:p>
        </w:tc>
        <w:tc>
          <w:tcPr>
            <w:tcW w:w="4239" w:type="dxa"/>
            <w:gridSpan w:val="2"/>
          </w:tcPr>
          <w:p>
            <w:pPr>
              <w:pStyle w:val="Tabkrper49pt"/>
              <w:rPr>
                <w:szCs w:val="18"/>
              </w:rPr>
            </w:pPr>
            <w:r>
              <w:rPr>
                <w:szCs w:val="18"/>
              </w:rPr>
              <w:t>Gepulste CO-</w:t>
            </w:r>
            <w:r>
              <w:rPr>
                <w:rFonts w:eastAsia="EUAlbertina-Regular-Identity-H"/>
              </w:rPr>
              <w:t>«</w:t>
            </w:r>
            <w:r>
              <w:t>Laser</w:t>
            </w:r>
            <w:r>
              <w:rPr>
                <w:rFonts w:eastAsia="EUAlbertina-Regular-Identity-H"/>
              </w:rPr>
              <w:t>»</w:t>
            </w:r>
            <w:r>
              <w:t xml:space="preserve"> </w:t>
            </w:r>
            <w:r>
              <w:rPr>
                <w:szCs w:val="18"/>
              </w:rPr>
              <w:t xml:space="preserve"> mit allen folgenden Eigenschaften:</w:t>
            </w:r>
          </w:p>
          <w:p>
            <w:pPr>
              <w:pStyle w:val="Tab-Struktur149pt"/>
            </w:pPr>
            <w:r>
              <w:t>1.</w:t>
            </w:r>
            <w:r>
              <w:tab/>
              <w:t xml:space="preserve">Ausgangswellenlänge grösser/gleich 5000 nm und kleiner/gleich 6000 nm; </w:t>
            </w:r>
          </w:p>
          <w:p>
            <w:pPr>
              <w:pStyle w:val="Tab-Struktur149pt"/>
            </w:pPr>
            <w:r>
              <w:t>2.</w:t>
            </w:r>
            <w:r>
              <w:tab/>
              <w:t xml:space="preserve">Pulsfrequenz grösser als 250 Hz; </w:t>
            </w:r>
          </w:p>
          <w:p>
            <w:pPr>
              <w:pStyle w:val="Tab-Struktur149pt"/>
            </w:pPr>
            <w:r>
              <w:t>3.</w:t>
            </w:r>
            <w:r>
              <w:tab/>
              <w:t xml:space="preserve">mittlere Ausgangsleistung grösser als 100 W; und </w:t>
            </w:r>
          </w:p>
          <w:p>
            <w:pPr>
              <w:pStyle w:val="Tab-Struktur149pt"/>
            </w:pPr>
            <w:r>
              <w:lastRenderedPageBreak/>
              <w:t>4.</w:t>
            </w:r>
            <w:r>
              <w:tab/>
              <w:t xml:space="preserve">Pulsdauer kleiner als 200 ns. </w:t>
            </w:r>
          </w:p>
          <w:p>
            <w:pPr>
              <w:pStyle w:val="Tabkrper49pt"/>
              <w:rPr>
                <w:szCs w:val="18"/>
              </w:rPr>
            </w:pPr>
            <w:r>
              <w:rPr>
                <w:i/>
                <w:szCs w:val="18"/>
              </w:rPr>
              <w:t>Anmerkung:</w:t>
            </w:r>
            <w:r>
              <w:rPr>
                <w:szCs w:val="18"/>
              </w:rPr>
              <w:t xml:space="preserve"> Diese Nummer erfasst nicht industrielle Hochleistungs-CO-Laser (typischerweise 1-5 kW) für Anwendungen wie Schneiden und Schweissen, da es sich bei solchen Lasern um Dauerstrich-Laser oder um Laser handelt, deren Pulsdauer grösser ist als 200 ns.</w:t>
            </w:r>
          </w:p>
        </w:tc>
        <w:tc>
          <w:tcPr>
            <w:tcW w:w="1017" w:type="dxa"/>
            <w:gridSpan w:val="2"/>
          </w:tcPr>
          <w:p>
            <w:pPr>
              <w:pStyle w:val="Tabkrper49pt"/>
              <w:rPr>
                <w:szCs w:val="18"/>
              </w:rPr>
            </w:pPr>
          </w:p>
        </w:tc>
      </w:tr>
      <w:tr>
        <w:tc>
          <w:tcPr>
            <w:tcW w:w="868" w:type="dxa"/>
            <w:gridSpan w:val="2"/>
          </w:tcPr>
          <w:p>
            <w:pPr>
              <w:pStyle w:val="Tabkrper49pt"/>
              <w:rPr>
                <w:szCs w:val="18"/>
              </w:rPr>
            </w:pPr>
            <w:r>
              <w:rPr>
                <w:szCs w:val="18"/>
              </w:rPr>
              <w:t>II.A6.015</w:t>
            </w:r>
          </w:p>
        </w:tc>
        <w:tc>
          <w:tcPr>
            <w:tcW w:w="4239" w:type="dxa"/>
            <w:gridSpan w:val="2"/>
          </w:tcPr>
          <w:p>
            <w:pPr>
              <w:pStyle w:val="Tabkrper49pt"/>
              <w:rPr>
                <w:szCs w:val="18"/>
              </w:rPr>
            </w:pPr>
            <w:r>
              <w:rPr>
                <w:rFonts w:eastAsia="EUAlbertina-Regular-Identity-H"/>
              </w:rPr>
              <w:t>«</w:t>
            </w:r>
            <w:r>
              <w:rPr>
                <w:szCs w:val="18"/>
              </w:rPr>
              <w:t>Vakuum-Druckmesser</w:t>
            </w:r>
            <w:r>
              <w:rPr>
                <w:rFonts w:eastAsia="EUAlbertina-Regular-Identity-H"/>
              </w:rPr>
              <w:t>»</w:t>
            </w:r>
            <w:r>
              <w:rPr>
                <w:szCs w:val="18"/>
              </w:rPr>
              <w:t xml:space="preserve"> mit elektrischem Antrieb und </w:t>
            </w:r>
            <w:r>
              <w:rPr>
                <w:szCs w:val="18"/>
              </w:rPr>
              <w:br/>
              <w:t>eine Messgenauigkeit von 5 % oder weniger (besser).</w:t>
            </w:r>
          </w:p>
          <w:p>
            <w:pPr>
              <w:pStyle w:val="Tabkrper49pt"/>
              <w:rPr>
                <w:szCs w:val="18"/>
              </w:rPr>
            </w:pPr>
            <w:r>
              <w:rPr>
                <w:rFonts w:eastAsia="EUAlbertina-Regular-Identity-H"/>
              </w:rPr>
              <w:t>«</w:t>
            </w:r>
            <w:r>
              <w:rPr>
                <w:szCs w:val="18"/>
              </w:rPr>
              <w:t>Vakuum-Druckmesser</w:t>
            </w:r>
            <w:r>
              <w:rPr>
                <w:rFonts w:eastAsia="EUAlbertina-Regular-Identity-H"/>
              </w:rPr>
              <w:t>»</w:t>
            </w:r>
            <w:r>
              <w:rPr>
                <w:szCs w:val="18"/>
              </w:rPr>
              <w:t xml:space="preserve"> umfasst Pirani-Sensoren, </w:t>
            </w:r>
            <w:r>
              <w:rPr>
                <w:szCs w:val="18"/>
              </w:rPr>
              <w:br/>
              <w:t>Penning-Sensoren und Kapazitätsmanometer</w:t>
            </w:r>
          </w:p>
        </w:tc>
        <w:tc>
          <w:tcPr>
            <w:tcW w:w="1017" w:type="dxa"/>
            <w:gridSpan w:val="2"/>
          </w:tcPr>
          <w:p>
            <w:pPr>
              <w:pStyle w:val="Tabkrper49pt"/>
              <w:rPr>
                <w:szCs w:val="18"/>
              </w:rPr>
            </w:pPr>
            <w:r>
              <w:rPr>
                <w:szCs w:val="18"/>
              </w:rPr>
              <w:t>0B001b</w:t>
            </w:r>
          </w:p>
        </w:tc>
      </w:tr>
      <w:tr>
        <w:tc>
          <w:tcPr>
            <w:tcW w:w="868" w:type="dxa"/>
            <w:gridSpan w:val="2"/>
          </w:tcPr>
          <w:p>
            <w:pPr>
              <w:pStyle w:val="Tabkrper49pt"/>
              <w:rPr>
                <w:szCs w:val="18"/>
              </w:rPr>
            </w:pPr>
            <w:r>
              <w:rPr>
                <w:szCs w:val="18"/>
              </w:rPr>
              <w:t>II.A6.016</w:t>
            </w:r>
          </w:p>
        </w:tc>
        <w:tc>
          <w:tcPr>
            <w:tcW w:w="4239" w:type="dxa"/>
            <w:gridSpan w:val="2"/>
          </w:tcPr>
          <w:p>
            <w:pPr>
              <w:pStyle w:val="Tabkrper49pt"/>
              <w:rPr>
                <w:szCs w:val="18"/>
              </w:rPr>
            </w:pPr>
            <w:r>
              <w:rPr>
                <w:szCs w:val="18"/>
              </w:rPr>
              <w:t>Mikroskope und zugehörige Ausrüstungen und Detek</w:t>
            </w:r>
            <w:r>
              <w:rPr>
                <w:szCs w:val="18"/>
              </w:rPr>
              <w:softHyphen/>
              <w:t>toren, wie folgt:</w:t>
            </w:r>
          </w:p>
          <w:p>
            <w:pPr>
              <w:pStyle w:val="Tab-Struktur149pt"/>
            </w:pPr>
            <w:r>
              <w:t>a)</w:t>
            </w:r>
            <w:r>
              <w:tab/>
              <w:t xml:space="preserve">Rasterelektronenmikroskope; </w:t>
            </w:r>
          </w:p>
          <w:p>
            <w:pPr>
              <w:pStyle w:val="Tab-Struktur149pt"/>
            </w:pPr>
            <w:r>
              <w:t>b)</w:t>
            </w:r>
            <w:r>
              <w:tab/>
              <w:t xml:space="preserve">Raster-Augur-Mikroskope; </w:t>
            </w:r>
          </w:p>
          <w:p>
            <w:pPr>
              <w:pStyle w:val="Tab-Struktur149pt"/>
            </w:pPr>
            <w:r>
              <w:t>c)</w:t>
            </w:r>
            <w:r>
              <w:tab/>
              <w:t xml:space="preserve">Durchstrahlungs-Elektronenmikroskope; </w:t>
            </w:r>
          </w:p>
          <w:p>
            <w:pPr>
              <w:pStyle w:val="Tab-Struktur149pt"/>
            </w:pPr>
            <w:r>
              <w:t>d)</w:t>
            </w:r>
            <w:r>
              <w:tab/>
              <w:t xml:space="preserve">Atomkraftmikroskope; </w:t>
            </w:r>
          </w:p>
          <w:p>
            <w:pPr>
              <w:pStyle w:val="Tab-Struktur149pt"/>
            </w:pPr>
            <w:r>
              <w:t>e)</w:t>
            </w:r>
            <w:r>
              <w:tab/>
              <w:t xml:space="preserve">Rasterkraftmikroskope; </w:t>
            </w:r>
          </w:p>
          <w:p>
            <w:pPr>
              <w:pStyle w:val="Tab-Struktur149pt"/>
            </w:pPr>
            <w:r>
              <w:t>f)</w:t>
            </w:r>
            <w:r>
              <w:tab/>
              <w:t xml:space="preserve">Ausrüstung und Detektoren, besonders konstruiert zur Verwendung mit den in II.A6.013 a bis e erfassten Mikroskopen, für den Einsatz in der Werkstoffanalyse unter Verwendung folgender Techniken: </w:t>
            </w:r>
          </w:p>
          <w:p>
            <w:pPr>
              <w:pStyle w:val="Tab-Struktur209pt"/>
            </w:pPr>
            <w:r>
              <w:t>1.</w:t>
            </w:r>
            <w:r>
              <w:tab/>
              <w:t xml:space="preserve">Röntgenphotoelektronenspektroskopie (XPS); </w:t>
            </w:r>
          </w:p>
          <w:p>
            <w:pPr>
              <w:pStyle w:val="Tab-Struktur209pt"/>
            </w:pPr>
            <w:r>
              <w:t>2.</w:t>
            </w:r>
            <w:r>
              <w:tab/>
              <w:t xml:space="preserve">energiedispersive Röntgenspektroskopie (EDX,EDS); oder </w:t>
            </w:r>
          </w:p>
          <w:p>
            <w:pPr>
              <w:pStyle w:val="Tab-Struktur209pt"/>
              <w:rPr>
                <w:szCs w:val="18"/>
              </w:rPr>
            </w:pPr>
            <w:r>
              <w:t>3.</w:t>
            </w:r>
            <w:r>
              <w:tab/>
              <w:t>Elektronenspektroskopie für die chemische Analyse (ESCA).</w:t>
            </w:r>
          </w:p>
        </w:tc>
        <w:tc>
          <w:tcPr>
            <w:tcW w:w="1017" w:type="dxa"/>
            <w:gridSpan w:val="2"/>
          </w:tcPr>
          <w:p>
            <w:pPr>
              <w:pStyle w:val="Tabkrper49pt"/>
              <w:rPr>
                <w:szCs w:val="18"/>
              </w:rPr>
            </w:pPr>
            <w:r>
              <w:rPr>
                <w:szCs w:val="18"/>
              </w:rPr>
              <w:t>6B</w:t>
            </w:r>
          </w:p>
        </w:tc>
      </w:tr>
      <w:tr>
        <w:tc>
          <w:tcPr>
            <w:tcW w:w="6124" w:type="dxa"/>
            <w:gridSpan w:val="6"/>
          </w:tcPr>
          <w:p>
            <w:pPr>
              <w:pStyle w:val="Tab-Utit9pt-kurs"/>
            </w:pPr>
            <w:r>
              <w:t xml:space="preserve">A7. Navigation und Luftfahrtelektronik </w:t>
            </w:r>
          </w:p>
        </w:tc>
      </w:tr>
      <w:tr>
        <w:tc>
          <w:tcPr>
            <w:tcW w:w="868" w:type="dxa"/>
            <w:gridSpan w:val="2"/>
          </w:tcPr>
          <w:p>
            <w:pPr>
              <w:pStyle w:val="Tabkrper49pt"/>
              <w:rPr>
                <w:color w:val="19161B"/>
              </w:rPr>
            </w:pPr>
            <w:r>
              <w:t>II.A7.001</w:t>
            </w:r>
            <w:r>
              <w:rPr>
                <w:color w:val="19161B"/>
              </w:rPr>
              <w:t xml:space="preserve"> </w:t>
            </w:r>
          </w:p>
        </w:tc>
        <w:tc>
          <w:tcPr>
            <w:tcW w:w="4239" w:type="dxa"/>
            <w:gridSpan w:val="2"/>
          </w:tcPr>
          <w:p>
            <w:pPr>
              <w:pStyle w:val="Tabkrper49pt"/>
            </w:pPr>
            <w:r>
              <w:t>Trägheitsnavigationssysteme und besonders konstruierte Bestandteile hierfür wie folgt:</w:t>
            </w:r>
          </w:p>
          <w:p>
            <w:pPr>
              <w:pStyle w:val="Tab-Struktur149pt"/>
            </w:pPr>
            <w:r>
              <w:t>I.</w:t>
            </w:r>
            <w:r>
              <w:tab/>
              <w:t xml:space="preserve">Trägheitsnavigationssysteme, die für den Einsatz in </w:t>
            </w:r>
            <w:r>
              <w:rPr>
                <w:rFonts w:eastAsia="EUAlbertina-Regular-Identity-H"/>
              </w:rPr>
              <w:t>«</w:t>
            </w:r>
            <w:r>
              <w:t>zivilen Luftfahrzeugen</w:t>
            </w:r>
            <w:r>
              <w:rPr>
                <w:rFonts w:eastAsia="EUAlbertina-Regular-Identity-H"/>
              </w:rPr>
              <w:t>»</w:t>
            </w:r>
            <w:r>
              <w:t xml:space="preserve"> von einer Zivilluftfahrtbehörde in einem Mitgliedstaat des Wassenaar-Arrangements zugelassen sind, und besonders konstruierte Bestand</w:t>
            </w:r>
            <w:r>
              <w:softHyphen/>
              <w:t>teile wie folgt:</w:t>
            </w:r>
          </w:p>
          <w:p>
            <w:pPr>
              <w:pStyle w:val="Tab-Struktur229pt"/>
            </w:pPr>
            <w:r>
              <w:t>a)</w:t>
            </w:r>
            <w:r>
              <w:tab/>
              <w:t xml:space="preserve">Trägheitsnavigationssysteme (INS) (kardanisch oder strapdown) und Trägheitsgeräte, konstruiert für Lageregelung, Lenkung oder Steuerung von </w:t>
            </w:r>
            <w:r>
              <w:rPr>
                <w:rFonts w:eastAsia="EUAlbertina-Regular-Identity-H"/>
              </w:rPr>
              <w:t>«</w:t>
            </w:r>
            <w:r>
              <w:t>Luftfahrzeugen</w:t>
            </w:r>
            <w:r>
              <w:rPr>
                <w:rFonts w:eastAsia="EUAlbertina-Regular-Identity-H"/>
              </w:rPr>
              <w:t>»</w:t>
            </w:r>
            <w:r>
              <w:t xml:space="preserve">, (Über- oder Unterwasser-) Schiffen, Land- oder </w:t>
            </w:r>
            <w:r>
              <w:rPr>
                <w:rFonts w:eastAsia="EUAlbertina-Regular-Identity-H"/>
              </w:rPr>
              <w:t>«</w:t>
            </w:r>
            <w:r>
              <w:t>Raumfahrzeugen</w:t>
            </w:r>
            <w:r>
              <w:rPr>
                <w:rFonts w:eastAsia="EUAlbertina-Regular-Identity-H"/>
              </w:rPr>
              <w:t>»</w:t>
            </w:r>
            <w:r>
              <w:t xml:space="preserve">, mit einer der </w:t>
            </w:r>
            <w:r>
              <w:lastRenderedPageBreak/>
              <w:t>folgenden Eigenschaften und besonders konstruierte Bestand</w:t>
            </w:r>
            <w:r>
              <w:softHyphen/>
              <w:t>teile hierfür:</w:t>
            </w:r>
          </w:p>
          <w:p>
            <w:pPr>
              <w:pStyle w:val="Tab-Struktur309pt"/>
            </w:pPr>
            <w:r>
              <w:t>1.</w:t>
            </w:r>
            <w:r>
              <w:tab/>
              <w:t xml:space="preserve">Navigationsfehler (trägheitsfrei) kleiner (besser)/gleich 0,8 nautische Meilen/h </w:t>
            </w:r>
            <w:r>
              <w:rPr>
                <w:rFonts w:eastAsia="EUAlbertina-Regular-Identity-H"/>
              </w:rPr>
              <w:t>«</w:t>
            </w:r>
            <w:r>
              <w:t>Circular Error Probable</w:t>
            </w:r>
            <w:r>
              <w:rPr>
                <w:rFonts w:eastAsia="EUAlbertina-Regular-Identity-H"/>
              </w:rPr>
              <w:t>»</w:t>
            </w:r>
            <w:r>
              <w:t xml:space="preserve"> (CEP) nach normaler Ausrichtung; oder </w:t>
            </w:r>
          </w:p>
          <w:p>
            <w:pPr>
              <w:pStyle w:val="Tab-Struktur309pt"/>
            </w:pPr>
            <w:r>
              <w:t>2.</w:t>
            </w:r>
            <w:r>
              <w:tab/>
              <w:t>spezifiziert zum Betrieb bei linearen Beschleunigungswerten grösser als 10 g;</w:t>
            </w:r>
          </w:p>
          <w:p>
            <w:pPr>
              <w:pStyle w:val="Tab-Struktur229pt"/>
            </w:pPr>
            <w:r>
              <w:t>b)</w:t>
            </w:r>
            <w:r>
              <w:tab/>
              <w:t xml:space="preserve">Hybride Trägheitsnavigationssysteme mit einem integrierten weltweiten Satelliten-Navigationssystem (GNSS) oder </w:t>
            </w:r>
            <w:r>
              <w:rPr>
                <w:rFonts w:eastAsia="EUAlbertina-Regular-Identity-H"/>
              </w:rPr>
              <w:t>«</w:t>
            </w:r>
            <w:r>
              <w:t>Datenbankgestützten Navigationssystem</w:t>
            </w:r>
            <w:r>
              <w:rPr>
                <w:rFonts w:eastAsia="EUAlbertina-Regular-Identity-H"/>
              </w:rPr>
              <w:t>»</w:t>
            </w:r>
            <w:r>
              <w:t xml:space="preserve"> (</w:t>
            </w:r>
            <w:r>
              <w:rPr>
                <w:rFonts w:eastAsia="EUAlbertina-Regular-Identity-H"/>
              </w:rPr>
              <w:t>«</w:t>
            </w:r>
            <w:r>
              <w:t>DBRN</w:t>
            </w:r>
            <w:r>
              <w:rPr>
                <w:rFonts w:eastAsia="EUAlbertina-Regular-Identity-H"/>
              </w:rPr>
              <w:t>»</w:t>
            </w:r>
            <w:r>
              <w:t xml:space="preserve">) zur Lageregelung, Lenkung oder Steuerung, nach normaler Ausrichtung, mit einer Positionsgenauigkeit des INS, nach Ausfall des GNSS oder des </w:t>
            </w:r>
            <w:r>
              <w:rPr>
                <w:rFonts w:eastAsia="EUAlbertina-Regular-Identity-H"/>
              </w:rPr>
              <w:t>«</w:t>
            </w:r>
            <w:r>
              <w:t>DBRN</w:t>
            </w:r>
            <w:r>
              <w:rPr>
                <w:rFonts w:eastAsia="EUAlbertina-Regular-Identity-H"/>
              </w:rPr>
              <w:t>»</w:t>
            </w:r>
            <w:r>
              <w:t xml:space="preserve"> von bis zu vier Minuten Dauer, von kleiner (besser) als 10 m </w:t>
            </w:r>
            <w:r>
              <w:rPr>
                <w:rFonts w:eastAsia="EUAlbertina-Regular-Identity-H"/>
              </w:rPr>
              <w:t>«</w:t>
            </w:r>
            <w:r>
              <w:t>Circular Error Probable</w:t>
            </w:r>
            <w:r>
              <w:rPr>
                <w:rFonts w:eastAsia="EUAlbertina-Regular-Identity-H"/>
              </w:rPr>
              <w:t>»</w:t>
            </w:r>
            <w:r>
              <w:t xml:space="preserve"> (CEP);</w:t>
            </w:r>
          </w:p>
          <w:p>
            <w:pPr>
              <w:pStyle w:val="Tab-Struktur229pt"/>
            </w:pPr>
            <w:r>
              <w:t>c)</w:t>
            </w:r>
            <w:r>
              <w:tab/>
              <w:t>Trägheitsgeräte für Azimut, Kurs oder Nordweisung mit einer der folgenden Eigenschaften und besonders konstruierte Bestandteile hierfür:</w:t>
            </w:r>
          </w:p>
          <w:p>
            <w:pPr>
              <w:pStyle w:val="Tab-Struktur309pt"/>
            </w:pPr>
            <w:r>
              <w:t>1.</w:t>
            </w:r>
            <w:r>
              <w:tab/>
              <w:t xml:space="preserve">konstruiert für eine Azimut-, Kurs- oder Nordweisungsgenauigkeit kleiner (besser)/gleich 6 Bogenminuten (rms) bei 45 Grad geografischer Breite; oder </w:t>
            </w:r>
          </w:p>
          <w:p>
            <w:pPr>
              <w:pStyle w:val="Tab-Struktur309pt"/>
            </w:pPr>
            <w:r>
              <w:t>2.</w:t>
            </w:r>
            <w:r>
              <w:tab/>
              <w:t>konstruiert für Nicht-Betriebs-Schockwerte (non-operating shock level) von grösser/ gleich 900 g über eine Zeitdauer von grösser/gleich 1 ms.</w:t>
            </w:r>
          </w:p>
          <w:p>
            <w:pPr>
              <w:pStyle w:val="Tabkrper49pt"/>
            </w:pPr>
            <w:r>
              <w:rPr>
                <w:i/>
              </w:rPr>
              <w:t>Anmerkung</w:t>
            </w:r>
            <w:r>
              <w:t>: Die in den Unternummern I.a und I.b genannten Parameter müssen unter einer der folgenden Umgebungsbedingungen eingehalten werden:</w:t>
            </w:r>
          </w:p>
          <w:p>
            <w:pPr>
              <w:pStyle w:val="Tab-Struktur229pt"/>
            </w:pPr>
            <w:r>
              <w:t>1.</w:t>
            </w:r>
            <w:r>
              <w:tab/>
              <w:t>Zufallsverteilte Vibration (input random vibration) mit einer Gesamtstärke von 7,7 g rms in der ersten halben Stunde und einer Gesamttestzeit von 1,5 Stunden in allen drei Achsen mit folgenden Schwingungseigenschaften:</w:t>
            </w:r>
          </w:p>
          <w:p>
            <w:pPr>
              <w:pStyle w:val="Tab-Struktur309pt"/>
            </w:pPr>
            <w:r>
              <w:t>a)</w:t>
            </w:r>
            <w:r>
              <w:tab/>
              <w:t>spektrale Leistungsdichte (power spectral density, PSD) von 0,04 g</w:t>
            </w:r>
            <w:r>
              <w:rPr>
                <w:position w:val="4"/>
                <w:sz w:val="13"/>
              </w:rPr>
              <w:t>2</w:t>
            </w:r>
            <w:r>
              <w:t xml:space="preserve">/Hz im Frequenzbereich 15 Hz bis 1000 Hz; und </w:t>
            </w:r>
          </w:p>
          <w:p>
            <w:pPr>
              <w:pStyle w:val="Tab-Struktur309pt"/>
            </w:pPr>
            <w:r>
              <w:t>b)</w:t>
            </w:r>
            <w:r>
              <w:tab/>
              <w:t>spektrale Leistungsdichte von 0,04 g</w:t>
            </w:r>
            <w:r>
              <w:rPr>
                <w:position w:val="4"/>
                <w:sz w:val="13"/>
              </w:rPr>
              <w:t>2</w:t>
            </w:r>
            <w:r>
              <w:t>/Hz bei 1000 Hz auf 0,01 g 2 /Hz bei 2000 Hz abfallend;</w:t>
            </w:r>
          </w:p>
          <w:p>
            <w:pPr>
              <w:pStyle w:val="Tab-Struktur229pt"/>
            </w:pPr>
            <w:r>
              <w:t>2.</w:t>
            </w:r>
            <w:r>
              <w:tab/>
              <w:t xml:space="preserve">Roll- und Gierrate grösser/gleich +2,62 rad/s (150°/s); oder </w:t>
            </w:r>
          </w:p>
          <w:p>
            <w:pPr>
              <w:pStyle w:val="Tab-Struktur229pt"/>
            </w:pPr>
            <w:r>
              <w:lastRenderedPageBreak/>
              <w:t>3.</w:t>
            </w:r>
            <w:r>
              <w:tab/>
              <w:t>Nationale Prüfbedingungen äquivalent den in den Unternummern 1 und 2 beschriebenen Bedingungen.</w:t>
            </w:r>
          </w:p>
          <w:p>
            <w:pPr>
              <w:pStyle w:val="Tabkrper49pt"/>
              <w:rPr>
                <w:i/>
              </w:rPr>
            </w:pPr>
            <w:r>
              <w:rPr>
                <w:i/>
              </w:rPr>
              <w:t>Technische Anmerkungen:</w:t>
            </w:r>
          </w:p>
          <w:p>
            <w:pPr>
              <w:pStyle w:val="Tab-Struktur229pt"/>
            </w:pPr>
            <w:r>
              <w:t>1.</w:t>
            </w:r>
            <w:r>
              <w:tab/>
              <w:t>Unternummer I.b bezieht sich auf Systeme, in denen ein INS und andere unabhängige Hilfsnavigationseinrichtungen in eine Einheit integriert sind, um eine Leistungssteigerung zu erreichen.</w:t>
            </w:r>
          </w:p>
          <w:p>
            <w:pPr>
              <w:pStyle w:val="Tab-Struktur229pt"/>
            </w:pPr>
            <w:r>
              <w:t>2.</w:t>
            </w:r>
            <w:r>
              <w:tab/>
            </w:r>
            <w:r>
              <w:rPr>
                <w:rFonts w:eastAsia="EUAlbertina-Regular-Identity-H"/>
              </w:rPr>
              <w:t>«</w:t>
            </w:r>
            <w:r>
              <w:t>Circular Error Probable</w:t>
            </w:r>
            <w:r>
              <w:rPr>
                <w:rFonts w:eastAsia="EUAlbertina-Regular-Identity-H"/>
              </w:rPr>
              <w:t>»</w:t>
            </w:r>
            <w:r>
              <w:t xml:space="preserve"> (CEP) bezeichnet innerhalb einer kreisförmigen Normalverteilung den </w:t>
            </w:r>
            <w:r>
              <w:br/>
              <w:t>Radius des Kreises, der 50 % der einzelnen durchgeführten Messungen enthält, oder den Radius des Kreises, in dem eine 50 %-Wahrscheinlichkeit des Vorhandenseins besteht.</w:t>
            </w:r>
          </w:p>
          <w:p>
            <w:pPr>
              <w:pStyle w:val="Tab-Struktur149pt"/>
            </w:pPr>
            <w:r>
              <w:t>II.</w:t>
            </w:r>
            <w:r>
              <w:tab/>
              <w:t>Theodolitensysteme mit eingebauten Trägheitsgeräten, die besonders konstruiert sind für zivile Überwachungszwecke und konstruiert für eine Azimut-, Kurs- oder Nordweisungsgenauigkeit kleiner (besser)/gleich 6 Bogenminuten (rms) bei 45 Grad geografischer Breite, und besonders konstruierte Bestandteile hierfür.</w:t>
            </w:r>
          </w:p>
          <w:p>
            <w:pPr>
              <w:pStyle w:val="Tab-Struktur149pt"/>
              <w:rPr>
                <w:color w:val="19161B"/>
              </w:rPr>
            </w:pPr>
            <w:r>
              <w:t>III.</w:t>
            </w:r>
            <w:r>
              <w:tab/>
              <w:t xml:space="preserve">Trägheitsgeräte oder sonstige Geräte, die in Nummer 7A001 oder 7A101 erfasste Beschleunigungsmesser enthalten, sofern diese Beschleunigungsmesser für </w:t>
            </w:r>
            <w:r>
              <w:br/>
              <w:t>Arbeiten an Bohrlöchern bestimmt und als MWD-(Measurement While Drilling-)Sensoren zur Messung während des Bohrvorgangs besonders konstruiert sind.</w:t>
            </w:r>
          </w:p>
        </w:tc>
        <w:tc>
          <w:tcPr>
            <w:tcW w:w="1017" w:type="dxa"/>
            <w:gridSpan w:val="2"/>
          </w:tcPr>
          <w:p>
            <w:pPr>
              <w:pStyle w:val="Tabkrper49pt"/>
            </w:pPr>
            <w:r>
              <w:lastRenderedPageBreak/>
              <w:t>7A003</w:t>
            </w:r>
          </w:p>
          <w:p>
            <w:pPr>
              <w:pStyle w:val="Tabkrper49pt"/>
            </w:pPr>
            <w:r>
              <w:t>7A103</w:t>
            </w:r>
          </w:p>
        </w:tc>
      </w:tr>
      <w:tr>
        <w:tc>
          <w:tcPr>
            <w:tcW w:w="868" w:type="dxa"/>
            <w:gridSpan w:val="2"/>
          </w:tcPr>
          <w:p>
            <w:pPr>
              <w:pStyle w:val="Tabkrper49pt"/>
            </w:pPr>
            <w:r>
              <w:rPr>
                <w:szCs w:val="18"/>
              </w:rPr>
              <w:lastRenderedPageBreak/>
              <w:t>II.A7.002</w:t>
            </w:r>
          </w:p>
        </w:tc>
        <w:tc>
          <w:tcPr>
            <w:tcW w:w="4239" w:type="dxa"/>
            <w:gridSpan w:val="2"/>
          </w:tcPr>
          <w:p>
            <w:pPr>
              <w:pStyle w:val="Tabkrper49pt"/>
            </w:pPr>
            <w:r>
              <w:rPr>
                <w:szCs w:val="18"/>
              </w:rPr>
              <w:t>Beschleunigungsmesser mit piezoelektrischem Keramikmesswandler, mit einer Empfindlichkeit von 1000 mV/g oder besser (höher)</w:t>
            </w:r>
          </w:p>
        </w:tc>
        <w:tc>
          <w:tcPr>
            <w:tcW w:w="1017" w:type="dxa"/>
            <w:gridSpan w:val="2"/>
          </w:tcPr>
          <w:p>
            <w:pPr>
              <w:pStyle w:val="Tabkrper49pt"/>
            </w:pPr>
            <w:r>
              <w:rPr>
                <w:szCs w:val="18"/>
              </w:rPr>
              <w:t>7A001</w:t>
            </w:r>
          </w:p>
        </w:tc>
      </w:tr>
      <w:tr>
        <w:tc>
          <w:tcPr>
            <w:tcW w:w="6124" w:type="dxa"/>
            <w:gridSpan w:val="6"/>
          </w:tcPr>
          <w:p>
            <w:pPr>
              <w:pStyle w:val="Tab-Utit9pt-kurs"/>
            </w:pPr>
            <w:r>
              <w:t>A9. Luftfahrt, Raumfahrt und Antriebe</w:t>
            </w:r>
          </w:p>
        </w:tc>
      </w:tr>
      <w:tr>
        <w:tc>
          <w:tcPr>
            <w:tcW w:w="868" w:type="dxa"/>
            <w:gridSpan w:val="2"/>
          </w:tcPr>
          <w:p>
            <w:pPr>
              <w:pStyle w:val="Tabkrper49pt"/>
            </w:pPr>
            <w:r>
              <w:t xml:space="preserve">II.A9.001 </w:t>
            </w:r>
          </w:p>
        </w:tc>
        <w:tc>
          <w:tcPr>
            <w:tcW w:w="4239" w:type="dxa"/>
            <w:gridSpan w:val="2"/>
          </w:tcPr>
          <w:p>
            <w:pPr>
              <w:pStyle w:val="Tabkrper49pt"/>
            </w:pPr>
            <w:r>
              <w:t>Sprengbolzen.</w:t>
            </w:r>
          </w:p>
        </w:tc>
        <w:tc>
          <w:tcPr>
            <w:tcW w:w="1017" w:type="dxa"/>
            <w:gridSpan w:val="2"/>
          </w:tcPr>
          <w:p>
            <w:pPr>
              <w:pStyle w:val="Tabkrper49pt"/>
            </w:pPr>
          </w:p>
        </w:tc>
      </w:tr>
      <w:tr>
        <w:tc>
          <w:tcPr>
            <w:tcW w:w="868" w:type="dxa"/>
            <w:gridSpan w:val="2"/>
          </w:tcPr>
          <w:p>
            <w:pPr>
              <w:pStyle w:val="Tabkrper49pt"/>
            </w:pPr>
            <w:r>
              <w:rPr>
                <w:szCs w:val="18"/>
              </w:rPr>
              <w:t>II.A9.002</w:t>
            </w:r>
          </w:p>
        </w:tc>
        <w:tc>
          <w:tcPr>
            <w:tcW w:w="4239" w:type="dxa"/>
            <w:gridSpan w:val="2"/>
          </w:tcPr>
          <w:p>
            <w:pPr>
              <w:pStyle w:val="Tabkrper49pt"/>
              <w:rPr>
                <w:szCs w:val="18"/>
              </w:rPr>
            </w:pPr>
            <w:r>
              <w:rPr>
                <w:rFonts w:eastAsia="EUAlbertina-Regular-Identity-H"/>
              </w:rPr>
              <w:t>«</w:t>
            </w:r>
            <w:r>
              <w:rPr>
                <w:szCs w:val="18"/>
              </w:rPr>
              <w:t>Kraftmessdosen</w:t>
            </w:r>
            <w:r>
              <w:rPr>
                <w:rFonts w:eastAsia="EUAlbertina-Regular-Identity-H"/>
              </w:rPr>
              <w:t>»</w:t>
            </w:r>
            <w:r>
              <w:rPr>
                <w:szCs w:val="18"/>
              </w:rPr>
              <w:t xml:space="preserve">, geeignet zum Messen der Schubkraft von Raketenmotoren, mit einer Messkapazität von mehr als 30 kN. </w:t>
            </w:r>
          </w:p>
          <w:p>
            <w:pPr>
              <w:pStyle w:val="Tabkrper49pt"/>
              <w:rPr>
                <w:szCs w:val="18"/>
              </w:rPr>
            </w:pPr>
            <w:r>
              <w:rPr>
                <w:i/>
                <w:szCs w:val="18"/>
              </w:rPr>
              <w:t>Technische Anmerkung</w:t>
            </w:r>
            <w:r>
              <w:rPr>
                <w:szCs w:val="18"/>
              </w:rPr>
              <w:t xml:space="preserve">: </w:t>
            </w:r>
            <w:r>
              <w:rPr>
                <w:rFonts w:eastAsia="EUAlbertina-Regular-Identity-H"/>
              </w:rPr>
              <w:t>«</w:t>
            </w:r>
            <w:r>
              <w:rPr>
                <w:szCs w:val="18"/>
              </w:rPr>
              <w:t>Kraftmessdosen</w:t>
            </w:r>
            <w:r>
              <w:rPr>
                <w:rFonts w:eastAsia="EUAlbertina-Regular-Identity-H"/>
              </w:rPr>
              <w:t>»</w:t>
            </w:r>
            <w:r>
              <w:rPr>
                <w:szCs w:val="18"/>
              </w:rPr>
              <w:t xml:space="preserve"> bezeichnet Geräte und Wandler zum Messen von Spann- und Kompressionskraft.</w:t>
            </w:r>
          </w:p>
          <w:p>
            <w:pPr>
              <w:pStyle w:val="Tabkrper49pt"/>
            </w:pPr>
            <w:r>
              <w:rPr>
                <w:i/>
                <w:szCs w:val="18"/>
              </w:rPr>
              <w:t xml:space="preserve">Anmerkung: </w:t>
            </w:r>
            <w:r>
              <w:rPr>
                <w:szCs w:val="18"/>
              </w:rPr>
              <w:t>Die Nummer II.A9.002 erfasst nicht Aus</w:t>
            </w:r>
            <w:r>
              <w:rPr>
                <w:szCs w:val="18"/>
              </w:rPr>
              <w:softHyphen/>
              <w:t>rüstung, Geräte oder Wandler, besonders konstruiert zum Wiegen von Fahrzeugen, z. B. Brückenwaagen.</w:t>
            </w:r>
          </w:p>
        </w:tc>
        <w:tc>
          <w:tcPr>
            <w:tcW w:w="1017" w:type="dxa"/>
            <w:gridSpan w:val="2"/>
          </w:tcPr>
          <w:p>
            <w:pPr>
              <w:pStyle w:val="Tabkrper49pt"/>
            </w:pPr>
            <w:r>
              <w:rPr>
                <w:szCs w:val="18"/>
              </w:rPr>
              <w:t>9B117</w:t>
            </w:r>
          </w:p>
        </w:tc>
      </w:tr>
      <w:tr>
        <w:tc>
          <w:tcPr>
            <w:tcW w:w="868" w:type="dxa"/>
            <w:gridSpan w:val="2"/>
          </w:tcPr>
          <w:p>
            <w:pPr>
              <w:pStyle w:val="Tabkrper49pt"/>
            </w:pPr>
            <w:r>
              <w:rPr>
                <w:szCs w:val="18"/>
              </w:rPr>
              <w:lastRenderedPageBreak/>
              <w:t>II.A9.003</w:t>
            </w:r>
          </w:p>
        </w:tc>
        <w:tc>
          <w:tcPr>
            <w:tcW w:w="4239" w:type="dxa"/>
            <w:gridSpan w:val="2"/>
          </w:tcPr>
          <w:p>
            <w:pPr>
              <w:pStyle w:val="Tabkrper49pt"/>
              <w:rPr>
                <w:szCs w:val="18"/>
              </w:rPr>
            </w:pPr>
            <w:r>
              <w:rPr>
                <w:szCs w:val="18"/>
              </w:rPr>
              <w:t xml:space="preserve">Gasturbinen zur Stromerzeugung, Bauteile und </w:t>
            </w:r>
            <w:r>
              <w:rPr>
                <w:szCs w:val="18"/>
              </w:rPr>
              <w:br/>
              <w:t xml:space="preserve">zugehörige Ausrüstung wie folgt: </w:t>
            </w:r>
          </w:p>
          <w:p>
            <w:pPr>
              <w:pStyle w:val="Tab-Struktur149pt"/>
            </w:pPr>
            <w:r>
              <w:t>a)</w:t>
            </w:r>
            <w:r>
              <w:tab/>
              <w:t xml:space="preserve">Gasturbinen besonders konstruiert zur Stromerzeugung, mit einer Leistung von mehr als 200 MW; </w:t>
            </w:r>
          </w:p>
          <w:p>
            <w:pPr>
              <w:pStyle w:val="Tab-Struktur149pt"/>
            </w:pPr>
            <w:r>
              <w:t>b)</w:t>
            </w:r>
            <w:r>
              <w:tab/>
              <w:t>Schaufeln, Statoren, Brennkammern und Einspritz</w:t>
            </w:r>
            <w:r>
              <w:softHyphen/>
              <w:t>düsen, besonders konstruiert für von Nummer II.A9.003.a erfasste Gasturbinen zur Stromerzeugung;</w:t>
            </w:r>
          </w:p>
          <w:p>
            <w:pPr>
              <w:pStyle w:val="Tabkrper49pt"/>
            </w:pPr>
            <w:r>
              <w:t xml:space="preserve">c) Ausrüstung besonders konstruiert für die </w:t>
            </w:r>
            <w:r>
              <w:rPr>
                <w:rFonts w:eastAsia="EUAlbertina-Regular-Identity-H"/>
              </w:rPr>
              <w:t>«</w:t>
            </w:r>
            <w:r>
              <w:t>Entwicklung</w:t>
            </w:r>
            <w:r>
              <w:rPr>
                <w:rFonts w:eastAsia="EUAlbertina-Regular-Identity-H"/>
              </w:rPr>
              <w:t>»</w:t>
            </w:r>
            <w:r>
              <w:t xml:space="preserve"> und </w:t>
            </w:r>
            <w:r>
              <w:rPr>
                <w:rFonts w:eastAsia="EUAlbertina-Regular-Identity-H"/>
              </w:rPr>
              <w:t>«</w:t>
            </w:r>
            <w:r>
              <w:t>Herstellung</w:t>
            </w:r>
            <w:r>
              <w:rPr>
                <w:rFonts w:eastAsia="EUAlbertina-Regular-Identity-H"/>
              </w:rPr>
              <w:t>»</w:t>
            </w:r>
            <w:r>
              <w:t xml:space="preserve"> von von Nummer II.A9.003.a erfassten Gasturbinen zur Stromerzeugung.</w:t>
            </w:r>
          </w:p>
        </w:tc>
        <w:tc>
          <w:tcPr>
            <w:tcW w:w="1017" w:type="dxa"/>
            <w:gridSpan w:val="2"/>
          </w:tcPr>
          <w:p>
            <w:pPr>
              <w:pStyle w:val="Tabkrper49pt"/>
              <w:rPr>
                <w:szCs w:val="18"/>
              </w:rPr>
            </w:pPr>
            <w:r>
              <w:rPr>
                <w:szCs w:val="18"/>
              </w:rPr>
              <w:t>9A001</w:t>
            </w:r>
          </w:p>
          <w:p>
            <w:pPr>
              <w:pStyle w:val="Tabkrper49pt"/>
              <w:rPr>
                <w:szCs w:val="18"/>
              </w:rPr>
            </w:pPr>
            <w:r>
              <w:rPr>
                <w:szCs w:val="18"/>
              </w:rPr>
              <w:t>9A002</w:t>
            </w:r>
          </w:p>
          <w:p>
            <w:pPr>
              <w:pStyle w:val="Tabkrper49pt"/>
              <w:rPr>
                <w:szCs w:val="18"/>
              </w:rPr>
            </w:pPr>
            <w:r>
              <w:rPr>
                <w:szCs w:val="18"/>
              </w:rPr>
              <w:t>9A003</w:t>
            </w:r>
          </w:p>
          <w:p>
            <w:pPr>
              <w:pStyle w:val="Tabkrper49pt"/>
              <w:rPr>
                <w:szCs w:val="18"/>
              </w:rPr>
            </w:pPr>
            <w:r>
              <w:rPr>
                <w:szCs w:val="18"/>
              </w:rPr>
              <w:t>9B001</w:t>
            </w:r>
          </w:p>
          <w:p>
            <w:pPr>
              <w:pStyle w:val="Tabkrper49pt"/>
              <w:rPr>
                <w:szCs w:val="18"/>
              </w:rPr>
            </w:pPr>
            <w:r>
              <w:rPr>
                <w:szCs w:val="18"/>
              </w:rPr>
              <w:t>9B003</w:t>
            </w:r>
          </w:p>
          <w:p>
            <w:pPr>
              <w:pStyle w:val="Tabkrper49pt"/>
            </w:pPr>
            <w:r>
              <w:rPr>
                <w:szCs w:val="18"/>
              </w:rPr>
              <w:t>9B004</w:t>
            </w:r>
          </w:p>
        </w:tc>
      </w:tr>
      <w:tr>
        <w:tc>
          <w:tcPr>
            <w:tcW w:w="868" w:type="dxa"/>
            <w:gridSpan w:val="2"/>
            <w:tcBorders>
              <w:bottom w:val="single" w:sz="6" w:space="0" w:color="000000"/>
            </w:tcBorders>
          </w:tcPr>
          <w:p>
            <w:pPr>
              <w:pStyle w:val="Tababstandnach"/>
            </w:pPr>
          </w:p>
        </w:tc>
        <w:tc>
          <w:tcPr>
            <w:tcW w:w="4239" w:type="dxa"/>
            <w:gridSpan w:val="2"/>
            <w:tcBorders>
              <w:bottom w:val="single" w:sz="6" w:space="0" w:color="000000"/>
            </w:tcBorders>
          </w:tcPr>
          <w:p>
            <w:pPr>
              <w:pStyle w:val="Tababstandnach"/>
            </w:pPr>
          </w:p>
        </w:tc>
        <w:tc>
          <w:tcPr>
            <w:tcW w:w="1017" w:type="dxa"/>
            <w:gridSpan w:val="2"/>
            <w:tcBorders>
              <w:bottom w:val="single" w:sz="6" w:space="0" w:color="000000"/>
            </w:tcBorders>
          </w:tcPr>
          <w:p>
            <w:pPr>
              <w:pStyle w:val="Tababstandnach"/>
            </w:pPr>
          </w:p>
        </w:tc>
      </w:tr>
    </w:tbl>
    <w:p>
      <w:pPr>
        <w:pStyle w:val="Abstand18pt"/>
      </w:pPr>
    </w:p>
    <w:p>
      <w:pPr>
        <w:pStyle w:val="Abstand18pt"/>
      </w:pPr>
    </w:p>
    <w:p>
      <w:pPr>
        <w:pStyle w:val="TitelAnh1"/>
      </w:pPr>
      <w:r>
        <w:t>C. Sonstige Technologie und Software</w:t>
      </w:r>
    </w:p>
    <w:p>
      <w:pPr>
        <w:pStyle w:val="Abstand4pt"/>
      </w:pPr>
    </w:p>
    <w:p>
      <w:pPr>
        <w:pStyle w:val="Abstand4pt"/>
      </w:pPr>
    </w:p>
    <w:tbl>
      <w:tblPr>
        <w:tblW w:w="0" w:type="auto"/>
        <w:tblInd w:w="8" w:type="dxa"/>
        <w:tblLayout w:type="fixed"/>
        <w:tblCellMar>
          <w:left w:w="0" w:type="dxa"/>
          <w:right w:w="0" w:type="dxa"/>
        </w:tblCellMar>
        <w:tblLook w:val="0000" w:firstRow="0" w:lastRow="0" w:firstColumn="0" w:lastColumn="0" w:noHBand="0" w:noVBand="0"/>
      </w:tblPr>
      <w:tblGrid>
        <w:gridCol w:w="843"/>
        <w:gridCol w:w="4252"/>
        <w:gridCol w:w="1020"/>
      </w:tblGrid>
      <w:tr>
        <w:tc>
          <w:tcPr>
            <w:tcW w:w="843" w:type="dxa"/>
            <w:tcBorders>
              <w:top w:val="single" w:sz="6" w:space="0" w:color="000000"/>
              <w:bottom w:val="single" w:sz="6" w:space="0" w:color="000000"/>
            </w:tcBorders>
          </w:tcPr>
          <w:p>
            <w:pPr>
              <w:pStyle w:val="TabellenkopfN"/>
            </w:pPr>
            <w:r>
              <w:t xml:space="preserve">Nummer </w:t>
            </w:r>
            <w:r>
              <w:br/>
              <w:t>der EU</w:t>
            </w:r>
          </w:p>
        </w:tc>
        <w:tc>
          <w:tcPr>
            <w:tcW w:w="4252" w:type="dxa"/>
            <w:tcBorders>
              <w:top w:val="single" w:sz="6" w:space="0" w:color="000000"/>
              <w:bottom w:val="single" w:sz="6" w:space="0" w:color="000000"/>
            </w:tcBorders>
          </w:tcPr>
          <w:p>
            <w:pPr>
              <w:pStyle w:val="TabellenkopfN"/>
            </w:pPr>
            <w:r>
              <w:t>Beschreibung</w:t>
            </w:r>
          </w:p>
        </w:tc>
        <w:tc>
          <w:tcPr>
            <w:tcW w:w="1020" w:type="dxa"/>
            <w:tcBorders>
              <w:top w:val="single" w:sz="6" w:space="0" w:color="000000"/>
              <w:bottom w:val="single" w:sz="6" w:space="0" w:color="000000"/>
            </w:tcBorders>
          </w:tcPr>
          <w:p>
            <w:pPr>
              <w:pStyle w:val="TabellenkopfN"/>
            </w:pPr>
            <w:r>
              <w:t>Referenznummer in Anhang 2 GKV</w:t>
            </w:r>
          </w:p>
        </w:tc>
      </w:tr>
      <w:tr>
        <w:tc>
          <w:tcPr>
            <w:tcW w:w="843" w:type="dxa"/>
            <w:tcBorders>
              <w:top w:val="single" w:sz="6" w:space="0" w:color="000000"/>
            </w:tcBorders>
          </w:tcPr>
          <w:p>
            <w:pPr>
              <w:pStyle w:val="Tabkrper49pt"/>
            </w:pPr>
            <w:r>
              <w:t xml:space="preserve">II.B.001 </w:t>
            </w:r>
          </w:p>
        </w:tc>
        <w:tc>
          <w:tcPr>
            <w:tcW w:w="4252" w:type="dxa"/>
            <w:tcBorders>
              <w:top w:val="single" w:sz="6" w:space="0" w:color="000000"/>
            </w:tcBorders>
          </w:tcPr>
          <w:p>
            <w:pPr>
              <w:pStyle w:val="Tabkrper49pt"/>
            </w:pPr>
            <w:r>
              <w:t>Technologie und Software, die für die Entwicklung, Herstellung oder Verwendung der in diesem Anhang aufgeführten Güter erforderlich sind.</w:t>
            </w:r>
          </w:p>
        </w:tc>
        <w:tc>
          <w:tcPr>
            <w:tcW w:w="1020" w:type="dxa"/>
            <w:tcBorders>
              <w:top w:val="single" w:sz="6" w:space="0" w:color="000000"/>
            </w:tcBorders>
          </w:tcPr>
          <w:p>
            <w:pPr>
              <w:pStyle w:val="Tabkrper49pt"/>
            </w:pPr>
          </w:p>
        </w:tc>
      </w:tr>
      <w:tr>
        <w:tc>
          <w:tcPr>
            <w:tcW w:w="843" w:type="dxa"/>
            <w:tcBorders>
              <w:bottom w:val="single" w:sz="6" w:space="0" w:color="000000"/>
            </w:tcBorders>
          </w:tcPr>
          <w:p>
            <w:pPr>
              <w:pStyle w:val="Tababstandnach"/>
            </w:pPr>
          </w:p>
        </w:tc>
        <w:tc>
          <w:tcPr>
            <w:tcW w:w="4252" w:type="dxa"/>
            <w:tcBorders>
              <w:bottom w:val="single" w:sz="6" w:space="0" w:color="000000"/>
            </w:tcBorders>
          </w:tcPr>
          <w:p>
            <w:pPr>
              <w:pStyle w:val="Tababstandnach"/>
            </w:pPr>
          </w:p>
        </w:tc>
        <w:tc>
          <w:tcPr>
            <w:tcW w:w="1020" w:type="dxa"/>
            <w:tcBorders>
              <w:bottom w:val="single" w:sz="6" w:space="0" w:color="000000"/>
            </w:tcBorders>
          </w:tcPr>
          <w:p>
            <w:pPr>
              <w:pStyle w:val="Tababstandnach"/>
            </w:pPr>
          </w:p>
        </w:tc>
      </w:tr>
    </w:tbl>
    <w:p>
      <w:pPr>
        <w:pStyle w:val="TitelAnhrechts"/>
        <w:rPr>
          <w:i w:val="0"/>
        </w:rPr>
      </w:pPr>
      <w:r>
        <w:lastRenderedPageBreak/>
        <w:t>Anhang 3</w:t>
      </w:r>
    </w:p>
    <w:p>
      <w:pPr>
        <w:pStyle w:val="TitelAnhText"/>
      </w:pPr>
      <w:r>
        <w:t>(Art. 4 Abs. 2)</w:t>
      </w:r>
    </w:p>
    <w:p>
      <w:pPr>
        <w:pStyle w:val="TitelAnhang"/>
      </w:pPr>
      <w:r>
        <w:t>Güter, die zur internen Repression verwendet werden können</w:t>
      </w:r>
    </w:p>
    <w:p>
      <w:pPr>
        <w:pStyle w:val="Absatz-Struktur1"/>
        <w:rPr>
          <w:rFonts w:eastAsia="EUAlbertina-Regular-Identity-H"/>
        </w:rPr>
      </w:pPr>
      <w:r>
        <w:t>1</w:t>
      </w:r>
      <w:r>
        <w:tab/>
      </w:r>
      <w:r>
        <w:tab/>
        <w:t>Bomben</w:t>
      </w:r>
      <w:r>
        <w:rPr>
          <w:rFonts w:eastAsia="EUAlbertina-Regular-Identity-H"/>
        </w:rPr>
        <w:t xml:space="preserve"> und </w:t>
      </w:r>
      <w:r>
        <w:t>Granaten</w:t>
      </w:r>
      <w:r>
        <w:rPr>
          <w:rFonts w:eastAsia="EUAlbertina-Regular-Identity-H"/>
        </w:rPr>
        <w:t>, die nicht von Anhang 1 KMV</w:t>
      </w:r>
      <w:r>
        <w:rPr>
          <w:rStyle w:val="Funotenzeichen"/>
          <w:noProof w:val="0"/>
        </w:rPr>
        <w:footnoteReference w:id="29"/>
      </w:r>
      <w:r>
        <w:rPr>
          <w:rFonts w:eastAsia="EUAlbertina-Regular-Identity-H"/>
        </w:rPr>
        <w:t xml:space="preserve"> und nicht von Anhang 3 GKV</w:t>
      </w:r>
      <w:r>
        <w:rPr>
          <w:rStyle w:val="Funotenzeichen"/>
          <w:rFonts w:eastAsia="EUAlbertina-Regular-Identity-H"/>
          <w:noProof w:val="0"/>
        </w:rPr>
        <w:footnoteReference w:id="30"/>
      </w:r>
      <w:r>
        <w:rPr>
          <w:rFonts w:eastAsia="EUAlbertina-Regular-Identity-H"/>
        </w:rPr>
        <w:t xml:space="preserve"> erfasst werden.</w:t>
      </w:r>
    </w:p>
    <w:p>
      <w:pPr>
        <w:pStyle w:val="Absatz-Struktur1"/>
        <w:rPr>
          <w:rFonts w:eastAsia="EUAlbertina-Regular-Identity-H"/>
        </w:rPr>
      </w:pPr>
      <w:r>
        <w:t>2</w:t>
      </w:r>
      <w:r>
        <w:tab/>
      </w:r>
      <w:r>
        <w:tab/>
        <w:t>Fahrzeuge</w:t>
      </w:r>
      <w:r>
        <w:rPr>
          <w:rFonts w:eastAsia="EUAlbertina-Regular-Identity-H"/>
        </w:rPr>
        <w:t>, ausgenommen für die Brandbekämpfung besonders konstruierte Fahrzeuge, wie folgt:</w:t>
      </w:r>
    </w:p>
    <w:p>
      <w:pPr>
        <w:pStyle w:val="Struktur2"/>
      </w:pPr>
      <w:r>
        <w:t>2.1</w:t>
      </w:r>
      <w:r>
        <w:tab/>
      </w:r>
      <w:r>
        <w:rPr>
          <w:rFonts w:eastAsia="EUAlbertina-Regular-Identity-H"/>
        </w:rPr>
        <w:t xml:space="preserve">mit </w:t>
      </w:r>
      <w:r>
        <w:t>einem</w:t>
      </w:r>
      <w:r>
        <w:rPr>
          <w:rFonts w:eastAsia="EUAlbertina-Regular-Identity-H"/>
        </w:rPr>
        <w:t xml:space="preserve"> Wasserwerfer ausgerüstete Fahrzeuge, besonders konstruiert oder geändert für die Bekämpfung von Ausschreitungen und Unruhen;</w:t>
      </w:r>
    </w:p>
    <w:p>
      <w:pPr>
        <w:pStyle w:val="Struktur2"/>
      </w:pPr>
      <w:r>
        <w:t>2.2</w:t>
      </w:r>
      <w:r>
        <w:tab/>
        <w:t>Fahrzeuge</w:t>
      </w:r>
      <w:r>
        <w:rPr>
          <w:rFonts w:eastAsia="EUAlbertina-Regular-Identity-H"/>
        </w:rPr>
        <w:t>, besonders konstruiert oder geändert für die Abgabe von Stromstössen zur Abwehr von Angreifern;</w:t>
      </w:r>
    </w:p>
    <w:p>
      <w:pPr>
        <w:pStyle w:val="Struktur2"/>
      </w:pPr>
      <w:r>
        <w:t>2.3</w:t>
      </w:r>
      <w:r>
        <w:tab/>
      </w:r>
      <w:r>
        <w:rPr>
          <w:rFonts w:eastAsia="EUAlbertina-Regular-Identity-H"/>
        </w:rPr>
        <w:t>Fahrzeuge, besonders konstruiert oder geändert für die Beseitigung von Barrikaden;</w:t>
      </w:r>
    </w:p>
    <w:p>
      <w:pPr>
        <w:pStyle w:val="Struktur2"/>
      </w:pPr>
      <w:r>
        <w:t>2.4</w:t>
      </w:r>
      <w:r>
        <w:tab/>
      </w:r>
      <w:r>
        <w:rPr>
          <w:rFonts w:eastAsia="EUAlbertina-Regular-Identity-H"/>
        </w:rPr>
        <w:t>Fahrzeuge, besonders konstruiert für den Transport oder die Über</w:t>
      </w:r>
      <w:r>
        <w:rPr>
          <w:rFonts w:eastAsia="EUAlbertina-Regular-Identity-H"/>
        </w:rPr>
        <w:softHyphen/>
        <w:t xml:space="preserve">stellung von </w:t>
      </w:r>
      <w:r>
        <w:t>Strafgefangenen</w:t>
      </w:r>
      <w:r>
        <w:rPr>
          <w:rFonts w:eastAsia="EUAlbertina-Regular-Identity-H"/>
        </w:rPr>
        <w:t xml:space="preserve"> und/oder inhaftierten Personen;</w:t>
      </w:r>
    </w:p>
    <w:p>
      <w:pPr>
        <w:pStyle w:val="Struktur2"/>
      </w:pPr>
      <w:r>
        <w:t>2.5</w:t>
      </w:r>
      <w:r>
        <w:tab/>
        <w:t>Fahrzeuge</w:t>
      </w:r>
      <w:r>
        <w:rPr>
          <w:rFonts w:eastAsia="EUAlbertina-Regular-Identity-H"/>
        </w:rPr>
        <w:t xml:space="preserve"> und Anhänger, besonders konstruiert für die Errichtung mobiler Absperrungen;</w:t>
      </w:r>
    </w:p>
    <w:p>
      <w:pPr>
        <w:pStyle w:val="Struktur2"/>
      </w:pPr>
      <w:r>
        <w:t>2.6</w:t>
      </w:r>
      <w:r>
        <w:tab/>
        <w:t>Bestandteile</w:t>
      </w:r>
      <w:r>
        <w:rPr>
          <w:rFonts w:eastAsia="EUAlbertina-Regular-Identity-H"/>
        </w:rPr>
        <w:t xml:space="preserve"> der in den Ziffern 2.1</w:t>
      </w:r>
      <w:r>
        <w:t>–</w:t>
      </w:r>
      <w:r>
        <w:rPr>
          <w:rFonts w:eastAsia="EUAlbertina-Regular-Identity-H"/>
        </w:rPr>
        <w:t>2.5 aufgeführten Fahrzeuge, besonders konstruiert für die Bekämpfung von Ausschreitungen und Unruhen.</w:t>
      </w:r>
    </w:p>
    <w:p>
      <w:pPr>
        <w:pStyle w:val="Absatz-Struktur1"/>
      </w:pPr>
      <w:r>
        <w:t>3</w:t>
      </w:r>
      <w:r>
        <w:tab/>
      </w:r>
      <w:r>
        <w:tab/>
        <w:t>Explosivstoffe</w:t>
      </w:r>
      <w:r>
        <w:rPr>
          <w:rFonts w:eastAsia="EUAlbertina-Regular-Identity-H"/>
        </w:rPr>
        <w:t xml:space="preserve"> und dazugehörige Ausrüstung, die nicht von Anhang 1 KMV und nicht von Anhang 3 GKV erfasst werden, wie folgt:</w:t>
      </w:r>
    </w:p>
    <w:p>
      <w:pPr>
        <w:pStyle w:val="Struktur2"/>
        <w:rPr>
          <w:rFonts w:eastAsia="EUAlbertina-Regular-Identity-H"/>
        </w:rPr>
      </w:pPr>
      <w:r>
        <w:t>3.1</w:t>
      </w:r>
      <w:r>
        <w:tab/>
      </w:r>
      <w:r>
        <w:rPr>
          <w:rFonts w:eastAsia="EUAlbertina-Regular-Identity-H"/>
        </w:rPr>
        <w:t>Geräte und Ausrüstung, besonders konstruiert zum Auslösen von Explosionen durch elektrische oder nichtelektrische Mittel, einschliesslich Zündvorrichtungen, Sprengkapseln, Zündern, Zündverstärkern, Sprengschnüren, sowie besonders konstruierte Bestandteile hierfür.</w:t>
      </w:r>
    </w:p>
    <w:p>
      <w:pPr>
        <w:pStyle w:val="Struktur2"/>
      </w:pPr>
      <w:r>
        <w:rPr>
          <w:rFonts w:eastAsia="EUAlbertina-Regular-Identity-H"/>
        </w:rPr>
        <w:tab/>
        <w:t>Ausgenommen sind Geräte und Ausrüstung, die in industriellen Produkten zur Anwendung kommen, zum Beispiel Anzünder für Airbags.</w:t>
      </w:r>
    </w:p>
    <w:p>
      <w:pPr>
        <w:pStyle w:val="Struktur2"/>
      </w:pPr>
      <w:r>
        <w:t>3.2</w:t>
      </w:r>
      <w:r>
        <w:tab/>
      </w:r>
      <w:r>
        <w:rPr>
          <w:rFonts w:eastAsia="EUAlbertina-Regular-Identity-H"/>
        </w:rPr>
        <w:t xml:space="preserve">Andere </w:t>
      </w:r>
      <w:r>
        <w:t>Explosivstoffe</w:t>
      </w:r>
      <w:r>
        <w:rPr>
          <w:rFonts w:eastAsia="EUAlbertina-Regular-Identity-H"/>
        </w:rPr>
        <w:t xml:space="preserve"> und dazugehörige Stoffe wie folgt:</w:t>
      </w:r>
    </w:p>
    <w:p>
      <w:pPr>
        <w:pStyle w:val="Struktur3"/>
      </w:pPr>
      <w:r>
        <w:rPr>
          <w:rFonts w:eastAsia="EUAlbertina-Regular-Identity-H"/>
        </w:rPr>
        <w:t>a</w:t>
      </w:r>
      <w:r>
        <w:t>)</w:t>
      </w:r>
      <w:r>
        <w:tab/>
        <w:t>Amatol</w:t>
      </w:r>
      <w:r>
        <w:rPr>
          <w:rFonts w:eastAsia="EUAlbertina-Regular-Identity-H"/>
        </w:rPr>
        <w:t>;</w:t>
      </w:r>
    </w:p>
    <w:p>
      <w:pPr>
        <w:pStyle w:val="Struktur3"/>
      </w:pPr>
      <w:r>
        <w:rPr>
          <w:rFonts w:eastAsia="EUAlbertina-Regular-Identity-H"/>
        </w:rPr>
        <w:t>b</w:t>
      </w:r>
      <w:r>
        <w:t>)</w:t>
      </w:r>
      <w:r>
        <w:tab/>
        <w:t>Nitrocellulose</w:t>
      </w:r>
      <w:r>
        <w:rPr>
          <w:rFonts w:eastAsia="EUAlbertina-Regular-Identity-H"/>
        </w:rPr>
        <w:t xml:space="preserve"> (mit mehr als 12,5 % Stickstoff)</w:t>
      </w:r>
    </w:p>
    <w:p>
      <w:pPr>
        <w:pStyle w:val="Struktur3"/>
      </w:pPr>
      <w:r>
        <w:rPr>
          <w:rFonts w:eastAsia="EUAlbertina-Regular-Identity-H"/>
        </w:rPr>
        <w:t>c</w:t>
      </w:r>
      <w:r>
        <w:t>)</w:t>
      </w:r>
      <w:r>
        <w:tab/>
        <w:t>Nitroglykol</w:t>
      </w:r>
      <w:r>
        <w:rPr>
          <w:rFonts w:eastAsia="EUAlbertina-Regular-Identity-H"/>
        </w:rPr>
        <w:t>;</w:t>
      </w:r>
    </w:p>
    <w:p>
      <w:pPr>
        <w:pStyle w:val="Struktur3"/>
      </w:pPr>
      <w:r>
        <w:rPr>
          <w:rFonts w:eastAsia="EUAlbertina-Regular-Identity-H"/>
        </w:rPr>
        <w:t>d</w:t>
      </w:r>
      <w:r>
        <w:t>)</w:t>
      </w:r>
      <w:r>
        <w:tab/>
        <w:t>Pentaerythrittetranitrat</w:t>
      </w:r>
      <w:r>
        <w:rPr>
          <w:rFonts w:eastAsia="EUAlbertina-Regular-Identity-H"/>
        </w:rPr>
        <w:t xml:space="preserve"> (PETN);</w:t>
      </w:r>
    </w:p>
    <w:p>
      <w:pPr>
        <w:pStyle w:val="Struktur3"/>
      </w:pPr>
      <w:r>
        <w:rPr>
          <w:rFonts w:eastAsia="EUAlbertina-Regular-Identity-H"/>
        </w:rPr>
        <w:t>e</w:t>
      </w:r>
      <w:r>
        <w:t>)</w:t>
      </w:r>
      <w:r>
        <w:rPr>
          <w:rFonts w:eastAsia="EUAlbertina-Regular-Identity-H"/>
        </w:rPr>
        <w:tab/>
      </w:r>
      <w:r>
        <w:t>Pikrylchlorid</w:t>
      </w:r>
      <w:r>
        <w:rPr>
          <w:rFonts w:eastAsia="EUAlbertina-Regular-Identity-H"/>
        </w:rPr>
        <w:t>;</w:t>
      </w:r>
    </w:p>
    <w:p>
      <w:pPr>
        <w:pStyle w:val="Struktur3"/>
        <w:rPr>
          <w:rFonts w:eastAsia="EUAlbertina-Regular-Identity-H"/>
        </w:rPr>
      </w:pPr>
      <w:r>
        <w:rPr>
          <w:rFonts w:eastAsia="EUAlbertina-Regular-Identity-H"/>
        </w:rPr>
        <w:t>f</w:t>
      </w:r>
      <w:r>
        <w:t>)</w:t>
      </w:r>
      <w:r>
        <w:rPr>
          <w:rFonts w:eastAsia="EUAlbertina-Regular-Identity-H"/>
        </w:rPr>
        <w:tab/>
        <w:t>2,4,6-</w:t>
      </w:r>
      <w:r>
        <w:t>Trinitrotoluol</w:t>
      </w:r>
      <w:r>
        <w:rPr>
          <w:rFonts w:eastAsia="EUAlbertina-Regular-Identity-H"/>
        </w:rPr>
        <w:t xml:space="preserve"> (TNT).</w:t>
      </w:r>
    </w:p>
    <w:p>
      <w:pPr>
        <w:pStyle w:val="Absatz-Struktur1"/>
      </w:pPr>
      <w:r>
        <w:t>4</w:t>
      </w:r>
      <w:r>
        <w:tab/>
      </w:r>
      <w:r>
        <w:tab/>
        <w:t>Schutzausrüstung</w:t>
      </w:r>
      <w:r>
        <w:rPr>
          <w:rFonts w:eastAsia="EUAlbertina-Regular-Identity-H"/>
        </w:rPr>
        <w:t>, die weder von Nummer ML 13 Anhang 3 GKV erfasst noch besonders konstruiert ist für den Sport oder als Arbeitsschutz, wie folgt:</w:t>
      </w:r>
    </w:p>
    <w:p>
      <w:pPr>
        <w:pStyle w:val="Struktur2"/>
      </w:pPr>
      <w:r>
        <w:lastRenderedPageBreak/>
        <w:t>4.1</w:t>
      </w:r>
      <w:r>
        <w:tab/>
        <w:t>Körperpanzer</w:t>
      </w:r>
      <w:r>
        <w:rPr>
          <w:rFonts w:eastAsia="EUAlbertina-Regular-Identity-H"/>
        </w:rPr>
        <w:t xml:space="preserve"> mit ballistischem Schutz und/oder Stichschutz;</w:t>
      </w:r>
    </w:p>
    <w:p>
      <w:pPr>
        <w:pStyle w:val="Struktur2"/>
      </w:pPr>
      <w:r>
        <w:t>4.2</w:t>
      </w:r>
      <w:r>
        <w:tab/>
        <w:t>Helme mit</w:t>
      </w:r>
      <w:r>
        <w:rPr>
          <w:rFonts w:eastAsia="EUAlbertina-Regular-Identity-H"/>
        </w:rPr>
        <w:t xml:space="preserve"> ballistischem Schutz und/oder Splitterschutz, Schutzhelme, Schutzschilde und ballistische Schutzschilde.</w:t>
      </w:r>
    </w:p>
    <w:p>
      <w:pPr>
        <w:pStyle w:val="Absatz-Struktur1"/>
      </w:pPr>
      <w:r>
        <w:t>5</w:t>
      </w:r>
      <w:r>
        <w:tab/>
      </w:r>
      <w:r>
        <w:tab/>
      </w:r>
      <w:r>
        <w:rPr>
          <w:rFonts w:eastAsia="EUAlbertina-Regular-Identity-H"/>
        </w:rPr>
        <w:t xml:space="preserve">Andere Simulatoren als die von Nummer ML 14 Anhang 3 GKV erfassten, für das </w:t>
      </w:r>
      <w:r>
        <w:t>Training</w:t>
      </w:r>
      <w:r>
        <w:rPr>
          <w:rFonts w:eastAsia="EUAlbertina-Regular-Identity-H"/>
        </w:rPr>
        <w:t xml:space="preserve"> im Gebrauch von Feuerwaffen, und besonders entwickelte Software hierfür.</w:t>
      </w:r>
    </w:p>
    <w:p>
      <w:pPr>
        <w:pStyle w:val="Absatz-Struktur1"/>
      </w:pPr>
      <w:r>
        <w:t>6</w:t>
      </w:r>
      <w:r>
        <w:tab/>
      </w:r>
      <w:r>
        <w:tab/>
      </w:r>
      <w:r>
        <w:rPr>
          <w:rFonts w:eastAsia="EUAlbertina-Regular-Identity-H"/>
        </w:rPr>
        <w:t xml:space="preserve">Andere Nachtsicht- und Wärmebildausrüstung sowie Bildverstärkerröhren als die von den </w:t>
      </w:r>
      <w:r>
        <w:t>Anhängen</w:t>
      </w:r>
      <w:r>
        <w:rPr>
          <w:rFonts w:eastAsia="EUAlbertina-Regular-Identity-H"/>
        </w:rPr>
        <w:t> 3 und 5 GKV erfassten.</w:t>
      </w:r>
    </w:p>
    <w:p>
      <w:pPr>
        <w:pStyle w:val="Absatz-Struktur1"/>
      </w:pPr>
      <w:r>
        <w:t>7</w:t>
      </w:r>
      <w:r>
        <w:tab/>
      </w:r>
      <w:r>
        <w:tab/>
        <w:t>Bandstacheldraht</w:t>
      </w:r>
      <w:r>
        <w:rPr>
          <w:rFonts w:eastAsia="EUAlbertina-Regular-Identity-H"/>
        </w:rPr>
        <w:t>.</w:t>
      </w:r>
    </w:p>
    <w:p>
      <w:pPr>
        <w:pStyle w:val="Absatz-Struktur1"/>
      </w:pPr>
      <w:r>
        <w:t>8</w:t>
      </w:r>
      <w:r>
        <w:tab/>
      </w:r>
      <w:r>
        <w:tab/>
      </w:r>
      <w:r>
        <w:rPr>
          <w:rFonts w:eastAsia="EUAlbertina-Regular-Identity-H"/>
        </w:rPr>
        <w:t>Militärmesser, Kampfmesser und Bajonette mit einer Klingenlänge von mehr als 10 cm, die nicht von Ziffer 1 des Anhangs 5 GKV erfasst werden.</w:t>
      </w:r>
    </w:p>
    <w:p>
      <w:pPr>
        <w:pStyle w:val="Absatz-Struktur1"/>
      </w:pPr>
      <w:r>
        <w:t>9</w:t>
      </w:r>
      <w:r>
        <w:tab/>
      </w:r>
      <w:r>
        <w:tab/>
        <w:t>Güter, die für die Hinrichtung von Menschen konstruiert sind, wie folgt:</w:t>
      </w:r>
    </w:p>
    <w:p>
      <w:pPr>
        <w:pStyle w:val="Struktur2"/>
      </w:pPr>
      <w:r>
        <w:t>9.1</w:t>
      </w:r>
      <w:r>
        <w:tab/>
        <w:t>Galgen und Fallbeile;</w:t>
      </w:r>
    </w:p>
    <w:p>
      <w:pPr>
        <w:pStyle w:val="Struktur2"/>
      </w:pPr>
      <w:r>
        <w:t>9.2</w:t>
      </w:r>
      <w:r>
        <w:tab/>
        <w:t>elektrische Stühle;</w:t>
      </w:r>
    </w:p>
    <w:p>
      <w:pPr>
        <w:pStyle w:val="Struktur2"/>
      </w:pPr>
      <w:r>
        <w:t>9.3</w:t>
      </w:r>
      <w:r>
        <w:tab/>
        <w:t>hermetisch</w:t>
      </w:r>
      <w:r>
        <w:rPr>
          <w:szCs w:val="17"/>
        </w:rPr>
        <w:t xml:space="preserve"> verschliessbare Kammern, zum Beispiel hergestellt aus Stahl oder Glas, konstruiert zur Hinrichtung von Menschen durch Verabreichung von tödlichen Gasen oder Substanzen;</w:t>
      </w:r>
    </w:p>
    <w:p>
      <w:pPr>
        <w:pStyle w:val="Struktur2"/>
      </w:pPr>
      <w:r>
        <w:t>9.4</w:t>
      </w:r>
      <w:r>
        <w:tab/>
        <w:t>automatische</w:t>
      </w:r>
      <w:r>
        <w:rPr>
          <w:szCs w:val="17"/>
        </w:rPr>
        <w:t xml:space="preserve"> Injektionssysteme, konstruiert zur Hinrichtung von Menschen durch Verabreichung einer letalen chemischen Substanz;</w:t>
      </w:r>
    </w:p>
    <w:p>
      <w:pPr>
        <w:pStyle w:val="Absatz-Struktur1"/>
      </w:pPr>
      <w:r>
        <w:t>10</w:t>
      </w:r>
      <w:r>
        <w:tab/>
      </w:r>
      <w:r>
        <w:tab/>
        <w:t>Elektroschock-Gürtel, konstruiert, um durch Abgabe von Elektroschocks mit einer Leerlaufspannung von mehr als 10 000 Volt auf Menschen Zwang auszuüben.</w:t>
      </w:r>
    </w:p>
    <w:p>
      <w:pPr>
        <w:pStyle w:val="Absatz-Struktur1"/>
      </w:pPr>
      <w:r>
        <w:t>11</w:t>
      </w:r>
      <w:r>
        <w:tab/>
      </w:r>
      <w:r>
        <w:tab/>
        <w:t>Güter, konstruiert zur Fesselung von Menschen, wie folgt:</w:t>
      </w:r>
    </w:p>
    <w:p>
      <w:pPr>
        <w:pStyle w:val="Struktur2"/>
      </w:pPr>
      <w:r>
        <w:t>11.1</w:t>
      </w:r>
      <w:r>
        <w:tab/>
        <w:t>Zwangsstühle</w:t>
      </w:r>
      <w:r>
        <w:rPr>
          <w:szCs w:val="17"/>
        </w:rPr>
        <w:t xml:space="preserve"> und Fesselungsbretter. Nicht erfasst sind Stühle, die für behinderte Personen konstruiert sind.</w:t>
      </w:r>
    </w:p>
    <w:p>
      <w:pPr>
        <w:pStyle w:val="Struktur2"/>
      </w:pPr>
      <w:r>
        <w:t>11.2</w:t>
      </w:r>
      <w:r>
        <w:tab/>
        <w:t>Fusseisen</w:t>
      </w:r>
      <w:r>
        <w:rPr>
          <w:szCs w:val="17"/>
        </w:rPr>
        <w:t>, Mehrpersonen-Fesseln, Fesseln und Einzelschellen oder Fesselarmbänder. Nicht erfasst sind Handschellen, deren Gesamtlänge einschliesslich Kette, gemessen im geschlossenen Zustand vom Aussenrand einer Schelle zum Aussenrand der anderen Schelle, zwischen 150 und 280 mm beträgt und die nicht verändert wurden, um körperliche Schmerzen oder Leiden zu verursachen.</w:t>
      </w:r>
    </w:p>
    <w:p>
      <w:pPr>
        <w:pStyle w:val="Struktur2"/>
      </w:pPr>
      <w:r>
        <w:t>11.3</w:t>
      </w:r>
      <w:r>
        <w:tab/>
        <w:t>Daumenschellen und Daumenschrauben, einschliesslich gezackter Daumenschellen.</w:t>
      </w:r>
    </w:p>
    <w:p>
      <w:pPr>
        <w:pStyle w:val="Absatz-Struktur1"/>
      </w:pPr>
      <w:r>
        <w:t>12</w:t>
      </w:r>
      <w:r>
        <w:tab/>
      </w:r>
      <w:r>
        <w:tab/>
        <w:t xml:space="preserve">Tragbare Elektroschockgeräte, einschliesslich Elektroschock-Schlagstöcken, Elektroschock-Schilden, Elektroschockern (Paralyser) und Elektroschock-Pfeilwaffen, die eine Leerlaufspannung von mehr als 10 000 Volt haben und </w:t>
      </w:r>
      <w:r>
        <w:rPr>
          <w:rFonts w:eastAsia="EUAlbertina-Regular-Identity-H"/>
        </w:rPr>
        <w:t>die nicht von Ziffer 1 des Anhangs 5 GKV erfasst werden</w:t>
      </w:r>
      <w:r>
        <w:t>.</w:t>
      </w:r>
      <w:r>
        <w:rPr>
          <w:szCs w:val="17"/>
        </w:rPr>
        <w:t>Nicht erfasst sind einzelne Elektroschockgeräte, wenn diese zum persönlichen Schutz mitgeführt werden.</w:t>
      </w:r>
    </w:p>
    <w:p>
      <w:pPr>
        <w:pStyle w:val="Absatz-Struktur1"/>
      </w:pPr>
      <w:r>
        <w:t>13</w:t>
      </w:r>
      <w:r>
        <w:tab/>
      </w:r>
      <w:r>
        <w:tab/>
        <w:t>Substanzen zur Bekämpfung von Ausschreitungen und Unruhen oder zum Selbstschutz sowie dazugehörige tragbare Ausbringungsausrüstung, wie folgt:</w:t>
      </w:r>
    </w:p>
    <w:p>
      <w:pPr>
        <w:pStyle w:val="Struktur2"/>
      </w:pPr>
      <w:r>
        <w:lastRenderedPageBreak/>
        <w:t>13.1</w:t>
      </w:r>
      <w:r>
        <w:tab/>
        <w:t xml:space="preserve">Tragbare Geräte zur Bekämpfung von Ausschreitungen und Unruhen oder zum Selbstschutz durch Verabreichung oder Verbreitung einer handlungsunfähig machenden chemischen Substanz, </w:t>
      </w:r>
      <w:r>
        <w:rPr>
          <w:rFonts w:eastAsia="EUAlbertina-Regular-Identity-H"/>
        </w:rPr>
        <w:t>die nicht von Ziffer 1 des Anhangs 5 GKV erfasst werden.</w:t>
      </w:r>
    </w:p>
    <w:p>
      <w:pPr>
        <w:pStyle w:val="Struktur2"/>
      </w:pPr>
      <w:r>
        <w:tab/>
        <w:t>Nicht</w:t>
      </w:r>
      <w:r>
        <w:rPr>
          <w:szCs w:val="17"/>
        </w:rPr>
        <w:t xml:space="preserve"> erfasst sind einzelne tragbare Geräte mit oder ohne chemische Substanz, wenn diese zum persönlichen Schutz mitgeführt werden;</w:t>
      </w:r>
    </w:p>
    <w:p>
      <w:pPr>
        <w:pStyle w:val="Struktur2"/>
      </w:pPr>
      <w:r>
        <w:t>13.2</w:t>
      </w:r>
      <w:r>
        <w:tab/>
        <w:t>Pelargonsäurevanillylamid (Nonivamid, PAVA) (CAS-Nr. 2444-46-4);</w:t>
      </w:r>
    </w:p>
    <w:p>
      <w:pPr>
        <w:pStyle w:val="Struktur2"/>
      </w:pPr>
      <w:r>
        <w:t>13.3</w:t>
      </w:r>
      <w:r>
        <w:tab/>
      </w:r>
      <w:r>
        <w:rPr>
          <w:szCs w:val="17"/>
        </w:rPr>
        <w:t>Oleore</w:t>
      </w:r>
      <w:r>
        <w:t>s</w:t>
      </w:r>
      <w:r>
        <w:rPr>
          <w:szCs w:val="17"/>
        </w:rPr>
        <w:t xml:space="preserve">in </w:t>
      </w:r>
      <w:r>
        <w:t>Capsicum</w:t>
      </w:r>
      <w:r>
        <w:rPr>
          <w:szCs w:val="17"/>
        </w:rPr>
        <w:t xml:space="preserve"> (OC) (CAS-Nr. 8023-77-6).</w:t>
      </w:r>
    </w:p>
    <w:p>
      <w:pPr>
        <w:pStyle w:val="Absatz-Struktur1"/>
      </w:pPr>
      <w:r>
        <w:t>14</w:t>
      </w:r>
      <w:r>
        <w:tab/>
      </w:r>
      <w:r>
        <w:tab/>
        <w:t>Ausrüstung</w:t>
      </w:r>
      <w:r>
        <w:rPr>
          <w:rFonts w:eastAsia="EUAlbertina-Regular-Identity-H"/>
        </w:rPr>
        <w:t>, besonders konstruiert für die Herstellung der in dieser Liste aufgeführten Güter.</w:t>
      </w:r>
    </w:p>
    <w:p>
      <w:pPr>
        <w:pStyle w:val="Absatz-Struktur1"/>
      </w:pPr>
      <w:r>
        <w:t>15</w:t>
      </w:r>
      <w:r>
        <w:tab/>
      </w:r>
      <w:r>
        <w:tab/>
      </w:r>
      <w:r>
        <w:rPr>
          <w:rFonts w:eastAsia="EUAlbertina-Regular-Identity-H"/>
        </w:rPr>
        <w:t xml:space="preserve">Spezifische </w:t>
      </w:r>
      <w:r>
        <w:t>Technologie zur Entwicklung, Herstellung oder Verwendung der in dieser Liste aufge</w:t>
      </w:r>
      <w:r>
        <w:rPr>
          <w:rFonts w:eastAsia="EUAlbertina-Regular-Identity-H"/>
        </w:rPr>
        <w:t>führten Güter.</w:t>
      </w:r>
    </w:p>
    <w:p>
      <w:pPr>
        <w:pStyle w:val="TitelAnhrechts"/>
        <w:rPr>
          <w:i w:val="0"/>
        </w:rPr>
      </w:pPr>
      <w:r>
        <w:lastRenderedPageBreak/>
        <w:t>Anhang 4</w:t>
      </w:r>
    </w:p>
    <w:p>
      <w:pPr>
        <w:pStyle w:val="TitelAnhText"/>
      </w:pPr>
      <w:r>
        <w:t>(Art. 5 Abs. 1)</w:t>
      </w:r>
    </w:p>
    <w:p>
      <w:pPr>
        <w:pStyle w:val="TitelAnhang"/>
        <w:rPr>
          <w:lang w:eastAsia="de-CH"/>
        </w:rPr>
      </w:pPr>
      <w:r>
        <w:t>Ausrüstung, Technologie oder Software zu Überwachungszwecken</w:t>
      </w:r>
    </w:p>
    <w:p>
      <w:pPr>
        <w:pStyle w:val="TitelAnh1"/>
        <w:rPr>
          <w:lang w:eastAsia="de-CH"/>
        </w:rPr>
      </w:pPr>
      <w:r>
        <w:rPr>
          <w:lang w:eastAsia="de-CH"/>
        </w:rPr>
        <w:t>1. Ausrüstungen</w:t>
      </w:r>
    </w:p>
    <w:p>
      <w:pPr>
        <w:pStyle w:val="Struktur1"/>
        <w:rPr>
          <w:lang w:eastAsia="de-CH"/>
        </w:rPr>
      </w:pPr>
      <w:r>
        <w:rPr>
          <w:lang w:eastAsia="de-CH"/>
        </w:rPr>
        <w:t>–</w:t>
      </w:r>
      <w:r>
        <w:rPr>
          <w:lang w:eastAsia="de-CH"/>
        </w:rPr>
        <w:tab/>
        <w:t xml:space="preserve">Ausrüstung für tiefe Paketinspektion </w:t>
      </w:r>
    </w:p>
    <w:p>
      <w:pPr>
        <w:pStyle w:val="Struktur1"/>
        <w:rPr>
          <w:lang w:eastAsia="de-CH"/>
        </w:rPr>
      </w:pPr>
      <w:r>
        <w:rPr>
          <w:lang w:eastAsia="de-CH"/>
        </w:rPr>
        <w:t>–</w:t>
      </w:r>
      <w:r>
        <w:rPr>
          <w:lang w:eastAsia="de-CH"/>
        </w:rPr>
        <w:tab/>
        <w:t>Netzüberwachungsausrüstung einschliesslich Abhörmanagementausrüstung (IMS) und Intelligence-Ausrüstung für Datenverbindungsvorratsspeicherung</w:t>
      </w:r>
    </w:p>
    <w:p>
      <w:pPr>
        <w:pStyle w:val="Struktur1"/>
        <w:rPr>
          <w:lang w:eastAsia="de-CH"/>
        </w:rPr>
      </w:pPr>
      <w:r>
        <w:rPr>
          <w:lang w:eastAsia="de-CH"/>
        </w:rPr>
        <w:t>–</w:t>
      </w:r>
      <w:r>
        <w:rPr>
          <w:lang w:eastAsia="de-CH"/>
        </w:rPr>
        <w:tab/>
        <w:t xml:space="preserve">Funkfrequenz-Überwachungsausrüstung </w:t>
      </w:r>
    </w:p>
    <w:p>
      <w:pPr>
        <w:pStyle w:val="Struktur1"/>
        <w:rPr>
          <w:lang w:eastAsia="de-CH"/>
        </w:rPr>
      </w:pPr>
      <w:r>
        <w:rPr>
          <w:lang w:eastAsia="de-CH"/>
        </w:rPr>
        <w:t>–</w:t>
      </w:r>
      <w:r>
        <w:rPr>
          <w:lang w:eastAsia="de-CH"/>
        </w:rPr>
        <w:tab/>
        <w:t xml:space="preserve">Ausrüstung zum Stören von Funknetzen und der Satellitenkommunikation </w:t>
      </w:r>
    </w:p>
    <w:p>
      <w:pPr>
        <w:pStyle w:val="Struktur1"/>
        <w:rPr>
          <w:lang w:eastAsia="de-CH"/>
        </w:rPr>
      </w:pPr>
      <w:r>
        <w:rPr>
          <w:lang w:eastAsia="de-CH"/>
        </w:rPr>
        <w:t>–</w:t>
      </w:r>
      <w:r>
        <w:rPr>
          <w:lang w:eastAsia="de-CH"/>
        </w:rPr>
        <w:tab/>
        <w:t xml:space="preserve">Ausrüstung für die Ferneinbringung von Computerviren </w:t>
      </w:r>
    </w:p>
    <w:p>
      <w:pPr>
        <w:pStyle w:val="Struktur1"/>
        <w:rPr>
          <w:lang w:eastAsia="de-CH"/>
        </w:rPr>
      </w:pPr>
      <w:r>
        <w:rPr>
          <w:lang w:eastAsia="de-CH"/>
        </w:rPr>
        <w:t>–</w:t>
      </w:r>
      <w:r>
        <w:rPr>
          <w:lang w:eastAsia="de-CH"/>
        </w:rPr>
        <w:tab/>
        <w:t xml:space="preserve">Sprechererkennungs- und Sprecherverarbeitungsausrüstung </w:t>
      </w:r>
    </w:p>
    <w:p>
      <w:pPr>
        <w:pStyle w:val="Struktur1"/>
        <w:rPr>
          <w:lang w:eastAsia="de-CH"/>
        </w:rPr>
      </w:pPr>
      <w:r>
        <w:rPr>
          <w:lang w:eastAsia="de-CH"/>
        </w:rPr>
        <w:t>–</w:t>
      </w:r>
      <w:r>
        <w:rPr>
          <w:lang w:eastAsia="de-CH"/>
        </w:rPr>
        <w:tab/>
        <w:t>Ausrüstung zum Überwachen und Abhören von:</w:t>
      </w:r>
    </w:p>
    <w:p>
      <w:pPr>
        <w:pStyle w:val="Struktur1"/>
        <w:ind w:left="1043"/>
      </w:pPr>
      <w:r>
        <w:rPr>
          <w:i/>
          <w:lang w:eastAsia="de-CH"/>
        </w:rPr>
        <w:tab/>
        <w:t>IMSI (International Mobile Subscriber Identity):</w:t>
      </w:r>
      <w:r>
        <w:rPr>
          <w:lang w:eastAsia="de-CH"/>
        </w:rPr>
        <w:t xml:space="preserve"> International Mobile Subscriber Identity. Eindeutiger Identifizierungscode für jedes Mobilfunkgerät, der fest in der SIM-Karte integriert ist und die Identifizierung der SIM-Karte über GSM- und UMTS-Netze ermöglicht.</w:t>
      </w:r>
    </w:p>
    <w:p>
      <w:pPr>
        <w:pStyle w:val="Struktur1"/>
        <w:ind w:left="1043"/>
      </w:pPr>
      <w:r>
        <w:rPr>
          <w:lang w:eastAsia="de-CH"/>
        </w:rPr>
        <w:tab/>
      </w:r>
      <w:r>
        <w:rPr>
          <w:i/>
          <w:lang w:eastAsia="de-CH"/>
        </w:rPr>
        <w:t>MSISDN (Mobile Subscriber Integrated Services Digital Network Number):</w:t>
      </w:r>
      <w:r>
        <w:rPr>
          <w:lang w:eastAsia="de-CH"/>
        </w:rPr>
        <w:t xml:space="preserve"> Nummer zur eindeutigen Identifizierung eines GSM- oder UMTS-Netzteilnehmers. Dies ist die Telefonnummer, die der SIM-Karte eines Mobiltelefons zugeordnet ist und daher – genauso wie eine IMSI – die Identifizierung eines Mobilfunkteilnehmers ermöglicht, aber auch der Anrufvermittlung an den Teilnehmer dient.</w:t>
      </w:r>
    </w:p>
    <w:p>
      <w:pPr>
        <w:pStyle w:val="Struktur1"/>
        <w:ind w:left="1043" w:firstLine="0"/>
      </w:pPr>
      <w:r>
        <w:rPr>
          <w:i/>
          <w:lang w:eastAsia="de-CH"/>
        </w:rPr>
        <w:t>IMEI (</w:t>
      </w:r>
      <w:r>
        <w:rPr>
          <w:i/>
        </w:rPr>
        <w:t>International Mobile Equipment Identity):</w:t>
      </w:r>
      <w:r>
        <w:t xml:space="preserve"> International Mobile Equipment Identity. In der Regel eindeutige Nummer zur Identifizierung von GSM-, WCDMA- und IDEN- Mobiltelefonen sowie einiger </w:t>
      </w:r>
      <w:r>
        <w:br/>
        <w:t>Satel</w:t>
      </w:r>
      <w:r>
        <w:softHyphen/>
        <w:t>litentelefone. Die Nummer ist zumeist im Batteriefach des Telefons aufgedruckt. Die Überwachung (Abhören) kann mit Hilfe der IMEI-Nummer sowie der IMSI und MSISDN erfolgen.</w:t>
      </w:r>
    </w:p>
    <w:p>
      <w:pPr>
        <w:pStyle w:val="Struktur1"/>
        <w:ind w:left="1043" w:firstLine="0"/>
        <w:rPr>
          <w:lang w:eastAsia="de-CH"/>
        </w:rPr>
      </w:pPr>
      <w:r>
        <w:rPr>
          <w:i/>
        </w:rPr>
        <w:t xml:space="preserve">TMSI (Temporary Mobile Subscriber Identity): </w:t>
      </w:r>
      <w:r>
        <w:t xml:space="preserve">Temporary Mobile Subscriber Identity. </w:t>
      </w:r>
      <w:r>
        <w:rPr>
          <w:lang w:eastAsia="de-CH"/>
        </w:rPr>
        <w:t>Kennung</w:t>
      </w:r>
      <w:r>
        <w:t xml:space="preserve">, die in der Regel zwischen dem Mobilfunkgerät und dem Netz übertragen wird. </w:t>
      </w:r>
    </w:p>
    <w:p>
      <w:pPr>
        <w:pStyle w:val="Struktur1"/>
      </w:pPr>
      <w:r>
        <w:rPr>
          <w:lang w:eastAsia="de-CH"/>
        </w:rPr>
        <w:t>–</w:t>
      </w:r>
      <w:r>
        <w:tab/>
        <w:t xml:space="preserve">Taktische Ausrüstung zum </w:t>
      </w:r>
      <w:r>
        <w:rPr>
          <w:lang w:eastAsia="de-CH"/>
        </w:rPr>
        <w:t xml:space="preserve">Überwachen und Abhören </w:t>
      </w:r>
      <w:r>
        <w:t>von SMS (Short Message System),  GSM (Global System for Mobile Communications)</w:t>
      </w:r>
      <w:r>
        <w:rPr>
          <w:color w:val="19161A"/>
          <w:szCs w:val="18"/>
        </w:rPr>
        <w:t xml:space="preserve">, </w:t>
      </w:r>
      <w:r>
        <w:t xml:space="preserve">GPS (Global Positioning System), </w:t>
      </w:r>
      <w:r>
        <w:rPr>
          <w:rStyle w:val="Funotenzeichen"/>
          <w:noProof w:val="0"/>
          <w:color w:val="19161A"/>
          <w:szCs w:val="18"/>
        </w:rPr>
        <w:t xml:space="preserve"> </w:t>
      </w:r>
      <w:r>
        <w:t xml:space="preserve"> GPRS (General Package Radio Service), UMTS (Universal Mobile Telecommunication System), CDMA (Code Division Multiple Access), </w:t>
      </w:r>
      <w:r>
        <w:rPr>
          <w:rStyle w:val="Funotenzeichen"/>
          <w:noProof w:val="0"/>
          <w:color w:val="19161A"/>
          <w:szCs w:val="18"/>
        </w:rPr>
        <w:t xml:space="preserve"> </w:t>
      </w:r>
      <w:r>
        <w:t xml:space="preserve">PSTN (Public Switch Telephone Networks) </w:t>
      </w:r>
    </w:p>
    <w:p>
      <w:pPr>
        <w:pStyle w:val="Struktur1"/>
      </w:pPr>
      <w:r>
        <w:rPr>
          <w:lang w:eastAsia="de-CH"/>
        </w:rPr>
        <w:t>–</w:t>
      </w:r>
      <w:r>
        <w:tab/>
        <w:t xml:space="preserve">Ausrüstung zum </w:t>
      </w:r>
      <w:r>
        <w:rPr>
          <w:lang w:eastAsia="de-CH"/>
        </w:rPr>
        <w:t xml:space="preserve">Überwachen und Abhören </w:t>
      </w:r>
      <w:r>
        <w:t>von DHCP (Dynamic Host Configuration Protocol), SMTP (Simple Mail Transfer Protocol) und GTP (GPRS Tunneling Protocol)</w:t>
      </w:r>
    </w:p>
    <w:p>
      <w:pPr>
        <w:pStyle w:val="Struktur1"/>
      </w:pPr>
      <w:r>
        <w:rPr>
          <w:lang w:eastAsia="de-CH"/>
        </w:rPr>
        <w:lastRenderedPageBreak/>
        <w:t>–</w:t>
      </w:r>
      <w:r>
        <w:tab/>
        <w:t xml:space="preserve">Ausrüstung für die Mustererkennung und die Erstellung von Musterprofilen </w:t>
      </w:r>
    </w:p>
    <w:p>
      <w:pPr>
        <w:pStyle w:val="Struktur1"/>
      </w:pPr>
      <w:r>
        <w:rPr>
          <w:lang w:eastAsia="de-CH"/>
        </w:rPr>
        <w:t>–</w:t>
      </w:r>
      <w:r>
        <w:tab/>
        <w:t xml:space="preserve">Ferngesteuerte Forensikausrüstung </w:t>
      </w:r>
    </w:p>
    <w:p>
      <w:pPr>
        <w:pStyle w:val="Struktur1"/>
      </w:pPr>
      <w:r>
        <w:rPr>
          <w:lang w:eastAsia="de-CH"/>
        </w:rPr>
        <w:t>–</w:t>
      </w:r>
      <w:r>
        <w:tab/>
        <w:t xml:space="preserve">Ausrüstung für die semantische Verarbeitung </w:t>
      </w:r>
    </w:p>
    <w:p>
      <w:pPr>
        <w:pStyle w:val="Struktur1"/>
      </w:pPr>
      <w:r>
        <w:rPr>
          <w:lang w:eastAsia="de-CH"/>
        </w:rPr>
        <w:t>–</w:t>
      </w:r>
      <w:r>
        <w:tab/>
        <w:t xml:space="preserve">Entschlüsselungsausrüstung für WEP- und WPA-Schlüssel </w:t>
      </w:r>
    </w:p>
    <w:p>
      <w:pPr>
        <w:pStyle w:val="Struktur1"/>
      </w:pPr>
      <w:r>
        <w:rPr>
          <w:lang w:eastAsia="de-CH"/>
        </w:rPr>
        <w:t>–</w:t>
      </w:r>
      <w:r>
        <w:tab/>
        <w:t xml:space="preserve">Abhörausrüstung für geschützte und standardisierte Protokolle für die Sprachübermittlung über das Internet (VoIP) </w:t>
      </w:r>
    </w:p>
    <w:p>
      <w:pPr>
        <w:pStyle w:val="Abstand4pt"/>
      </w:pPr>
    </w:p>
    <w:p>
      <w:pPr>
        <w:pStyle w:val="TitelAnh1"/>
      </w:pPr>
      <w:r>
        <w:t>2. Software für die Entwicklung, Herstellung oder Verwendung der Ausrüstung nach Ziffer 1</w:t>
      </w:r>
    </w:p>
    <w:p>
      <w:pPr>
        <w:pStyle w:val="Abstand4pt"/>
      </w:pPr>
    </w:p>
    <w:p>
      <w:pPr>
        <w:pStyle w:val="TitelAnh1"/>
      </w:pPr>
      <w:r>
        <w:t>3. Technologie für die Entwicklung, Herstellung oder Verwendung der Ausrüstung nach Ziffer 1</w:t>
      </w:r>
    </w:p>
    <w:p>
      <w:pPr>
        <w:pStyle w:val="Absatz"/>
      </w:pPr>
      <w:r>
        <w:t>Ausrüstung, Technologie und Software, die unter diese Kategorien fällt, ist nur insoweit Gegenstand des vorliegenden Anhangs, als sie von der allgemeinen Beschreibung für «Systeme für das Abhören und die Überwachung des Internets, des Telefonverkehrs und der Satellitenkommunikation</w:t>
      </w:r>
      <w:r>
        <w:rPr>
          <w:rFonts w:eastAsia="EUAlbertina-Regular-Identity-H"/>
          <w:szCs w:val="18"/>
        </w:rPr>
        <w:t>»</w:t>
      </w:r>
      <w:r>
        <w:t xml:space="preserve"> erfasst wird. </w:t>
      </w:r>
    </w:p>
    <w:p>
      <w:pPr>
        <w:pStyle w:val="Absatz"/>
        <w:rPr>
          <w:color w:val="19161A"/>
          <w:szCs w:val="18"/>
        </w:rPr>
      </w:pPr>
      <w:r>
        <w:rPr>
          <w:color w:val="19161A"/>
          <w:szCs w:val="18"/>
        </w:rPr>
        <w:t xml:space="preserve">Für die Zwecke dieses Anhangs bezeichnet </w:t>
      </w:r>
      <w:r>
        <w:t>«</w:t>
      </w:r>
      <w:r>
        <w:rPr>
          <w:color w:val="19161A"/>
          <w:szCs w:val="18"/>
        </w:rPr>
        <w:t>Überwachung</w:t>
      </w:r>
      <w:r>
        <w:rPr>
          <w:rFonts w:eastAsia="EUAlbertina-Regular-Identity-H"/>
          <w:szCs w:val="18"/>
        </w:rPr>
        <w:t>»</w:t>
      </w:r>
      <w:r>
        <w:rPr>
          <w:color w:val="19161A"/>
          <w:szCs w:val="18"/>
        </w:rPr>
        <w:t xml:space="preserve"> die Erfassung, Extrahierung, Entschlüsselung, Aufzeichnung, Verarbeitung, Analyse und Archivierung von Gesprächsinhalten oder Netzdaten.</w:t>
      </w:r>
    </w:p>
    <w:p>
      <w:pPr>
        <w:pStyle w:val="Abstand4pt"/>
      </w:pPr>
    </w:p>
    <w:p>
      <w:pPr>
        <w:pStyle w:val="TitelAnh1"/>
      </w:pPr>
      <w:r>
        <w:t xml:space="preserve">4. Ausnahmen </w:t>
      </w:r>
    </w:p>
    <w:p>
      <w:pPr>
        <w:pStyle w:val="Absatz"/>
      </w:pPr>
      <w:r>
        <w:t>Ausgenommen von den Ziffern 1–3 ist:</w:t>
      </w:r>
    </w:p>
    <w:p>
      <w:pPr>
        <w:pStyle w:val="Struktur1"/>
      </w:pPr>
      <w:r>
        <w:t>a.</w:t>
      </w:r>
      <w:r>
        <w:tab/>
        <w:t xml:space="preserve">Software, die dazu entwickelt ist, um vom Benutzer ohne umfangreiche Unterstützung durch den Lieferanten installiert zu werden, und die frei erhältlich ist und im Einzelhandel ohne Einschränkungen mittels einer der folgenden Geschäftspraktiken verkauft wird: </w:t>
      </w:r>
    </w:p>
    <w:p>
      <w:pPr>
        <w:pStyle w:val="Struktur2"/>
      </w:pPr>
      <w:r>
        <w:t>1.</w:t>
      </w:r>
      <w:r>
        <w:tab/>
        <w:t xml:space="preserve">Barverkauf, </w:t>
      </w:r>
    </w:p>
    <w:p>
      <w:pPr>
        <w:pStyle w:val="Struktur2"/>
      </w:pPr>
      <w:r>
        <w:t>2.</w:t>
      </w:r>
      <w:r>
        <w:tab/>
        <w:t xml:space="preserve">Versandverkauf, </w:t>
      </w:r>
    </w:p>
    <w:p>
      <w:pPr>
        <w:pStyle w:val="Struktur2"/>
      </w:pPr>
      <w:r>
        <w:t>3.</w:t>
      </w:r>
      <w:r>
        <w:tab/>
        <w:t xml:space="preserve">Verkauf über elektronische Medien, oder </w:t>
      </w:r>
    </w:p>
    <w:p>
      <w:pPr>
        <w:pStyle w:val="Struktur2"/>
      </w:pPr>
      <w:r>
        <w:t>4.</w:t>
      </w:r>
      <w:r>
        <w:tab/>
        <w:t xml:space="preserve">Telefonverkauf; oder </w:t>
      </w:r>
    </w:p>
    <w:p>
      <w:pPr>
        <w:pStyle w:val="Struktur1"/>
      </w:pPr>
      <w:r>
        <w:t>b.</w:t>
      </w:r>
      <w:r>
        <w:tab/>
        <w:t>Software, die allgemein zugänglich ist.</w:t>
      </w:r>
    </w:p>
    <w:p>
      <w:pPr>
        <w:pStyle w:val="TitelAnhrechts"/>
      </w:pPr>
      <w:r>
        <w:lastRenderedPageBreak/>
        <w:t>Anhang 5</w:t>
      </w:r>
      <w:r>
        <w:rPr>
          <w:rStyle w:val="Funotenzeichen"/>
          <w:i w:val="0"/>
          <w:noProof w:val="0"/>
        </w:rPr>
        <w:footnoteReference w:id="31"/>
      </w:r>
    </w:p>
    <w:p>
      <w:pPr>
        <w:pStyle w:val="TitelAnhText"/>
      </w:pPr>
      <w:r>
        <w:t>(Art. 7 Abs. 1, 10 Abs. 1 und 2, 11 Bst. b sowie Art. 14 und 14</w:t>
      </w:r>
      <w:r>
        <w:rPr>
          <w:i/>
        </w:rPr>
        <w:t>a</w:t>
      </w:r>
      <w:r>
        <w:t>)</w:t>
      </w:r>
    </w:p>
    <w:p>
      <w:pPr>
        <w:pStyle w:val="TitelAnhang"/>
      </w:pPr>
      <w:r>
        <w:t>Natürliche Personen, gegen die sich die Finanzsanktionen und das Ein- und Durchreiseverbot richten, sowie Unternehmen und Organisationen, gegen die sich die Finanzsanktionen richten</w:t>
      </w:r>
      <w:r>
        <w:rPr>
          <w:rStyle w:val="Funotenzeichen"/>
          <w:b w:val="0"/>
          <w:noProof w:val="0"/>
        </w:rPr>
        <w:footnoteReference w:id="32"/>
      </w:r>
    </w:p>
    <w:p>
      <w:pPr>
        <w:pStyle w:val="Absatzkurs"/>
        <w:rPr>
          <w:b/>
        </w:rPr>
      </w:pPr>
      <w:r>
        <w:rPr>
          <w:b/>
        </w:rPr>
        <w:t>Anmerkung</w:t>
      </w:r>
    </w:p>
    <w:p>
      <w:pPr>
        <w:pStyle w:val="Absatzkurs"/>
      </w:pPr>
      <w:r>
        <w:t>1. Dieser Anhang entspricht den Listen der vom Sicherheitsrat der Vereinten Nationen bezeichneten natürlichen Personen, Unternehmen und Organisationen.</w:t>
      </w:r>
      <w:r>
        <w:rPr>
          <w:rStyle w:val="Funotenzeichen"/>
          <w:i w:val="0"/>
          <w:noProof w:val="0"/>
        </w:rPr>
        <w:footnoteReference w:id="33"/>
      </w:r>
    </w:p>
    <w:p>
      <w:pPr>
        <w:pStyle w:val="Absatzkurs"/>
      </w:pPr>
      <w:r>
        <w:t>2. Die Listen werden vom SECO in der Regel einen Werktag nach der Mitteilung durch die Vereinten Nationen in die Datenbank SESAM (SECO Sanctions Management) aufgenommen.</w:t>
      </w:r>
    </w:p>
    <w:p>
      <w:pPr>
        <w:pStyle w:val="TitelAnhrechts"/>
      </w:pPr>
      <w:r>
        <w:lastRenderedPageBreak/>
        <w:t>Anhang 6</w:t>
      </w:r>
      <w:r>
        <w:rPr>
          <w:rStyle w:val="Funotenzeichen"/>
          <w:i w:val="0"/>
          <w:noProof w:val="0"/>
        </w:rPr>
        <w:footnoteReference w:id="34"/>
      </w:r>
    </w:p>
    <w:p>
      <w:pPr>
        <w:pStyle w:val="TitelAnhText"/>
      </w:pPr>
      <w:r>
        <w:t>(Art. 7 Abs. 1, 10 Abs. 1 und 3 sowie 11 Bst. b)</w:t>
      </w:r>
    </w:p>
    <w:p>
      <w:pPr>
        <w:pStyle w:val="TitelAnhang"/>
      </w:pPr>
      <w:r>
        <w:t>Natürliche Personen, gegen die sich die Finanzsanktionen und das Ein- und Durchreiseverbot richten, sowie Unternehmen und Organisationen, gegen die sich die Finanzsanktionen richten</w:t>
      </w:r>
      <w:r>
        <w:rPr>
          <w:rStyle w:val="Funotenzeichen"/>
          <w:b w:val="0"/>
          <w:noProof w:val="0"/>
        </w:rPr>
        <w:footnoteReference w:id="35"/>
      </w:r>
    </w:p>
    <w:p>
      <w:pPr>
        <w:pStyle w:val="TitelAnhrechts"/>
      </w:pPr>
      <w:r>
        <w:lastRenderedPageBreak/>
        <w:t>Anhang 7</w:t>
      </w:r>
      <w:r>
        <w:rPr>
          <w:rStyle w:val="Funotenzeichen"/>
          <w:i w:val="0"/>
          <w:noProof w:val="0"/>
        </w:rPr>
        <w:footnoteReference w:id="36"/>
      </w:r>
    </w:p>
    <w:p>
      <w:pPr>
        <w:pStyle w:val="TitelAnhText"/>
      </w:pPr>
      <w:r>
        <w:t>(Art. 7 Abs. 1 und 11 Bst. b)</w:t>
      </w:r>
    </w:p>
    <w:p>
      <w:pPr>
        <w:pStyle w:val="TitelAnhang"/>
      </w:pPr>
      <w:r>
        <w:t xml:space="preserve">Natürliche Personen, gegen die sich </w:t>
      </w:r>
      <w:r>
        <w:br/>
        <w:t>die Finanzsanktionen richten</w:t>
      </w:r>
      <w:r>
        <w:rPr>
          <w:rStyle w:val="Funotenzeichen"/>
          <w:b w:val="0"/>
          <w:noProof w:val="0"/>
        </w:rPr>
        <w:footnoteReference w:id="37"/>
      </w:r>
    </w:p>
    <w:sectPr>
      <w:headerReference w:type="even" r:id="rId7"/>
      <w:headerReference w:type="default" r:id="rId8"/>
      <w:footerReference w:type="even" r:id="rId9"/>
      <w:footerReference w:type="default" r:id="rId10"/>
      <w:footerReference w:type="first" r:id="rId11"/>
      <w:pgSz w:w="8392" w:h="11907" w:code="11"/>
      <w:pgMar w:top="737" w:right="680" w:bottom="850" w:left="1588" w:header="680" w:footer="56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before="0" w:line="240" w:lineRule="auto"/>
      </w:pPr>
      <w:r>
        <w:separator/>
      </w:r>
    </w:p>
  </w:endnote>
  <w:endnote w:type="continuationSeparator" w:id="0">
    <w:p>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EUAlbertina-Regular-Identity-H">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pP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rPr>
      </w:pPr>
      <w:r>
        <w:rPr>
          <w:sz w:val="4"/>
        </w:rPr>
        <w:t> </w:t>
      </w:r>
    </w:p>
  </w:footnote>
  <w:footnote w:type="continuationSeparator" w:id="0">
    <w:p>
      <w:pPr>
        <w:jc w:val="left"/>
        <w:rPr>
          <w:sz w:val="4"/>
        </w:rPr>
      </w:pPr>
      <w:r>
        <w:rPr>
          <w:sz w:val="4"/>
        </w:rPr>
        <w:t> </w:t>
      </w:r>
    </w:p>
  </w:footnote>
  <w:footnote w:id="1">
    <w:p>
      <w:pPr>
        <w:pStyle w:val="AS-Fussnote"/>
      </w:pPr>
      <w:r>
        <w:t xml:space="preserve"> AS </w:t>
      </w:r>
      <w:r>
        <w:rPr>
          <w:b/>
        </w:rPr>
        <w:t>2016</w:t>
      </w:r>
      <w:r>
        <w:t xml:space="preserve"> 59</w:t>
      </w:r>
    </w:p>
  </w:footnote>
  <w:footnote w:id="2">
    <w:p>
      <w:pPr>
        <w:pStyle w:val="Funotentext"/>
      </w:pPr>
      <w:r>
        <w:rPr>
          <w:rStyle w:val="Funotenzeichen"/>
          <w:noProof w:val="0"/>
        </w:rPr>
        <w:footnoteRef/>
      </w:r>
      <w:r>
        <w:tab/>
        <w:t xml:space="preserve">SR </w:t>
      </w:r>
      <w:r>
        <w:rPr>
          <w:b/>
          <w:bCs/>
        </w:rPr>
        <w:t>946.231</w:t>
      </w:r>
    </w:p>
  </w:footnote>
  <w:footnote w:id="3">
    <w:p>
      <w:pPr>
        <w:pStyle w:val="Funotentext"/>
      </w:pPr>
      <w:r>
        <w:rPr>
          <w:rStyle w:val="Funotenzeichen"/>
          <w:noProof w:val="0"/>
        </w:rPr>
        <w:footnoteRef/>
      </w:r>
      <w:r>
        <w:tab/>
        <w:t>Die Berichtigung vom 25. Aug. 2020 betrifft nur den französischen und italienischen Text (AS</w:t>
      </w:r>
      <w:r>
        <w:rPr>
          <w:rFonts w:ascii="TimesNewRoman,Italic" w:hAnsi="TimesNewRoman,Italic" w:cs="TimesNewRoman,Italic"/>
          <w:i/>
          <w:iCs/>
          <w:szCs w:val="18"/>
          <w:lang w:eastAsia="de-CH"/>
        </w:rPr>
        <w:t xml:space="preserve"> </w:t>
      </w:r>
      <w:r>
        <w:rPr>
          <w:rFonts w:ascii="TimesNewRoman,Bold" w:hAnsi="TimesNewRoman,Bold" w:cs="TimesNewRoman,Bold"/>
          <w:b/>
          <w:bCs/>
          <w:szCs w:val="18"/>
          <w:lang w:eastAsia="de-CH"/>
        </w:rPr>
        <w:t xml:space="preserve">2020 </w:t>
      </w:r>
      <w:r>
        <w:t>3607).</w:t>
      </w:r>
    </w:p>
  </w:footnote>
  <w:footnote w:id="4">
    <w:p>
      <w:pPr>
        <w:pStyle w:val="Funotentext"/>
      </w:pPr>
      <w:r>
        <w:rPr>
          <w:rStyle w:val="Funotenzeichen"/>
          <w:noProof w:val="0"/>
        </w:rPr>
        <w:footnoteRef/>
      </w:r>
      <w:r>
        <w:tab/>
        <w:t>Der Text des Gemeinsamen umfassenden Aktionsplans ist in Anhang A der UNO</w:t>
      </w:r>
      <w:r>
        <w:noBreakHyphen/>
        <w:t>Reso</w:t>
      </w:r>
      <w:r>
        <w:softHyphen/>
        <w:t>lution 2231 (2015) enthalten.</w:t>
      </w:r>
      <w:r>
        <w:rPr>
          <w:rFonts w:ascii="TimesNewRoman" w:hAnsi="TimesNewRoman" w:cs="TimesNewRoman"/>
          <w:szCs w:val="16"/>
        </w:rPr>
        <w:t xml:space="preserve"> Die </w:t>
      </w:r>
      <w:r>
        <w:rPr>
          <w:snapToGrid w:val="0"/>
          <w:szCs w:val="24"/>
        </w:rPr>
        <w:t>Texte</w:t>
      </w:r>
      <w:r>
        <w:rPr>
          <w:rFonts w:ascii="TimesNewRoman" w:hAnsi="TimesNewRoman" w:cs="TimesNewRoman"/>
          <w:szCs w:val="16"/>
        </w:rPr>
        <w:t xml:space="preserve"> der Resolutionen des Sicherheitsrats der Vereinten Nationen sind im Internet unter folgender Adresse auf Französisch oder Englisch einsehbar: www.un.org &gt; Peace and Security &gt; Security Council &gt; Documents &gt; Resolutions</w:t>
      </w:r>
    </w:p>
  </w:footnote>
  <w:footnote w:id="5">
    <w:p>
      <w:pPr>
        <w:pStyle w:val="Funotentext"/>
      </w:pPr>
      <w:r>
        <w:rPr>
          <w:rStyle w:val="Funotenzeichen"/>
          <w:noProof w:val="0"/>
        </w:rPr>
        <w:footnoteRef/>
      </w:r>
      <w:r>
        <w:tab/>
        <w:t xml:space="preserve">SR </w:t>
      </w:r>
      <w:r>
        <w:rPr>
          <w:b/>
        </w:rPr>
        <w:t>946.202.1</w:t>
      </w:r>
    </w:p>
  </w:footnote>
  <w:footnote w:id="6">
    <w:p>
      <w:pPr>
        <w:pStyle w:val="Funotentext"/>
      </w:pPr>
      <w:r>
        <w:rPr>
          <w:rStyle w:val="Funotenzeichen"/>
          <w:noProof w:val="0"/>
        </w:rPr>
        <w:footnoteRef/>
      </w:r>
      <w:r>
        <w:tab/>
        <w:t>Der Verweis wurde in Anwendung von Art. 12 Abs. 2 des Publikations</w:t>
      </w:r>
      <w:r>
        <w:softHyphen/>
        <w:t xml:space="preserve">gesetzes vom </w:t>
      </w:r>
      <w:r>
        <w:br/>
        <w:t>18. Juni 2004 (</w:t>
      </w:r>
      <w:hyperlink r:id="rId1" w:tgtFrame="_blank" w:history="1">
        <w:r>
          <w:t xml:space="preserve">AS </w:t>
        </w:r>
        <w:r>
          <w:rPr>
            <w:b/>
          </w:rPr>
          <w:t>2004</w:t>
        </w:r>
        <w:r>
          <w:t xml:space="preserve"> 4929</w:t>
        </w:r>
      </w:hyperlink>
      <w:r>
        <w:t>) auf den 1. Juli 2016 angepasst.</w:t>
      </w:r>
    </w:p>
  </w:footnote>
  <w:footnote w:id="7">
    <w:p>
      <w:pPr>
        <w:pStyle w:val="Funotentext"/>
      </w:pPr>
      <w:r>
        <w:rPr>
          <w:rStyle w:val="Funotenzeichen"/>
          <w:noProof w:val="0"/>
        </w:rPr>
        <w:footnoteRef/>
      </w:r>
      <w:r>
        <w:tab/>
        <w:t xml:space="preserve">Die Richtlinien der Gruppe der Nuklearlieferländer sind im Internet unter folgender Adresse einsehbar: </w:t>
      </w:r>
      <w:hyperlink r:id="rId2" w:history="1">
        <w:r>
          <w:rPr>
            <w:rFonts w:eastAsia="Century Gothic"/>
          </w:rPr>
          <w:t>ww</w:t>
        </w:r>
        <w:bookmarkStart w:id="2" w:name="_Hlt434485273"/>
        <w:bookmarkStart w:id="3" w:name="_Hlt434485274"/>
        <w:r>
          <w:rPr>
            <w:rFonts w:eastAsia="Century Gothic"/>
          </w:rPr>
          <w:t>w</w:t>
        </w:r>
        <w:bookmarkEnd w:id="2"/>
        <w:bookmarkEnd w:id="3"/>
        <w:r>
          <w:rPr>
            <w:rFonts w:eastAsia="Century Gothic"/>
          </w:rPr>
          <w:t>.</w:t>
        </w:r>
        <w:bookmarkStart w:id="4" w:name="_Hlt450823164"/>
        <w:bookmarkStart w:id="5" w:name="_Hlt450823165"/>
        <w:r>
          <w:rPr>
            <w:rFonts w:eastAsia="Century Gothic"/>
          </w:rPr>
          <w:t>n</w:t>
        </w:r>
        <w:bookmarkEnd w:id="4"/>
        <w:bookmarkEnd w:id="5"/>
        <w:r>
          <w:rPr>
            <w:rFonts w:eastAsia="Century Gothic"/>
          </w:rPr>
          <w:t>uclearsup</w:t>
        </w:r>
        <w:bookmarkStart w:id="6" w:name="_Hlt451343025"/>
        <w:bookmarkStart w:id="7" w:name="_Hlt451343026"/>
        <w:r>
          <w:rPr>
            <w:rFonts w:eastAsia="Century Gothic"/>
          </w:rPr>
          <w:t>p</w:t>
        </w:r>
        <w:bookmarkEnd w:id="6"/>
        <w:bookmarkEnd w:id="7"/>
        <w:r>
          <w:rPr>
            <w:rFonts w:eastAsia="Century Gothic"/>
          </w:rPr>
          <w:t>li</w:t>
        </w:r>
        <w:bookmarkStart w:id="8" w:name="_Hlt450822743"/>
        <w:bookmarkStart w:id="9" w:name="_Hlt450822744"/>
        <w:r>
          <w:rPr>
            <w:rFonts w:eastAsia="Century Gothic"/>
          </w:rPr>
          <w:t>e</w:t>
        </w:r>
        <w:bookmarkEnd w:id="8"/>
        <w:bookmarkEnd w:id="9"/>
        <w:r>
          <w:rPr>
            <w:rFonts w:eastAsia="Century Gothic"/>
          </w:rPr>
          <w:t>rsgroup.org</w:t>
        </w:r>
      </w:hyperlink>
      <w:r>
        <w:t xml:space="preserve"> &gt; Richtlinien</w:t>
      </w:r>
    </w:p>
  </w:footnote>
  <w:footnote w:id="8">
    <w:p>
      <w:pPr>
        <w:pStyle w:val="Funotentext"/>
      </w:pPr>
      <w:r>
        <w:rPr>
          <w:rStyle w:val="Funotenzeichen"/>
          <w:noProof w:val="0"/>
        </w:rPr>
        <w:footnoteRef/>
      </w:r>
      <w:r>
        <w:tab/>
        <w:t xml:space="preserve">Fassung gemäss Ziff. I der V vom 18. Mai 2016, in Kraft seit 18. Mai 2016 </w:t>
      </w:r>
      <w:r>
        <w:br/>
        <w:t xml:space="preserve">(AS </w:t>
      </w:r>
      <w:r>
        <w:rPr>
          <w:b/>
        </w:rPr>
        <w:t>2016</w:t>
      </w:r>
      <w:r>
        <w:t xml:space="preserve"> 1479).</w:t>
      </w:r>
    </w:p>
  </w:footnote>
  <w:footnote w:id="9">
    <w:p>
      <w:pPr>
        <w:pStyle w:val="Funotentext"/>
      </w:pPr>
      <w:r>
        <w:rPr>
          <w:rStyle w:val="Funotenzeichen"/>
          <w:noProof w:val="0"/>
        </w:rPr>
        <w:footnoteRef/>
      </w:r>
      <w:r>
        <w:tab/>
        <w:t xml:space="preserve">Eingefügt durch Ziff. I der V vom 18. Mai 2016, in Kraft seit 18. Mai 2016 </w:t>
      </w:r>
      <w:r>
        <w:br/>
        <w:t xml:space="preserve">(AS </w:t>
      </w:r>
      <w:r>
        <w:rPr>
          <w:b/>
        </w:rPr>
        <w:t>2016</w:t>
      </w:r>
      <w:r>
        <w:t xml:space="preserve"> 1479).</w:t>
      </w:r>
    </w:p>
  </w:footnote>
  <w:footnote w:id="10">
    <w:p>
      <w:pPr>
        <w:pStyle w:val="Funotentext"/>
      </w:pPr>
      <w:r>
        <w:rPr>
          <w:rStyle w:val="Funotenzeichen"/>
          <w:noProof w:val="0"/>
        </w:rPr>
        <w:footnoteRef/>
      </w:r>
      <w:r>
        <w:tab/>
        <w:t xml:space="preserve">Eingefügt durch Ziff. I der V vom 18. Mai 2016, in Kraft seit 18. Mai 2016 </w:t>
      </w:r>
      <w:r>
        <w:br/>
        <w:t xml:space="preserve">(AS </w:t>
      </w:r>
      <w:r>
        <w:rPr>
          <w:b/>
        </w:rPr>
        <w:t>2016</w:t>
      </w:r>
      <w:r>
        <w:t xml:space="preserve"> 1479).</w:t>
      </w:r>
    </w:p>
  </w:footnote>
  <w:footnote w:id="11">
    <w:p>
      <w:pPr>
        <w:pStyle w:val="Funotentext"/>
      </w:pPr>
      <w:r>
        <w:rPr>
          <w:rStyle w:val="Funotenzeichen"/>
          <w:noProof w:val="0"/>
        </w:rPr>
        <w:footnoteRef/>
      </w:r>
      <w:r>
        <w:t xml:space="preserve"> </w:t>
      </w:r>
      <w:r>
        <w:tab/>
      </w:r>
      <w:r>
        <w:rPr>
          <w:rFonts w:ascii="TimesNewRoman" w:hAnsi="TimesNewRoman" w:cs="TimesNewRoman"/>
          <w:szCs w:val="16"/>
        </w:rPr>
        <w:t xml:space="preserve">Die </w:t>
      </w:r>
      <w:r>
        <w:rPr>
          <w:snapToGrid w:val="0"/>
          <w:szCs w:val="24"/>
        </w:rPr>
        <w:t>Texte</w:t>
      </w:r>
      <w:r>
        <w:rPr>
          <w:rFonts w:ascii="TimesNewRoman" w:hAnsi="TimesNewRoman" w:cs="TimesNewRoman"/>
          <w:szCs w:val="16"/>
        </w:rPr>
        <w:t xml:space="preserve"> der Resolutionen des Sicherheitsrats der Vereinten Nationen sind im Internet unter folgender Adresse auf Französisch oder Englisch einsehbar: www.un.org &gt; Peace and Security &gt; Security Council &gt; Documents &gt; Resolutions</w:t>
      </w:r>
    </w:p>
  </w:footnote>
  <w:footnote w:id="12">
    <w:p>
      <w:pPr>
        <w:pStyle w:val="Funotentext"/>
      </w:pPr>
      <w:r>
        <w:rPr>
          <w:rStyle w:val="Funotenzeichen"/>
          <w:noProof w:val="0"/>
        </w:rPr>
        <w:footnoteRef/>
      </w:r>
      <w:r>
        <w:tab/>
        <w:t>Der Verweis wurde in Anwendung von Art. 12 Abs. 2 des Publikations</w:t>
      </w:r>
      <w:r>
        <w:softHyphen/>
        <w:t xml:space="preserve">gesetzes vom </w:t>
      </w:r>
      <w:r>
        <w:br/>
        <w:t xml:space="preserve">18. Juni 2004 (SR </w:t>
      </w:r>
      <w:r>
        <w:rPr>
          <w:b/>
        </w:rPr>
        <w:t>170.512</w:t>
      </w:r>
      <w:r>
        <w:t>) auf den 1. Juli 2016 angepasst.</w:t>
      </w:r>
    </w:p>
  </w:footnote>
  <w:footnote w:id="13">
    <w:p>
      <w:pPr>
        <w:pStyle w:val="Funotentext"/>
      </w:pPr>
      <w:r>
        <w:rPr>
          <w:rStyle w:val="Funotenzeichen"/>
          <w:noProof w:val="0"/>
        </w:rPr>
        <w:footnoteRef/>
      </w:r>
      <w:r>
        <w:tab/>
        <w:t xml:space="preserve">SR </w:t>
      </w:r>
      <w:r>
        <w:rPr>
          <w:b/>
        </w:rPr>
        <w:t>946.202.1</w:t>
      </w:r>
    </w:p>
  </w:footnote>
  <w:footnote w:id="14">
    <w:p>
      <w:pPr>
        <w:pStyle w:val="Funotentext"/>
      </w:pPr>
      <w:r>
        <w:rPr>
          <w:rStyle w:val="Funotenzeichen"/>
          <w:noProof w:val="0"/>
        </w:rPr>
        <w:footnoteRef/>
      </w:r>
      <w:r>
        <w:tab/>
        <w:t xml:space="preserve">SR </w:t>
      </w:r>
      <w:r>
        <w:rPr>
          <w:b/>
          <w:bCs/>
        </w:rPr>
        <w:t>732.11</w:t>
      </w:r>
    </w:p>
  </w:footnote>
  <w:footnote w:id="15">
    <w:p>
      <w:pPr>
        <w:pStyle w:val="Funotentext"/>
      </w:pPr>
      <w:r>
        <w:rPr>
          <w:rStyle w:val="Funotenzeichen"/>
          <w:noProof w:val="0"/>
        </w:rPr>
        <w:footnoteRef/>
      </w:r>
      <w:r>
        <w:tab/>
        <w:t xml:space="preserve">SR </w:t>
      </w:r>
      <w:r>
        <w:rPr>
          <w:b/>
          <w:bCs/>
        </w:rPr>
        <w:t>946.202.1</w:t>
      </w:r>
      <w:r>
        <w:rPr>
          <w:bCs/>
        </w:rPr>
        <w:t>;</w:t>
      </w:r>
      <w:r>
        <w:t xml:space="preserve"> der Inhalt von Anhang 2 GKV kann im Internet abgerufen werden unter www.seco.admin.ch &gt; Aussenwirtschaft &amp; Wirtschaftliche Zusammenarbeit &gt; Exportkontrollen und Sanktionen &gt; Industrieprodukte und besondere militärische Güter &gt; Rechtliche Grundlagen und Güterlisten.</w:t>
      </w:r>
    </w:p>
  </w:footnote>
  <w:footnote w:id="16">
    <w:p>
      <w:pPr>
        <w:pStyle w:val="Funotentext"/>
      </w:pPr>
      <w:r>
        <w:rPr>
          <w:rStyle w:val="Funotenzeichen"/>
          <w:noProof w:val="0"/>
        </w:rPr>
        <w:footnoteRef/>
      </w:r>
      <w:r>
        <w:t xml:space="preserve"> </w:t>
      </w:r>
      <w:r>
        <w:tab/>
        <w:t>Der Text des Gemeinsamen umfassenden Aktionsplans ist in Anhang A der UNO-Reso</w:t>
      </w:r>
      <w:r>
        <w:softHyphen/>
        <w:t>lution 2231 (2015) enthalten.</w:t>
      </w:r>
      <w:r>
        <w:rPr>
          <w:rFonts w:ascii="TimesNewRoman" w:hAnsi="TimesNewRoman" w:cs="TimesNewRoman"/>
          <w:szCs w:val="16"/>
        </w:rPr>
        <w:t xml:space="preserve"> Die </w:t>
      </w:r>
      <w:r>
        <w:rPr>
          <w:snapToGrid w:val="0"/>
          <w:szCs w:val="24"/>
        </w:rPr>
        <w:t>Texte</w:t>
      </w:r>
      <w:r>
        <w:rPr>
          <w:rFonts w:ascii="TimesNewRoman" w:hAnsi="TimesNewRoman" w:cs="TimesNewRoman"/>
          <w:szCs w:val="16"/>
        </w:rPr>
        <w:t xml:space="preserve"> der Resolutionen des Sicherheitsrats der Vereinten Nationen sind im Internet unter folgender Adresse auf Französisch oder Englisch einsehbar: www.un.org &gt; Peace and Security &gt; Security Council &gt; Documents &gt; Resolutions</w:t>
      </w:r>
    </w:p>
  </w:footnote>
  <w:footnote w:id="17">
    <w:p>
      <w:pPr>
        <w:pStyle w:val="Funotentext"/>
      </w:pPr>
      <w:r>
        <w:rPr>
          <w:rStyle w:val="Funotenzeichen"/>
          <w:noProof w:val="0"/>
        </w:rPr>
        <w:footnoteRef/>
      </w:r>
      <w:r>
        <w:t xml:space="preserve"> </w:t>
      </w:r>
      <w:r>
        <w:tab/>
      </w:r>
      <w:r>
        <w:rPr>
          <w:rFonts w:ascii="TimesNewRoman" w:hAnsi="TimesNewRoman" w:cs="TimesNewRoman"/>
          <w:szCs w:val="16"/>
        </w:rPr>
        <w:t xml:space="preserve">Die </w:t>
      </w:r>
      <w:r>
        <w:rPr>
          <w:snapToGrid w:val="0"/>
          <w:szCs w:val="24"/>
        </w:rPr>
        <w:t>Texte</w:t>
      </w:r>
      <w:r>
        <w:rPr>
          <w:rFonts w:ascii="TimesNewRoman" w:hAnsi="TimesNewRoman" w:cs="TimesNewRoman"/>
          <w:szCs w:val="16"/>
        </w:rPr>
        <w:t xml:space="preserve"> der Resolutionen des Sicherheitsrats der Vereinten Nationen sind im Internet unter folgender Adresse auf Französisch oder Englisch einsehbar: www.un.org &gt; Peace and Security &gt; Security Council &gt; Documents &gt; Resolutions</w:t>
      </w:r>
    </w:p>
  </w:footnote>
  <w:footnote w:id="18">
    <w:p>
      <w:pPr>
        <w:pStyle w:val="Funotentext"/>
      </w:pPr>
      <w:r>
        <w:rPr>
          <w:rStyle w:val="Funotenzeichen"/>
          <w:noProof w:val="0"/>
        </w:rPr>
        <w:footnoteRef/>
      </w:r>
      <w:r>
        <w:t xml:space="preserve"> </w:t>
      </w:r>
      <w:r>
        <w:tab/>
        <w:t>Der Text des Gemeinsamen umfassenden Aktionsplans ist in Anhang A der UNO-Reso</w:t>
      </w:r>
      <w:r>
        <w:softHyphen/>
        <w:t>lution 2231 (2015) enthalten.</w:t>
      </w:r>
      <w:r>
        <w:rPr>
          <w:rFonts w:ascii="TimesNewRoman" w:hAnsi="TimesNewRoman" w:cs="TimesNewRoman"/>
          <w:szCs w:val="16"/>
        </w:rPr>
        <w:t xml:space="preserve"> Die </w:t>
      </w:r>
      <w:r>
        <w:rPr>
          <w:snapToGrid w:val="0"/>
          <w:szCs w:val="24"/>
        </w:rPr>
        <w:t>Texte</w:t>
      </w:r>
      <w:r>
        <w:rPr>
          <w:rFonts w:ascii="TimesNewRoman" w:hAnsi="TimesNewRoman" w:cs="TimesNewRoman"/>
          <w:szCs w:val="16"/>
        </w:rPr>
        <w:t xml:space="preserve"> der Resolutionen des Sicherheitsrats der Vereinten Nationen ist im Internet unter folgender Adresse auf Französisch oder Englisch einsehbar: www.un.org &gt; Peace and Security &gt; Security Council &gt; Documents &gt; Resolutions</w:t>
      </w:r>
    </w:p>
  </w:footnote>
  <w:footnote w:id="19">
    <w:p>
      <w:pPr>
        <w:pStyle w:val="Funotentext"/>
      </w:pPr>
      <w:r>
        <w:rPr>
          <w:rStyle w:val="Funotenzeichen"/>
          <w:noProof w:val="0"/>
        </w:rPr>
        <w:footnoteRef/>
      </w:r>
      <w:r>
        <w:t xml:space="preserve"> </w:t>
      </w:r>
      <w:r>
        <w:tab/>
        <w:t xml:space="preserve">[AS </w:t>
      </w:r>
      <w:r>
        <w:rPr>
          <w:b/>
        </w:rPr>
        <w:t>2011</w:t>
      </w:r>
      <w:r>
        <w:t xml:space="preserve"> 383; </w:t>
      </w:r>
      <w:r>
        <w:rPr>
          <w:b/>
          <w:szCs w:val="24"/>
        </w:rPr>
        <w:t xml:space="preserve">2012 </w:t>
      </w:r>
      <w:r>
        <w:rPr>
          <w:szCs w:val="24"/>
        </w:rPr>
        <w:t xml:space="preserve">3869; </w:t>
      </w:r>
      <w:r>
        <w:rPr>
          <w:b/>
          <w:szCs w:val="24"/>
        </w:rPr>
        <w:t>2013</w:t>
      </w:r>
      <w:r>
        <w:rPr>
          <w:szCs w:val="24"/>
        </w:rPr>
        <w:t xml:space="preserve"> 255 Ziff. I 15, 955, 2155, 3285, 5499;</w:t>
      </w:r>
      <w:r>
        <w:rPr>
          <w:b/>
          <w:szCs w:val="24"/>
        </w:rPr>
        <w:t xml:space="preserve"> 2014 </w:t>
      </w:r>
      <w:r>
        <w:rPr>
          <w:szCs w:val="24"/>
        </w:rPr>
        <w:t>3055,</w:t>
      </w:r>
      <w:r>
        <w:rPr>
          <w:b/>
          <w:szCs w:val="24"/>
        </w:rPr>
        <w:t xml:space="preserve"> </w:t>
      </w:r>
      <w:r>
        <w:rPr>
          <w:szCs w:val="24"/>
        </w:rPr>
        <w:t>3365, 4697;</w:t>
      </w:r>
      <w:r>
        <w:rPr>
          <w:b/>
          <w:szCs w:val="24"/>
        </w:rPr>
        <w:t xml:space="preserve"> 2015 </w:t>
      </w:r>
      <w:r>
        <w:rPr>
          <w:szCs w:val="24"/>
        </w:rPr>
        <w:t>1369, 2727, 2843]</w:t>
      </w:r>
    </w:p>
  </w:footnote>
  <w:footnote w:id="20">
    <w:p>
      <w:pPr>
        <w:pStyle w:val="Funotentext"/>
      </w:pPr>
      <w:r>
        <w:rPr>
          <w:rStyle w:val="Funotenzeichen"/>
          <w:noProof w:val="0"/>
        </w:rPr>
        <w:footnoteRef/>
      </w:r>
      <w:r>
        <w:tab/>
        <w:t xml:space="preserve">[AS </w:t>
      </w:r>
      <w:r>
        <w:rPr>
          <w:b/>
          <w:szCs w:val="24"/>
        </w:rPr>
        <w:t>2007</w:t>
      </w:r>
      <w:r>
        <w:rPr>
          <w:szCs w:val="24"/>
        </w:rPr>
        <w:t xml:space="preserve"> 403; </w:t>
      </w:r>
      <w:r>
        <w:rPr>
          <w:b/>
          <w:szCs w:val="24"/>
        </w:rPr>
        <w:t>2008</w:t>
      </w:r>
      <w:r>
        <w:rPr>
          <w:szCs w:val="24"/>
        </w:rPr>
        <w:t xml:space="preserve"> 1821, 4101; </w:t>
      </w:r>
      <w:r>
        <w:rPr>
          <w:b/>
          <w:szCs w:val="24"/>
        </w:rPr>
        <w:t>2010</w:t>
      </w:r>
      <w:r>
        <w:rPr>
          <w:szCs w:val="24"/>
        </w:rPr>
        <w:t xml:space="preserve"> 2879, 3569]</w:t>
      </w:r>
    </w:p>
  </w:footnote>
  <w:footnote w:id="21">
    <w:p>
      <w:pPr>
        <w:pStyle w:val="Funotentext"/>
      </w:pPr>
      <w:r>
        <w:rPr>
          <w:rStyle w:val="Funotenzeichen"/>
        </w:rPr>
        <w:footnoteRef/>
      </w:r>
      <w:r>
        <w:tab/>
        <w:t xml:space="preserve">Die Bezeichnung der Verwaltungseinheit wurde in Anwendung von Art. 20 Abs. 2 der Publikationsverordnung vom 7. Okt. 2015 (SR </w:t>
      </w:r>
      <w:r>
        <w:rPr>
          <w:b/>
        </w:rPr>
        <w:t>170.512.1</w:t>
      </w:r>
      <w:r>
        <w:t xml:space="preserve">) auf den 1. Jan. 2022 angepasst (AS </w:t>
      </w:r>
      <w:r>
        <w:rPr>
          <w:b/>
        </w:rPr>
        <w:t>2021</w:t>
      </w:r>
      <w:r>
        <w:t xml:space="preserve"> 589).</w:t>
      </w:r>
    </w:p>
  </w:footnote>
  <w:footnote w:id="22">
    <w:p>
      <w:pPr>
        <w:pStyle w:val="Funotentext"/>
      </w:pPr>
      <w:r>
        <w:rPr>
          <w:rStyle w:val="Funotenzeichen"/>
          <w:noProof w:val="0"/>
        </w:rPr>
        <w:footnoteRef/>
      </w:r>
      <w:r>
        <w:tab/>
      </w:r>
      <w:r>
        <w:rPr>
          <w:szCs w:val="24"/>
        </w:rPr>
        <w:t xml:space="preserve">Fassung gemäss Ziff. I 12 der V vom 4. März 2016 </w:t>
      </w:r>
      <w:r>
        <w:t>über die automatische Übernahme von Sanktionslisten des Sicherheitsrats der Vereinten Nationen</w:t>
      </w:r>
      <w:r>
        <w:rPr>
          <w:szCs w:val="24"/>
        </w:rPr>
        <w:t xml:space="preserve">, in Kraft seit 4. März 2016 </w:t>
      </w:r>
      <w:r>
        <w:rPr>
          <w:szCs w:val="24"/>
        </w:rPr>
        <w:br/>
        <w:t xml:space="preserve">(AS </w:t>
      </w:r>
      <w:r>
        <w:rPr>
          <w:b/>
          <w:szCs w:val="24"/>
        </w:rPr>
        <w:t xml:space="preserve">2016 </w:t>
      </w:r>
      <w:r>
        <w:rPr>
          <w:szCs w:val="24"/>
        </w:rPr>
        <w:t>671).</w:t>
      </w:r>
    </w:p>
  </w:footnote>
  <w:footnote w:id="23">
    <w:p>
      <w:pPr>
        <w:pStyle w:val="Funotentext"/>
      </w:pPr>
      <w:r>
        <w:rPr>
          <w:rStyle w:val="Funotenzeichen"/>
          <w:noProof w:val="0"/>
        </w:rPr>
        <w:footnoteRef/>
      </w:r>
      <w:r>
        <w:tab/>
      </w:r>
      <w:r>
        <w:rPr>
          <w:szCs w:val="24"/>
        </w:rPr>
        <w:t xml:space="preserve">Eingefügt durch Ziff. I 12 der V vom 4. März 2016 </w:t>
      </w:r>
      <w:r>
        <w:t>über die automatische Übernahme von Sanktionslisten des Sicherheitsrats der Vereinten Nationen</w:t>
      </w:r>
      <w:r>
        <w:rPr>
          <w:szCs w:val="24"/>
        </w:rPr>
        <w:t xml:space="preserve">, in Kraft seit 4. März 2016 </w:t>
      </w:r>
      <w:r>
        <w:rPr>
          <w:szCs w:val="24"/>
        </w:rPr>
        <w:br/>
        <w:t xml:space="preserve">(AS </w:t>
      </w:r>
      <w:r>
        <w:rPr>
          <w:b/>
          <w:szCs w:val="24"/>
        </w:rPr>
        <w:t xml:space="preserve">2016 </w:t>
      </w:r>
      <w:r>
        <w:rPr>
          <w:szCs w:val="24"/>
        </w:rPr>
        <w:t>671).</w:t>
      </w:r>
    </w:p>
  </w:footnote>
  <w:footnote w:id="24">
    <w:p>
      <w:pPr>
        <w:pStyle w:val="Funotentext"/>
      </w:pPr>
      <w:r>
        <w:rPr>
          <w:rStyle w:val="Funotenzeichen"/>
          <w:noProof w:val="0"/>
        </w:rPr>
        <w:footnoteRef/>
      </w:r>
      <w:r>
        <w:t xml:space="preserve"> </w:t>
      </w:r>
      <w:r>
        <w:tab/>
        <w:t xml:space="preserve">[AS </w:t>
      </w:r>
      <w:r>
        <w:rPr>
          <w:b/>
        </w:rPr>
        <w:t>2011</w:t>
      </w:r>
      <w:r>
        <w:t xml:space="preserve"> 383; </w:t>
      </w:r>
      <w:r>
        <w:rPr>
          <w:b/>
          <w:szCs w:val="24"/>
        </w:rPr>
        <w:t xml:space="preserve">2012 </w:t>
      </w:r>
      <w:r>
        <w:rPr>
          <w:szCs w:val="24"/>
        </w:rPr>
        <w:t xml:space="preserve">3869; </w:t>
      </w:r>
      <w:r>
        <w:rPr>
          <w:b/>
          <w:szCs w:val="24"/>
        </w:rPr>
        <w:t>2013</w:t>
      </w:r>
      <w:r>
        <w:rPr>
          <w:szCs w:val="24"/>
        </w:rPr>
        <w:t xml:space="preserve"> 255 Ziff. I 15, 955, 2155, 3285, 5499;</w:t>
      </w:r>
      <w:r>
        <w:rPr>
          <w:b/>
          <w:szCs w:val="24"/>
        </w:rPr>
        <w:t xml:space="preserve"> 2014 </w:t>
      </w:r>
      <w:r>
        <w:rPr>
          <w:szCs w:val="24"/>
        </w:rPr>
        <w:t>3055,</w:t>
      </w:r>
      <w:r>
        <w:rPr>
          <w:b/>
          <w:szCs w:val="24"/>
        </w:rPr>
        <w:t xml:space="preserve"> </w:t>
      </w:r>
      <w:r>
        <w:rPr>
          <w:szCs w:val="24"/>
        </w:rPr>
        <w:t>3365, 4697;</w:t>
      </w:r>
      <w:r>
        <w:rPr>
          <w:b/>
          <w:szCs w:val="24"/>
        </w:rPr>
        <w:t xml:space="preserve"> 2015 </w:t>
      </w:r>
      <w:r>
        <w:rPr>
          <w:szCs w:val="24"/>
        </w:rPr>
        <w:t>1369, 2727, 2843]</w:t>
      </w:r>
    </w:p>
  </w:footnote>
  <w:footnote w:id="25">
    <w:p>
      <w:pPr>
        <w:pStyle w:val="Funotentext"/>
      </w:pPr>
      <w:r>
        <w:rPr>
          <w:rStyle w:val="Funotenzeichen"/>
          <w:noProof w:val="0"/>
        </w:rPr>
        <w:footnoteRef/>
      </w:r>
      <w:r>
        <w:tab/>
        <w:t xml:space="preserve">SR </w:t>
      </w:r>
      <w:r>
        <w:rPr>
          <w:b/>
        </w:rPr>
        <w:t>946.202.1</w:t>
      </w:r>
    </w:p>
  </w:footnote>
  <w:footnote w:id="26">
    <w:p>
      <w:pPr>
        <w:pStyle w:val="Funotentext"/>
      </w:pPr>
      <w:r>
        <w:rPr>
          <w:rStyle w:val="Funotenzeichen"/>
          <w:noProof w:val="0"/>
        </w:rPr>
        <w:footnoteRef/>
      </w:r>
      <w:r>
        <w:tab/>
        <w:t xml:space="preserve">SR </w:t>
      </w:r>
      <w:r>
        <w:rPr>
          <w:b/>
        </w:rPr>
        <w:t>514.511</w:t>
      </w:r>
    </w:p>
  </w:footnote>
  <w:footnote w:id="27">
    <w:p>
      <w:pPr>
        <w:pStyle w:val="Funotentext"/>
      </w:pPr>
      <w:r>
        <w:rPr>
          <w:rStyle w:val="Funotenzeichen"/>
          <w:noProof w:val="0"/>
        </w:rPr>
        <w:footnoteRef/>
      </w:r>
      <w:r>
        <w:t xml:space="preserve"> </w:t>
      </w:r>
      <w:r>
        <w:tab/>
        <w:t xml:space="preserve">SR </w:t>
      </w:r>
      <w:r>
        <w:rPr>
          <w:b/>
        </w:rPr>
        <w:t>732.11</w:t>
      </w:r>
    </w:p>
  </w:footnote>
  <w:footnote w:id="28">
    <w:p>
      <w:pPr>
        <w:pStyle w:val="Funotentext"/>
      </w:pPr>
      <w:r>
        <w:rPr>
          <w:rStyle w:val="Funotenzeichen"/>
          <w:noProof w:val="0"/>
        </w:rPr>
        <w:footnoteRef/>
      </w:r>
      <w:r>
        <w:tab/>
        <w:t xml:space="preserve">SR </w:t>
      </w:r>
      <w:r>
        <w:rPr>
          <w:b/>
        </w:rPr>
        <w:t>946.202.1</w:t>
      </w:r>
    </w:p>
  </w:footnote>
  <w:footnote w:id="29">
    <w:p>
      <w:pPr>
        <w:pStyle w:val="Funotentext"/>
      </w:pPr>
      <w:r>
        <w:rPr>
          <w:rStyle w:val="Funotenzeichen"/>
          <w:noProof w:val="0"/>
        </w:rPr>
        <w:footnoteRef/>
      </w:r>
      <w:r>
        <w:tab/>
        <w:t xml:space="preserve">SR </w:t>
      </w:r>
      <w:r>
        <w:rPr>
          <w:b/>
        </w:rPr>
        <w:t>514.511</w:t>
      </w:r>
    </w:p>
  </w:footnote>
  <w:footnote w:id="30">
    <w:p>
      <w:pPr>
        <w:pStyle w:val="Funotentext"/>
      </w:pPr>
      <w:r>
        <w:rPr>
          <w:rStyle w:val="Funotenzeichen"/>
          <w:noProof w:val="0"/>
        </w:rPr>
        <w:footnoteRef/>
      </w:r>
      <w:r>
        <w:tab/>
        <w:t xml:space="preserve">SR </w:t>
      </w:r>
      <w:r>
        <w:rPr>
          <w:b/>
          <w:bCs/>
        </w:rPr>
        <w:t>946.202.1</w:t>
      </w:r>
      <w:r>
        <w:t>. Anhang 3 GKV ist auf  folgender Internetseite zu finden: www.seco.admin.ch &gt; Aussenwirtschaft &amp; Wirtschaftliche Zusammenarbeit &gt; Exportkontrollen und Sanktionen &gt; Industrie</w:t>
      </w:r>
      <w:r>
        <w:softHyphen/>
        <w:t>produkte und besondere militärische Güter &gt; Rechtliche Grundlagen und Güterlisten.</w:t>
      </w:r>
    </w:p>
  </w:footnote>
  <w:footnote w:id="31">
    <w:p>
      <w:pPr>
        <w:pStyle w:val="Funotentext"/>
      </w:pPr>
      <w:r>
        <w:rPr>
          <w:rStyle w:val="Funotenzeichen"/>
          <w:noProof w:val="0"/>
        </w:rPr>
        <w:footnoteRef/>
      </w:r>
      <w:r>
        <w:tab/>
      </w:r>
      <w:r>
        <w:rPr>
          <w:szCs w:val="24"/>
        </w:rPr>
        <w:t xml:space="preserve">Fassung gemäss Ziff. I 12 der V vom 4. März 2016 </w:t>
      </w:r>
      <w:r>
        <w:t>über die automatische Übernahme von Sanktionslisten des Sicherheitsrats der Vereinten Nationen</w:t>
      </w:r>
      <w:r>
        <w:rPr>
          <w:szCs w:val="24"/>
        </w:rPr>
        <w:t xml:space="preserve">, in Kraft seit 4. März 2016 </w:t>
      </w:r>
      <w:r>
        <w:rPr>
          <w:szCs w:val="24"/>
        </w:rPr>
        <w:br/>
        <w:t xml:space="preserve">(AS </w:t>
      </w:r>
      <w:r>
        <w:rPr>
          <w:b/>
          <w:szCs w:val="24"/>
        </w:rPr>
        <w:t xml:space="preserve">2016 </w:t>
      </w:r>
      <w:r>
        <w:rPr>
          <w:szCs w:val="24"/>
        </w:rPr>
        <w:t>671).</w:t>
      </w:r>
    </w:p>
  </w:footnote>
  <w:footnote w:id="32">
    <w:p>
      <w:pPr>
        <w:pStyle w:val="Funotentext"/>
      </w:pPr>
      <w:r>
        <w:rPr>
          <w:rStyle w:val="Funotenzeichen"/>
          <w:noProof w:val="0"/>
        </w:rPr>
        <w:footnoteRef/>
      </w:r>
      <w:r>
        <w:t xml:space="preserve"> </w:t>
      </w:r>
      <w:r>
        <w:tab/>
        <w:t xml:space="preserve">Dieser Anhang wird weder in der AS noch in der SR veröffentlicht. Sein Inhalt kann </w:t>
      </w:r>
      <w:r>
        <w:rPr>
          <w:noProof/>
        </w:rPr>
        <w:t>abgerufen</w:t>
      </w:r>
      <w:r>
        <w:t xml:space="preserve"> werden unter: </w:t>
      </w:r>
      <w:hyperlink r:id="rId3" w:history="1">
        <w:r>
          <w:rPr>
            <w:noProof/>
          </w:rPr>
          <w:t>https://fedlex.data.admin.ch/eli/oc/2022/435</w:t>
        </w:r>
      </w:hyperlink>
      <w:r>
        <w:t xml:space="preserve"> &gt; Allgemeine Informationen &gt; Umfang der Veröffentlichung &gt; Veröffentlichung eines Textteils durch Verweis</w:t>
      </w:r>
      <w:r>
        <w:rPr>
          <w:szCs w:val="22"/>
        </w:rPr>
        <w:t>.</w:t>
      </w:r>
    </w:p>
  </w:footnote>
  <w:footnote w:id="33">
    <w:p>
      <w:pPr>
        <w:pStyle w:val="Funotentext"/>
        <w:rPr>
          <w:szCs w:val="16"/>
        </w:rPr>
      </w:pPr>
      <w:r>
        <w:rPr>
          <w:rStyle w:val="Funotenzeichen"/>
          <w:noProof w:val="0"/>
        </w:rPr>
        <w:footnoteRef/>
      </w:r>
      <w:r>
        <w:t xml:space="preserve"> </w:t>
      </w:r>
      <w:r>
        <w:tab/>
        <w:t xml:space="preserve">Die Liste ist im Internet unter folgender Adresse abrufbar: </w:t>
      </w:r>
      <w:r>
        <w:rPr>
          <w:szCs w:val="16"/>
        </w:rPr>
        <w:t xml:space="preserve">www.un.org/en/sc/ &gt; </w:t>
      </w:r>
      <w:r>
        <w:rPr>
          <w:szCs w:val="16"/>
        </w:rPr>
        <w:br/>
        <w:t>2231 (2015) &gt; 2231 list.</w:t>
      </w:r>
    </w:p>
  </w:footnote>
  <w:footnote w:id="34">
    <w:p>
      <w:pPr>
        <w:pStyle w:val="Funotentext"/>
      </w:pPr>
      <w:r>
        <w:rPr>
          <w:rStyle w:val="Funotenzeichen"/>
          <w:noProof w:val="0"/>
        </w:rPr>
        <w:footnoteRef/>
      </w:r>
      <w:r>
        <w:tab/>
        <w:t xml:space="preserve">Bereinigt gemäss Ziff. I der V des WBF vom 27. Jan. 2016 (AS </w:t>
      </w:r>
      <w:r>
        <w:rPr>
          <w:b/>
        </w:rPr>
        <w:t>2016</w:t>
      </w:r>
      <w:r>
        <w:t xml:space="preserve"> 383), vom </w:t>
      </w:r>
      <w:r>
        <w:br/>
        <w:t xml:space="preserve">17. Mai 2016 (AS </w:t>
      </w:r>
      <w:r>
        <w:rPr>
          <w:b/>
        </w:rPr>
        <w:t>2016</w:t>
      </w:r>
      <w:r>
        <w:t xml:space="preserve"> 1477), vom 31. Okt. 2016 (AS </w:t>
      </w:r>
      <w:r>
        <w:rPr>
          <w:b/>
        </w:rPr>
        <w:t>2016</w:t>
      </w:r>
      <w:r>
        <w:t xml:space="preserve"> 3699), vom 26. Jan. 2017 (AS </w:t>
      </w:r>
      <w:r>
        <w:rPr>
          <w:b/>
        </w:rPr>
        <w:t>2017</w:t>
      </w:r>
      <w:r>
        <w:t xml:space="preserve"> 243), vom 19. Juni 2018 (AS </w:t>
      </w:r>
      <w:r>
        <w:rPr>
          <w:b/>
        </w:rPr>
        <w:t>2018</w:t>
      </w:r>
      <w:r>
        <w:t xml:space="preserve"> 2421), vom 17. Juni 2019 (AS </w:t>
      </w:r>
      <w:r>
        <w:rPr>
          <w:b/>
        </w:rPr>
        <w:t>2019</w:t>
      </w:r>
      <w:r>
        <w:t xml:space="preserve"> 1893), vom 29. Nov. 2019 (AS </w:t>
      </w:r>
      <w:r>
        <w:rPr>
          <w:b/>
        </w:rPr>
        <w:t>2019</w:t>
      </w:r>
      <w:r>
        <w:t xml:space="preserve"> 4093), vom 6. Juli 2020 (AS </w:t>
      </w:r>
      <w:r>
        <w:rPr>
          <w:b/>
        </w:rPr>
        <w:t>2020</w:t>
      </w:r>
      <w:r>
        <w:t xml:space="preserve"> 2831), vom </w:t>
      </w:r>
      <w:r>
        <w:br/>
        <w:t xml:space="preserve">26. Nov. 2020 (AS </w:t>
      </w:r>
      <w:r>
        <w:rPr>
          <w:b/>
        </w:rPr>
        <w:t>2020</w:t>
      </w:r>
      <w:r>
        <w:t xml:space="preserve"> 4933), vom 17. Aug. 2021 (AS </w:t>
      </w:r>
      <w:r>
        <w:rPr>
          <w:b/>
        </w:rPr>
        <w:t>2021</w:t>
      </w:r>
      <w:r>
        <w:t xml:space="preserve"> 491), vom 2. Aug. 2022</w:t>
      </w:r>
      <w:r>
        <w:rPr>
          <w:color w:val="000000"/>
        </w:rPr>
        <w:t xml:space="preserve"> </w:t>
      </w:r>
      <w:r>
        <w:t xml:space="preserve">(AS </w:t>
      </w:r>
      <w:r>
        <w:rPr>
          <w:b/>
        </w:rPr>
        <w:t>2022</w:t>
      </w:r>
      <w:r>
        <w:t xml:space="preserve"> 435) </w:t>
      </w:r>
      <w:r>
        <w:t xml:space="preserve">und vom </w:t>
      </w:r>
      <w:r>
        <w:rPr>
          <w:color w:val="000000" w:themeColor="text1"/>
        </w:rPr>
        <w:t>10. Mai 2023</w:t>
      </w:r>
      <w:r>
        <w:t xml:space="preserve">, in Kraft seit </w:t>
      </w:r>
      <w:r>
        <w:rPr>
          <w:color w:val="000000" w:themeColor="text1"/>
        </w:rPr>
        <w:t>1</w:t>
      </w:r>
      <w:r>
        <w:rPr>
          <w:color w:val="000000" w:themeColor="text1"/>
        </w:rPr>
        <w:t>1</w:t>
      </w:r>
      <w:r>
        <w:rPr>
          <w:color w:val="000000" w:themeColor="text1"/>
        </w:rPr>
        <w:t>. Mai 2023</w:t>
      </w:r>
      <w:r>
        <w:rPr>
          <w:color w:val="000000" w:themeColor="text1"/>
        </w:rPr>
        <w:t xml:space="preserve"> </w:t>
      </w:r>
      <w:r>
        <w:rPr>
          <w:color w:val="000000"/>
        </w:rPr>
        <w:t xml:space="preserve">um 18.00 Uhr </w:t>
      </w:r>
      <w:r>
        <w:rPr>
          <w:color w:val="000000"/>
        </w:rPr>
        <w:br/>
      </w:r>
      <w:r>
        <w:t xml:space="preserve">(AS </w:t>
      </w:r>
      <w:r>
        <w:rPr>
          <w:b/>
        </w:rPr>
        <w:t>202</w:t>
      </w:r>
      <w:r>
        <w:rPr>
          <w:b/>
        </w:rPr>
        <w:t>3</w:t>
      </w:r>
      <w:r>
        <w:t xml:space="preserve"> </w:t>
      </w:r>
      <w:r>
        <w:t>227</w:t>
      </w:r>
      <w:r>
        <w:t>).</w:t>
      </w:r>
    </w:p>
  </w:footnote>
  <w:footnote w:id="35">
    <w:p>
      <w:pPr>
        <w:pStyle w:val="Funotentext"/>
      </w:pPr>
      <w:r>
        <w:rPr>
          <w:rStyle w:val="Funotenzeichen"/>
          <w:noProof w:val="0"/>
        </w:rPr>
        <w:footnoteRef/>
      </w:r>
      <w:r>
        <w:tab/>
      </w:r>
      <w:r>
        <w:t xml:space="preserve">Der Inhalt dieses Anhangs wird in der AS und in der SR nur durch Verweis veröffentlicht. Er kann abgerufen werden unter: </w:t>
      </w:r>
      <w:hyperlink r:id="rId4" w:history="1">
        <w:r>
          <w:rPr>
            <w:noProof/>
          </w:rPr>
          <w:t>https://fedlex.data.admin.ch/eli/oc/2023/227</w:t>
        </w:r>
      </w:hyperlink>
      <w:r>
        <w:rPr>
          <w:noProof/>
        </w:rPr>
        <w:t xml:space="preserve"> </w:t>
      </w:r>
      <w:r>
        <w:t>&gt; Allgemeine Informationen &gt; Umfang der Veröffentlichung &gt; Veröffentlichung eines Textteils durch Verweis</w:t>
      </w:r>
      <w:r>
        <w:t>.</w:t>
      </w:r>
    </w:p>
  </w:footnote>
  <w:footnote w:id="36">
    <w:p>
      <w:pPr>
        <w:pStyle w:val="Funotentext"/>
      </w:pPr>
      <w:r>
        <w:rPr>
          <w:rStyle w:val="Funotenzeichen"/>
          <w:noProof w:val="0"/>
        </w:rPr>
        <w:footnoteRef/>
      </w:r>
      <w:r>
        <w:tab/>
        <w:t xml:space="preserve">Bereinigt gemäss Ziff. I der V des WBF vom 17. Mai 2016 (AS </w:t>
      </w:r>
      <w:r>
        <w:rPr>
          <w:b/>
        </w:rPr>
        <w:t>2016</w:t>
      </w:r>
      <w:r>
        <w:t xml:space="preserve"> 1477), vom </w:t>
      </w:r>
      <w:r>
        <w:br/>
        <w:t xml:space="preserve">1. Mai 2017 (AS </w:t>
      </w:r>
      <w:r>
        <w:rPr>
          <w:b/>
        </w:rPr>
        <w:t>2017</w:t>
      </w:r>
      <w:r>
        <w:t xml:space="preserve"> 2697), vom 23. April 2018 (AS </w:t>
      </w:r>
      <w:r>
        <w:rPr>
          <w:b/>
        </w:rPr>
        <w:t>2018</w:t>
      </w:r>
      <w:r>
        <w:t xml:space="preserve"> 1657), vom 7. Mai 2019 </w:t>
      </w:r>
      <w:r>
        <w:br/>
        <w:t xml:space="preserve">(AS </w:t>
      </w:r>
      <w:r>
        <w:rPr>
          <w:b/>
        </w:rPr>
        <w:t>2019</w:t>
      </w:r>
      <w:r>
        <w:t xml:space="preserve"> 1341), vom 29. April 2020 (AS </w:t>
      </w:r>
      <w:r>
        <w:rPr>
          <w:b/>
        </w:rPr>
        <w:t>2020</w:t>
      </w:r>
      <w:r>
        <w:t xml:space="preserve"> 1411), vom 27. April 2021 </w:t>
      </w:r>
      <w:r>
        <w:br/>
        <w:t xml:space="preserve">(AS </w:t>
      </w:r>
      <w:r>
        <w:rPr>
          <w:b/>
        </w:rPr>
        <w:t>2021</w:t>
      </w:r>
      <w:r>
        <w:t xml:space="preserve"> 248) und vom 24. Mai 2022, in Kraft seit 25. Mai 2022 um 18.00 Uhr </w:t>
      </w:r>
      <w:r>
        <w:br/>
        <w:t xml:space="preserve">(AS </w:t>
      </w:r>
      <w:r>
        <w:rPr>
          <w:b/>
        </w:rPr>
        <w:t>2022</w:t>
      </w:r>
      <w:r>
        <w:t xml:space="preserve"> 316).</w:t>
      </w:r>
    </w:p>
  </w:footnote>
  <w:footnote w:id="37">
    <w:p>
      <w:pPr>
        <w:pStyle w:val="Funotentext"/>
      </w:pPr>
      <w:r>
        <w:rPr>
          <w:rStyle w:val="Funotenzeichen"/>
          <w:noProof w:val="0"/>
        </w:rPr>
        <w:footnoteRef/>
      </w:r>
      <w:r>
        <w:tab/>
        <w:t xml:space="preserve">Dieser Anhang wird weder in der AS noch in der SR veröffentlicht. Sein Inhalt kann </w:t>
      </w:r>
      <w:r>
        <w:rPr>
          <w:noProof/>
        </w:rPr>
        <w:t>abgerufen</w:t>
      </w:r>
      <w:r>
        <w:t xml:space="preserve"> werden unter: </w:t>
      </w:r>
      <w:hyperlink r:id="rId5" w:history="1">
        <w:r>
          <w:rPr>
            <w:noProof/>
          </w:rPr>
          <w:t>https://fedlex.data.admin.ch/eli/oc/2022/435</w:t>
        </w:r>
      </w:hyperlink>
      <w:r>
        <w:t xml:space="preserve"> &gt; Allgemeine Informationen &gt; Umfang der Veröffentlichung &gt; Veröffentlichung eines Textteils durch Verweis.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946.231.143.6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946.231.143.6</w:t>
                    </w:r>
                    <w:r>
                      <w:fldChar w:fldCharType="end"/>
                    </w:r>
                  </w:p>
                </w:txbxContent>
              </v:textbox>
            </v:shape>
          </w:pict>
        </mc:Fallback>
      </mc:AlternateContent>
    </w:r>
    <w:r>
      <w:t>Aussenhandel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pP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946.231.143.6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B5jkA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946.231.143.6</w:t>
                    </w:r>
                    <w:r>
                      <w:fldChar w:fldCharType="end"/>
                    </w:r>
                  </w:p>
                </w:txbxContent>
              </v:textbox>
            </v:shape>
          </w:pict>
        </mc:Fallback>
      </mc:AlternateContent>
    </w:r>
    <w:r>
      <w:t>Massnahmen gegenüber der Islamischen Republik Iran. 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3200167"/>
    <w:multiLevelType w:val="hybridMultilevel"/>
    <w:tmpl w:val="F730A778"/>
    <w:lvl w:ilvl="0" w:tplc="3B5ED8C8">
      <w:start w:val="1"/>
      <w:numFmt w:val="lowerLetter"/>
      <w:lvlText w:val="%1)"/>
      <w:lvlJc w:val="left"/>
      <w:pPr>
        <w:ind w:left="720" w:hanging="360"/>
      </w:pPr>
    </w:lvl>
    <w:lvl w:ilvl="1" w:tplc="015467FE">
      <w:start w:val="1"/>
      <w:numFmt w:val="lowerLetter"/>
      <w:lvlText w:val="%2)"/>
      <w:lvlJc w:val="left"/>
      <w:pPr>
        <w:ind w:left="1440" w:hanging="360"/>
      </w:pPr>
    </w:lvl>
    <w:lvl w:ilvl="2" w:tplc="F43A125E">
      <w:start w:val="1"/>
      <w:numFmt w:val="decimal"/>
      <w:lvlText w:val="%3."/>
      <w:lvlJc w:val="left"/>
      <w:pPr>
        <w:ind w:left="2160" w:hanging="180"/>
      </w:pPr>
      <w:rPr>
        <w:rFonts w:hint="default"/>
      </w:rPr>
    </w:lvl>
    <w:lvl w:ilvl="3" w:tplc="1B42247E" w:tentative="1">
      <w:start w:val="1"/>
      <w:numFmt w:val="decimal"/>
      <w:lvlText w:val="%4."/>
      <w:lvlJc w:val="left"/>
      <w:pPr>
        <w:ind w:left="2880" w:hanging="360"/>
      </w:pPr>
    </w:lvl>
    <w:lvl w:ilvl="4" w:tplc="43A0E7D2" w:tentative="1">
      <w:start w:val="1"/>
      <w:numFmt w:val="lowerLetter"/>
      <w:lvlText w:val="%5."/>
      <w:lvlJc w:val="left"/>
      <w:pPr>
        <w:ind w:left="3600" w:hanging="360"/>
      </w:pPr>
    </w:lvl>
    <w:lvl w:ilvl="5" w:tplc="DF844A42" w:tentative="1">
      <w:start w:val="1"/>
      <w:numFmt w:val="lowerRoman"/>
      <w:lvlText w:val="%6."/>
      <w:lvlJc w:val="right"/>
      <w:pPr>
        <w:ind w:left="4320" w:hanging="180"/>
      </w:pPr>
    </w:lvl>
    <w:lvl w:ilvl="6" w:tplc="306E50CE" w:tentative="1">
      <w:start w:val="1"/>
      <w:numFmt w:val="decimal"/>
      <w:lvlText w:val="%7."/>
      <w:lvlJc w:val="left"/>
      <w:pPr>
        <w:ind w:left="5040" w:hanging="360"/>
      </w:pPr>
    </w:lvl>
    <w:lvl w:ilvl="7" w:tplc="6B425AF6" w:tentative="1">
      <w:start w:val="1"/>
      <w:numFmt w:val="lowerLetter"/>
      <w:lvlText w:val="%8."/>
      <w:lvlJc w:val="left"/>
      <w:pPr>
        <w:ind w:left="5760" w:hanging="360"/>
      </w:pPr>
    </w:lvl>
    <w:lvl w:ilvl="8" w:tplc="FD3CB568" w:tentative="1">
      <w:start w:val="1"/>
      <w:numFmt w:val="lowerRoman"/>
      <w:lvlText w:val="%9."/>
      <w:lvlJc w:val="right"/>
      <w:pPr>
        <w:ind w:left="6480" w:hanging="180"/>
      </w:pPr>
    </w:lvl>
  </w:abstractNum>
  <w:abstractNum w:abstractNumId="1" w15:restartNumberingAfterBreak="1">
    <w:nsid w:val="04C51B6A"/>
    <w:multiLevelType w:val="hybridMultilevel"/>
    <w:tmpl w:val="D7E29276"/>
    <w:lvl w:ilvl="0" w:tplc="150003D8">
      <w:start w:val="1"/>
      <w:numFmt w:val="upperLetter"/>
      <w:lvlText w:val="%1."/>
      <w:lvlJc w:val="left"/>
      <w:pPr>
        <w:ind w:left="720" w:hanging="360"/>
      </w:pPr>
      <w:rPr>
        <w:rFonts w:hint="default"/>
      </w:rPr>
    </w:lvl>
    <w:lvl w:ilvl="1" w:tplc="C3F05D9E" w:tentative="1">
      <w:start w:val="1"/>
      <w:numFmt w:val="lowerLetter"/>
      <w:lvlText w:val="%2."/>
      <w:lvlJc w:val="left"/>
      <w:pPr>
        <w:ind w:left="1440" w:hanging="360"/>
      </w:pPr>
    </w:lvl>
    <w:lvl w:ilvl="2" w:tplc="0A662F58" w:tentative="1">
      <w:start w:val="1"/>
      <w:numFmt w:val="lowerRoman"/>
      <w:lvlText w:val="%3."/>
      <w:lvlJc w:val="right"/>
      <w:pPr>
        <w:ind w:left="2160" w:hanging="180"/>
      </w:pPr>
    </w:lvl>
    <w:lvl w:ilvl="3" w:tplc="C07CDF70" w:tentative="1">
      <w:start w:val="1"/>
      <w:numFmt w:val="decimal"/>
      <w:lvlText w:val="%4."/>
      <w:lvlJc w:val="left"/>
      <w:pPr>
        <w:ind w:left="2880" w:hanging="360"/>
      </w:pPr>
    </w:lvl>
    <w:lvl w:ilvl="4" w:tplc="764802FE" w:tentative="1">
      <w:start w:val="1"/>
      <w:numFmt w:val="lowerLetter"/>
      <w:lvlText w:val="%5."/>
      <w:lvlJc w:val="left"/>
      <w:pPr>
        <w:ind w:left="3600" w:hanging="360"/>
      </w:pPr>
    </w:lvl>
    <w:lvl w:ilvl="5" w:tplc="1ADE0A6E" w:tentative="1">
      <w:start w:val="1"/>
      <w:numFmt w:val="lowerRoman"/>
      <w:lvlText w:val="%6."/>
      <w:lvlJc w:val="right"/>
      <w:pPr>
        <w:ind w:left="4320" w:hanging="180"/>
      </w:pPr>
    </w:lvl>
    <w:lvl w:ilvl="6" w:tplc="8B4C6DCA" w:tentative="1">
      <w:start w:val="1"/>
      <w:numFmt w:val="decimal"/>
      <w:lvlText w:val="%7."/>
      <w:lvlJc w:val="left"/>
      <w:pPr>
        <w:ind w:left="5040" w:hanging="360"/>
      </w:pPr>
    </w:lvl>
    <w:lvl w:ilvl="7" w:tplc="427AC91C" w:tentative="1">
      <w:start w:val="1"/>
      <w:numFmt w:val="lowerLetter"/>
      <w:lvlText w:val="%8."/>
      <w:lvlJc w:val="left"/>
      <w:pPr>
        <w:ind w:left="5760" w:hanging="360"/>
      </w:pPr>
    </w:lvl>
    <w:lvl w:ilvl="8" w:tplc="CC44C790" w:tentative="1">
      <w:start w:val="1"/>
      <w:numFmt w:val="lowerRoman"/>
      <w:lvlText w:val="%9."/>
      <w:lvlJc w:val="right"/>
      <w:pPr>
        <w:ind w:left="6480" w:hanging="180"/>
      </w:pPr>
    </w:lvl>
  </w:abstractNum>
  <w:abstractNum w:abstractNumId="2" w15:restartNumberingAfterBreak="1">
    <w:nsid w:val="05EB3E88"/>
    <w:multiLevelType w:val="hybridMultilevel"/>
    <w:tmpl w:val="4A6A4C86"/>
    <w:lvl w:ilvl="0" w:tplc="A03454C0">
      <w:start w:val="1"/>
      <w:numFmt w:val="decimal"/>
      <w:lvlText w:val="%1."/>
      <w:lvlJc w:val="left"/>
      <w:pPr>
        <w:ind w:left="720" w:hanging="360"/>
      </w:pPr>
      <w:rPr>
        <w:rFonts w:hint="default"/>
      </w:rPr>
    </w:lvl>
    <w:lvl w:ilvl="1" w:tplc="CB32BC10" w:tentative="1">
      <w:start w:val="1"/>
      <w:numFmt w:val="lowerLetter"/>
      <w:lvlText w:val="%2."/>
      <w:lvlJc w:val="left"/>
      <w:pPr>
        <w:ind w:left="1440" w:hanging="360"/>
      </w:pPr>
    </w:lvl>
    <w:lvl w:ilvl="2" w:tplc="293A0B04" w:tentative="1">
      <w:start w:val="1"/>
      <w:numFmt w:val="lowerRoman"/>
      <w:lvlText w:val="%3."/>
      <w:lvlJc w:val="right"/>
      <w:pPr>
        <w:ind w:left="2160" w:hanging="180"/>
      </w:pPr>
    </w:lvl>
    <w:lvl w:ilvl="3" w:tplc="1B862B0C" w:tentative="1">
      <w:start w:val="1"/>
      <w:numFmt w:val="decimal"/>
      <w:lvlText w:val="%4."/>
      <w:lvlJc w:val="left"/>
      <w:pPr>
        <w:ind w:left="2880" w:hanging="360"/>
      </w:pPr>
    </w:lvl>
    <w:lvl w:ilvl="4" w:tplc="CEFE73BE" w:tentative="1">
      <w:start w:val="1"/>
      <w:numFmt w:val="lowerLetter"/>
      <w:lvlText w:val="%5."/>
      <w:lvlJc w:val="left"/>
      <w:pPr>
        <w:ind w:left="3600" w:hanging="360"/>
      </w:pPr>
    </w:lvl>
    <w:lvl w:ilvl="5" w:tplc="D002889A" w:tentative="1">
      <w:start w:val="1"/>
      <w:numFmt w:val="lowerRoman"/>
      <w:lvlText w:val="%6."/>
      <w:lvlJc w:val="right"/>
      <w:pPr>
        <w:ind w:left="4320" w:hanging="180"/>
      </w:pPr>
    </w:lvl>
    <w:lvl w:ilvl="6" w:tplc="EC86738E" w:tentative="1">
      <w:start w:val="1"/>
      <w:numFmt w:val="decimal"/>
      <w:lvlText w:val="%7."/>
      <w:lvlJc w:val="left"/>
      <w:pPr>
        <w:ind w:left="5040" w:hanging="360"/>
      </w:pPr>
    </w:lvl>
    <w:lvl w:ilvl="7" w:tplc="A1F81558" w:tentative="1">
      <w:start w:val="1"/>
      <w:numFmt w:val="lowerLetter"/>
      <w:lvlText w:val="%8."/>
      <w:lvlJc w:val="left"/>
      <w:pPr>
        <w:ind w:left="5760" w:hanging="360"/>
      </w:pPr>
    </w:lvl>
    <w:lvl w:ilvl="8" w:tplc="3DF8D7C8" w:tentative="1">
      <w:start w:val="1"/>
      <w:numFmt w:val="lowerRoman"/>
      <w:lvlText w:val="%9."/>
      <w:lvlJc w:val="right"/>
      <w:pPr>
        <w:ind w:left="6480" w:hanging="180"/>
      </w:pPr>
    </w:lvl>
  </w:abstractNum>
  <w:abstractNum w:abstractNumId="3" w15:restartNumberingAfterBreak="1">
    <w:nsid w:val="07C37D93"/>
    <w:multiLevelType w:val="hybridMultilevel"/>
    <w:tmpl w:val="9E08392A"/>
    <w:lvl w:ilvl="0" w:tplc="A806871C">
      <w:start w:val="1"/>
      <w:numFmt w:val="lowerLetter"/>
      <w:lvlText w:val="%1)"/>
      <w:lvlJc w:val="left"/>
      <w:pPr>
        <w:ind w:left="720" w:hanging="360"/>
      </w:pPr>
    </w:lvl>
    <w:lvl w:ilvl="1" w:tplc="D06C4F9A">
      <w:start w:val="1"/>
      <w:numFmt w:val="lowerLetter"/>
      <w:lvlText w:val="%2)"/>
      <w:lvlJc w:val="left"/>
      <w:pPr>
        <w:ind w:left="1440" w:hanging="360"/>
      </w:pPr>
    </w:lvl>
    <w:lvl w:ilvl="2" w:tplc="301283FE" w:tentative="1">
      <w:start w:val="1"/>
      <w:numFmt w:val="lowerRoman"/>
      <w:lvlText w:val="%3."/>
      <w:lvlJc w:val="right"/>
      <w:pPr>
        <w:ind w:left="2160" w:hanging="180"/>
      </w:pPr>
    </w:lvl>
    <w:lvl w:ilvl="3" w:tplc="2CF28B18" w:tentative="1">
      <w:start w:val="1"/>
      <w:numFmt w:val="decimal"/>
      <w:lvlText w:val="%4."/>
      <w:lvlJc w:val="left"/>
      <w:pPr>
        <w:ind w:left="2880" w:hanging="360"/>
      </w:pPr>
    </w:lvl>
    <w:lvl w:ilvl="4" w:tplc="C0FE55E6" w:tentative="1">
      <w:start w:val="1"/>
      <w:numFmt w:val="lowerLetter"/>
      <w:lvlText w:val="%5."/>
      <w:lvlJc w:val="left"/>
      <w:pPr>
        <w:ind w:left="3600" w:hanging="360"/>
      </w:pPr>
    </w:lvl>
    <w:lvl w:ilvl="5" w:tplc="BAD636DE" w:tentative="1">
      <w:start w:val="1"/>
      <w:numFmt w:val="lowerRoman"/>
      <w:lvlText w:val="%6."/>
      <w:lvlJc w:val="right"/>
      <w:pPr>
        <w:ind w:left="4320" w:hanging="180"/>
      </w:pPr>
    </w:lvl>
    <w:lvl w:ilvl="6" w:tplc="7056ED1C" w:tentative="1">
      <w:start w:val="1"/>
      <w:numFmt w:val="decimal"/>
      <w:lvlText w:val="%7."/>
      <w:lvlJc w:val="left"/>
      <w:pPr>
        <w:ind w:left="5040" w:hanging="360"/>
      </w:pPr>
    </w:lvl>
    <w:lvl w:ilvl="7" w:tplc="F828B2CE" w:tentative="1">
      <w:start w:val="1"/>
      <w:numFmt w:val="lowerLetter"/>
      <w:lvlText w:val="%8."/>
      <w:lvlJc w:val="left"/>
      <w:pPr>
        <w:ind w:left="5760" w:hanging="360"/>
      </w:pPr>
    </w:lvl>
    <w:lvl w:ilvl="8" w:tplc="2FA676F4" w:tentative="1">
      <w:start w:val="1"/>
      <w:numFmt w:val="lowerRoman"/>
      <w:lvlText w:val="%9."/>
      <w:lvlJc w:val="right"/>
      <w:pPr>
        <w:ind w:left="6480" w:hanging="180"/>
      </w:pPr>
    </w:lvl>
  </w:abstractNum>
  <w:abstractNum w:abstractNumId="4" w15:restartNumberingAfterBreak="1">
    <w:nsid w:val="0D047F59"/>
    <w:multiLevelType w:val="hybridMultilevel"/>
    <w:tmpl w:val="0900A430"/>
    <w:lvl w:ilvl="0" w:tplc="69706E22">
      <w:start w:val="1"/>
      <w:numFmt w:val="lowerLetter"/>
      <w:lvlText w:val="%1)"/>
      <w:lvlJc w:val="left"/>
      <w:pPr>
        <w:ind w:left="720" w:hanging="360"/>
      </w:pPr>
    </w:lvl>
    <w:lvl w:ilvl="1" w:tplc="6FF0DB70">
      <w:start w:val="1"/>
      <w:numFmt w:val="lowerLetter"/>
      <w:lvlText w:val="%2)"/>
      <w:lvlJc w:val="left"/>
      <w:pPr>
        <w:ind w:left="1440" w:hanging="360"/>
      </w:pPr>
    </w:lvl>
    <w:lvl w:ilvl="2" w:tplc="D48CB80A" w:tentative="1">
      <w:start w:val="1"/>
      <w:numFmt w:val="lowerRoman"/>
      <w:lvlText w:val="%3."/>
      <w:lvlJc w:val="right"/>
      <w:pPr>
        <w:ind w:left="2160" w:hanging="180"/>
      </w:pPr>
    </w:lvl>
    <w:lvl w:ilvl="3" w:tplc="F35EE5E0" w:tentative="1">
      <w:start w:val="1"/>
      <w:numFmt w:val="decimal"/>
      <w:lvlText w:val="%4."/>
      <w:lvlJc w:val="left"/>
      <w:pPr>
        <w:ind w:left="2880" w:hanging="360"/>
      </w:pPr>
    </w:lvl>
    <w:lvl w:ilvl="4" w:tplc="6456D1DC" w:tentative="1">
      <w:start w:val="1"/>
      <w:numFmt w:val="lowerLetter"/>
      <w:lvlText w:val="%5."/>
      <w:lvlJc w:val="left"/>
      <w:pPr>
        <w:ind w:left="3600" w:hanging="360"/>
      </w:pPr>
    </w:lvl>
    <w:lvl w:ilvl="5" w:tplc="688E6934" w:tentative="1">
      <w:start w:val="1"/>
      <w:numFmt w:val="lowerRoman"/>
      <w:lvlText w:val="%6."/>
      <w:lvlJc w:val="right"/>
      <w:pPr>
        <w:ind w:left="4320" w:hanging="180"/>
      </w:pPr>
    </w:lvl>
    <w:lvl w:ilvl="6" w:tplc="6BE80C6E" w:tentative="1">
      <w:start w:val="1"/>
      <w:numFmt w:val="decimal"/>
      <w:lvlText w:val="%7."/>
      <w:lvlJc w:val="left"/>
      <w:pPr>
        <w:ind w:left="5040" w:hanging="360"/>
      </w:pPr>
    </w:lvl>
    <w:lvl w:ilvl="7" w:tplc="1A242EC2" w:tentative="1">
      <w:start w:val="1"/>
      <w:numFmt w:val="lowerLetter"/>
      <w:lvlText w:val="%8."/>
      <w:lvlJc w:val="left"/>
      <w:pPr>
        <w:ind w:left="5760" w:hanging="360"/>
      </w:pPr>
    </w:lvl>
    <w:lvl w:ilvl="8" w:tplc="3F4EE2AA" w:tentative="1">
      <w:start w:val="1"/>
      <w:numFmt w:val="lowerRoman"/>
      <w:lvlText w:val="%9."/>
      <w:lvlJc w:val="right"/>
      <w:pPr>
        <w:ind w:left="6480" w:hanging="180"/>
      </w:pPr>
    </w:lvl>
  </w:abstractNum>
  <w:abstractNum w:abstractNumId="5" w15:restartNumberingAfterBreak="1">
    <w:nsid w:val="0FF56C1C"/>
    <w:multiLevelType w:val="hybridMultilevel"/>
    <w:tmpl w:val="32487A7E"/>
    <w:lvl w:ilvl="0" w:tplc="B6985E80">
      <w:start w:val="1"/>
      <w:numFmt w:val="lowerLetter"/>
      <w:lvlText w:val="%1."/>
      <w:lvlJc w:val="left"/>
      <w:pPr>
        <w:ind w:left="720" w:hanging="360"/>
      </w:pPr>
      <w:rPr>
        <w:rFonts w:hint="default"/>
      </w:rPr>
    </w:lvl>
    <w:lvl w:ilvl="1" w:tplc="D2267874" w:tentative="1">
      <w:start w:val="1"/>
      <w:numFmt w:val="lowerLetter"/>
      <w:lvlText w:val="%2."/>
      <w:lvlJc w:val="left"/>
      <w:pPr>
        <w:ind w:left="1440" w:hanging="360"/>
      </w:pPr>
    </w:lvl>
    <w:lvl w:ilvl="2" w:tplc="68AE661E" w:tentative="1">
      <w:start w:val="1"/>
      <w:numFmt w:val="lowerRoman"/>
      <w:lvlText w:val="%3."/>
      <w:lvlJc w:val="right"/>
      <w:pPr>
        <w:ind w:left="2160" w:hanging="180"/>
      </w:pPr>
    </w:lvl>
    <w:lvl w:ilvl="3" w:tplc="221E5F16" w:tentative="1">
      <w:start w:val="1"/>
      <w:numFmt w:val="decimal"/>
      <w:lvlText w:val="%4."/>
      <w:lvlJc w:val="left"/>
      <w:pPr>
        <w:ind w:left="2880" w:hanging="360"/>
      </w:pPr>
    </w:lvl>
    <w:lvl w:ilvl="4" w:tplc="3A48248C" w:tentative="1">
      <w:start w:val="1"/>
      <w:numFmt w:val="lowerLetter"/>
      <w:lvlText w:val="%5."/>
      <w:lvlJc w:val="left"/>
      <w:pPr>
        <w:ind w:left="3600" w:hanging="360"/>
      </w:pPr>
    </w:lvl>
    <w:lvl w:ilvl="5" w:tplc="582A9630" w:tentative="1">
      <w:start w:val="1"/>
      <w:numFmt w:val="lowerRoman"/>
      <w:lvlText w:val="%6."/>
      <w:lvlJc w:val="right"/>
      <w:pPr>
        <w:ind w:left="4320" w:hanging="180"/>
      </w:pPr>
    </w:lvl>
    <w:lvl w:ilvl="6" w:tplc="2632BAB2" w:tentative="1">
      <w:start w:val="1"/>
      <w:numFmt w:val="decimal"/>
      <w:lvlText w:val="%7."/>
      <w:lvlJc w:val="left"/>
      <w:pPr>
        <w:ind w:left="5040" w:hanging="360"/>
      </w:pPr>
    </w:lvl>
    <w:lvl w:ilvl="7" w:tplc="CB8AF386" w:tentative="1">
      <w:start w:val="1"/>
      <w:numFmt w:val="lowerLetter"/>
      <w:lvlText w:val="%8."/>
      <w:lvlJc w:val="left"/>
      <w:pPr>
        <w:ind w:left="5760" w:hanging="360"/>
      </w:pPr>
    </w:lvl>
    <w:lvl w:ilvl="8" w:tplc="E274380C" w:tentative="1">
      <w:start w:val="1"/>
      <w:numFmt w:val="lowerRoman"/>
      <w:lvlText w:val="%9."/>
      <w:lvlJc w:val="right"/>
      <w:pPr>
        <w:ind w:left="6480" w:hanging="180"/>
      </w:pPr>
    </w:lvl>
  </w:abstractNum>
  <w:abstractNum w:abstractNumId="6" w15:restartNumberingAfterBreak="1">
    <w:nsid w:val="12893D42"/>
    <w:multiLevelType w:val="hybridMultilevel"/>
    <w:tmpl w:val="8AB6F8D4"/>
    <w:lvl w:ilvl="0" w:tplc="E6BC4D04">
      <w:start w:val="1"/>
      <w:numFmt w:val="decimal"/>
      <w:lvlText w:val="%1."/>
      <w:lvlJc w:val="left"/>
      <w:pPr>
        <w:ind w:left="720" w:hanging="360"/>
      </w:pPr>
    </w:lvl>
    <w:lvl w:ilvl="1" w:tplc="EC04F640">
      <w:start w:val="1"/>
      <w:numFmt w:val="lowerLetter"/>
      <w:lvlText w:val="%2)"/>
      <w:lvlJc w:val="left"/>
      <w:pPr>
        <w:ind w:left="1440" w:hanging="360"/>
      </w:pPr>
      <w:rPr>
        <w:rFonts w:hint="default"/>
      </w:rPr>
    </w:lvl>
    <w:lvl w:ilvl="2" w:tplc="AB741262">
      <w:start w:val="1"/>
      <w:numFmt w:val="decimal"/>
      <w:lvlText w:val="%3."/>
      <w:lvlJc w:val="left"/>
      <w:pPr>
        <w:ind w:left="2160" w:hanging="180"/>
      </w:pPr>
      <w:rPr>
        <w:rFonts w:hint="default"/>
      </w:rPr>
    </w:lvl>
    <w:lvl w:ilvl="3" w:tplc="B618651A" w:tentative="1">
      <w:start w:val="1"/>
      <w:numFmt w:val="decimal"/>
      <w:lvlText w:val="%4."/>
      <w:lvlJc w:val="left"/>
      <w:pPr>
        <w:ind w:left="2880" w:hanging="360"/>
      </w:pPr>
    </w:lvl>
    <w:lvl w:ilvl="4" w:tplc="315E4CB8" w:tentative="1">
      <w:start w:val="1"/>
      <w:numFmt w:val="lowerLetter"/>
      <w:lvlText w:val="%5."/>
      <w:lvlJc w:val="left"/>
      <w:pPr>
        <w:ind w:left="3600" w:hanging="360"/>
      </w:pPr>
    </w:lvl>
    <w:lvl w:ilvl="5" w:tplc="A6F44FE0" w:tentative="1">
      <w:start w:val="1"/>
      <w:numFmt w:val="lowerRoman"/>
      <w:lvlText w:val="%6."/>
      <w:lvlJc w:val="right"/>
      <w:pPr>
        <w:ind w:left="4320" w:hanging="180"/>
      </w:pPr>
    </w:lvl>
    <w:lvl w:ilvl="6" w:tplc="9EC693CE" w:tentative="1">
      <w:start w:val="1"/>
      <w:numFmt w:val="decimal"/>
      <w:lvlText w:val="%7."/>
      <w:lvlJc w:val="left"/>
      <w:pPr>
        <w:ind w:left="5040" w:hanging="360"/>
      </w:pPr>
    </w:lvl>
    <w:lvl w:ilvl="7" w:tplc="BA000490" w:tentative="1">
      <w:start w:val="1"/>
      <w:numFmt w:val="lowerLetter"/>
      <w:lvlText w:val="%8."/>
      <w:lvlJc w:val="left"/>
      <w:pPr>
        <w:ind w:left="5760" w:hanging="360"/>
      </w:pPr>
    </w:lvl>
    <w:lvl w:ilvl="8" w:tplc="6A3614C0" w:tentative="1">
      <w:start w:val="1"/>
      <w:numFmt w:val="lowerRoman"/>
      <w:lvlText w:val="%9."/>
      <w:lvlJc w:val="right"/>
      <w:pPr>
        <w:ind w:left="6480" w:hanging="180"/>
      </w:pPr>
    </w:lvl>
  </w:abstractNum>
  <w:abstractNum w:abstractNumId="7" w15:restartNumberingAfterBreak="1">
    <w:nsid w:val="129505AE"/>
    <w:multiLevelType w:val="hybridMultilevel"/>
    <w:tmpl w:val="C2745A44"/>
    <w:lvl w:ilvl="0" w:tplc="6A92DF56">
      <w:start w:val="1"/>
      <w:numFmt w:val="decimal"/>
      <w:lvlText w:val="%1."/>
      <w:lvlJc w:val="left"/>
      <w:pPr>
        <w:ind w:left="720" w:hanging="360"/>
      </w:pPr>
      <w:rPr>
        <w:rFonts w:hint="default"/>
      </w:rPr>
    </w:lvl>
    <w:lvl w:ilvl="1" w:tplc="820226EA" w:tentative="1">
      <w:start w:val="1"/>
      <w:numFmt w:val="lowerLetter"/>
      <w:lvlText w:val="%2."/>
      <w:lvlJc w:val="left"/>
      <w:pPr>
        <w:ind w:left="1440" w:hanging="360"/>
      </w:pPr>
    </w:lvl>
    <w:lvl w:ilvl="2" w:tplc="69766418" w:tentative="1">
      <w:start w:val="1"/>
      <w:numFmt w:val="lowerRoman"/>
      <w:lvlText w:val="%3."/>
      <w:lvlJc w:val="right"/>
      <w:pPr>
        <w:ind w:left="2160" w:hanging="180"/>
      </w:pPr>
    </w:lvl>
    <w:lvl w:ilvl="3" w:tplc="8D60029A" w:tentative="1">
      <w:start w:val="1"/>
      <w:numFmt w:val="decimal"/>
      <w:lvlText w:val="%4."/>
      <w:lvlJc w:val="left"/>
      <w:pPr>
        <w:ind w:left="2880" w:hanging="360"/>
      </w:pPr>
    </w:lvl>
    <w:lvl w:ilvl="4" w:tplc="40F2FEE6" w:tentative="1">
      <w:start w:val="1"/>
      <w:numFmt w:val="lowerLetter"/>
      <w:lvlText w:val="%5."/>
      <w:lvlJc w:val="left"/>
      <w:pPr>
        <w:ind w:left="3600" w:hanging="360"/>
      </w:pPr>
    </w:lvl>
    <w:lvl w:ilvl="5" w:tplc="7E1A5038" w:tentative="1">
      <w:start w:val="1"/>
      <w:numFmt w:val="lowerRoman"/>
      <w:lvlText w:val="%6."/>
      <w:lvlJc w:val="right"/>
      <w:pPr>
        <w:ind w:left="4320" w:hanging="180"/>
      </w:pPr>
    </w:lvl>
    <w:lvl w:ilvl="6" w:tplc="DFFA0CAA" w:tentative="1">
      <w:start w:val="1"/>
      <w:numFmt w:val="decimal"/>
      <w:lvlText w:val="%7."/>
      <w:lvlJc w:val="left"/>
      <w:pPr>
        <w:ind w:left="5040" w:hanging="360"/>
      </w:pPr>
    </w:lvl>
    <w:lvl w:ilvl="7" w:tplc="4F7E0858" w:tentative="1">
      <w:start w:val="1"/>
      <w:numFmt w:val="lowerLetter"/>
      <w:lvlText w:val="%8."/>
      <w:lvlJc w:val="left"/>
      <w:pPr>
        <w:ind w:left="5760" w:hanging="360"/>
      </w:pPr>
    </w:lvl>
    <w:lvl w:ilvl="8" w:tplc="8A904BFE" w:tentative="1">
      <w:start w:val="1"/>
      <w:numFmt w:val="lowerRoman"/>
      <w:lvlText w:val="%9."/>
      <w:lvlJc w:val="right"/>
      <w:pPr>
        <w:ind w:left="6480" w:hanging="180"/>
      </w:pPr>
    </w:lvl>
  </w:abstractNum>
  <w:abstractNum w:abstractNumId="8" w15:restartNumberingAfterBreak="1">
    <w:nsid w:val="138E51F4"/>
    <w:multiLevelType w:val="hybridMultilevel"/>
    <w:tmpl w:val="D38651C2"/>
    <w:lvl w:ilvl="0" w:tplc="FCC82C96">
      <w:start w:val="1"/>
      <w:numFmt w:val="lowerLetter"/>
      <w:lvlText w:val="%1)"/>
      <w:lvlJc w:val="left"/>
      <w:pPr>
        <w:ind w:left="720" w:hanging="360"/>
      </w:pPr>
    </w:lvl>
    <w:lvl w:ilvl="1" w:tplc="C0D05D98" w:tentative="1">
      <w:start w:val="1"/>
      <w:numFmt w:val="lowerLetter"/>
      <w:lvlText w:val="%2."/>
      <w:lvlJc w:val="left"/>
      <w:pPr>
        <w:ind w:left="1440" w:hanging="360"/>
      </w:pPr>
    </w:lvl>
    <w:lvl w:ilvl="2" w:tplc="0A825A86" w:tentative="1">
      <w:start w:val="1"/>
      <w:numFmt w:val="lowerRoman"/>
      <w:lvlText w:val="%3."/>
      <w:lvlJc w:val="right"/>
      <w:pPr>
        <w:ind w:left="2160" w:hanging="180"/>
      </w:pPr>
    </w:lvl>
    <w:lvl w:ilvl="3" w:tplc="59E63C4C" w:tentative="1">
      <w:start w:val="1"/>
      <w:numFmt w:val="decimal"/>
      <w:lvlText w:val="%4."/>
      <w:lvlJc w:val="left"/>
      <w:pPr>
        <w:ind w:left="2880" w:hanging="360"/>
      </w:pPr>
    </w:lvl>
    <w:lvl w:ilvl="4" w:tplc="C01433A0" w:tentative="1">
      <w:start w:val="1"/>
      <w:numFmt w:val="lowerLetter"/>
      <w:lvlText w:val="%5."/>
      <w:lvlJc w:val="left"/>
      <w:pPr>
        <w:ind w:left="3600" w:hanging="360"/>
      </w:pPr>
    </w:lvl>
    <w:lvl w:ilvl="5" w:tplc="D3F4B1A0" w:tentative="1">
      <w:start w:val="1"/>
      <w:numFmt w:val="lowerRoman"/>
      <w:lvlText w:val="%6."/>
      <w:lvlJc w:val="right"/>
      <w:pPr>
        <w:ind w:left="4320" w:hanging="180"/>
      </w:pPr>
    </w:lvl>
    <w:lvl w:ilvl="6" w:tplc="D1AEB604" w:tentative="1">
      <w:start w:val="1"/>
      <w:numFmt w:val="decimal"/>
      <w:lvlText w:val="%7."/>
      <w:lvlJc w:val="left"/>
      <w:pPr>
        <w:ind w:left="5040" w:hanging="360"/>
      </w:pPr>
    </w:lvl>
    <w:lvl w:ilvl="7" w:tplc="38CA0758" w:tentative="1">
      <w:start w:val="1"/>
      <w:numFmt w:val="lowerLetter"/>
      <w:lvlText w:val="%8."/>
      <w:lvlJc w:val="left"/>
      <w:pPr>
        <w:ind w:left="5760" w:hanging="360"/>
      </w:pPr>
    </w:lvl>
    <w:lvl w:ilvl="8" w:tplc="F99A4FF6" w:tentative="1">
      <w:start w:val="1"/>
      <w:numFmt w:val="lowerRoman"/>
      <w:lvlText w:val="%9."/>
      <w:lvlJc w:val="right"/>
      <w:pPr>
        <w:ind w:left="6480" w:hanging="180"/>
      </w:pPr>
    </w:lvl>
  </w:abstractNum>
  <w:abstractNum w:abstractNumId="9" w15:restartNumberingAfterBreak="1">
    <w:nsid w:val="198D6E52"/>
    <w:multiLevelType w:val="hybridMultilevel"/>
    <w:tmpl w:val="55EEEC94"/>
    <w:lvl w:ilvl="0" w:tplc="C6146D90">
      <w:start w:val="1"/>
      <w:numFmt w:val="lowerLetter"/>
      <w:lvlText w:val="%1)"/>
      <w:lvlJc w:val="left"/>
      <w:pPr>
        <w:ind w:left="720" w:hanging="360"/>
      </w:pPr>
    </w:lvl>
    <w:lvl w:ilvl="1" w:tplc="B77CBE84">
      <w:start w:val="1"/>
      <w:numFmt w:val="lowerLetter"/>
      <w:lvlText w:val="%2)"/>
      <w:lvlJc w:val="left"/>
      <w:pPr>
        <w:ind w:left="1440" w:hanging="360"/>
      </w:pPr>
    </w:lvl>
    <w:lvl w:ilvl="2" w:tplc="619CF816">
      <w:start w:val="1"/>
      <w:numFmt w:val="lowerRoman"/>
      <w:lvlText w:val="%3."/>
      <w:lvlJc w:val="right"/>
      <w:pPr>
        <w:ind w:left="2160" w:hanging="180"/>
      </w:pPr>
    </w:lvl>
    <w:lvl w:ilvl="3" w:tplc="0D527016">
      <w:start w:val="1"/>
      <w:numFmt w:val="decimal"/>
      <w:lvlText w:val="%4."/>
      <w:lvlJc w:val="left"/>
      <w:pPr>
        <w:ind w:left="2880" w:hanging="360"/>
      </w:pPr>
      <w:rPr>
        <w:rFonts w:hint="default"/>
      </w:rPr>
    </w:lvl>
    <w:lvl w:ilvl="4" w:tplc="786893C4" w:tentative="1">
      <w:start w:val="1"/>
      <w:numFmt w:val="lowerLetter"/>
      <w:lvlText w:val="%5."/>
      <w:lvlJc w:val="left"/>
      <w:pPr>
        <w:ind w:left="3600" w:hanging="360"/>
      </w:pPr>
    </w:lvl>
    <w:lvl w:ilvl="5" w:tplc="4566D0D8" w:tentative="1">
      <w:start w:val="1"/>
      <w:numFmt w:val="lowerRoman"/>
      <w:lvlText w:val="%6."/>
      <w:lvlJc w:val="right"/>
      <w:pPr>
        <w:ind w:left="4320" w:hanging="180"/>
      </w:pPr>
    </w:lvl>
    <w:lvl w:ilvl="6" w:tplc="675826F4" w:tentative="1">
      <w:start w:val="1"/>
      <w:numFmt w:val="decimal"/>
      <w:lvlText w:val="%7."/>
      <w:lvlJc w:val="left"/>
      <w:pPr>
        <w:ind w:left="5040" w:hanging="360"/>
      </w:pPr>
    </w:lvl>
    <w:lvl w:ilvl="7" w:tplc="B9184B0E" w:tentative="1">
      <w:start w:val="1"/>
      <w:numFmt w:val="lowerLetter"/>
      <w:lvlText w:val="%8."/>
      <w:lvlJc w:val="left"/>
      <w:pPr>
        <w:ind w:left="5760" w:hanging="360"/>
      </w:pPr>
    </w:lvl>
    <w:lvl w:ilvl="8" w:tplc="BA9EAE1E" w:tentative="1">
      <w:start w:val="1"/>
      <w:numFmt w:val="lowerRoman"/>
      <w:lvlText w:val="%9."/>
      <w:lvlJc w:val="right"/>
      <w:pPr>
        <w:ind w:left="6480" w:hanging="180"/>
      </w:pPr>
    </w:lvl>
  </w:abstractNum>
  <w:abstractNum w:abstractNumId="10" w15:restartNumberingAfterBreak="1">
    <w:nsid w:val="1C134259"/>
    <w:multiLevelType w:val="hybridMultilevel"/>
    <w:tmpl w:val="15827DFA"/>
    <w:lvl w:ilvl="0" w:tplc="E79E270C">
      <w:start w:val="1"/>
      <w:numFmt w:val="decimal"/>
      <w:lvlText w:val="%1."/>
      <w:lvlJc w:val="left"/>
      <w:pPr>
        <w:ind w:left="720" w:hanging="360"/>
      </w:pPr>
      <w:rPr>
        <w:rFonts w:hint="default"/>
      </w:rPr>
    </w:lvl>
    <w:lvl w:ilvl="1" w:tplc="6D3286AE" w:tentative="1">
      <w:start w:val="1"/>
      <w:numFmt w:val="lowerLetter"/>
      <w:lvlText w:val="%2."/>
      <w:lvlJc w:val="left"/>
      <w:pPr>
        <w:ind w:left="1440" w:hanging="360"/>
      </w:pPr>
    </w:lvl>
    <w:lvl w:ilvl="2" w:tplc="4FA6E8F0" w:tentative="1">
      <w:start w:val="1"/>
      <w:numFmt w:val="lowerRoman"/>
      <w:lvlText w:val="%3."/>
      <w:lvlJc w:val="right"/>
      <w:pPr>
        <w:ind w:left="2160" w:hanging="180"/>
      </w:pPr>
    </w:lvl>
    <w:lvl w:ilvl="3" w:tplc="DAE4E62C" w:tentative="1">
      <w:start w:val="1"/>
      <w:numFmt w:val="decimal"/>
      <w:lvlText w:val="%4."/>
      <w:lvlJc w:val="left"/>
      <w:pPr>
        <w:ind w:left="2880" w:hanging="360"/>
      </w:pPr>
    </w:lvl>
    <w:lvl w:ilvl="4" w:tplc="B5F2B6A4" w:tentative="1">
      <w:start w:val="1"/>
      <w:numFmt w:val="lowerLetter"/>
      <w:lvlText w:val="%5."/>
      <w:lvlJc w:val="left"/>
      <w:pPr>
        <w:ind w:left="3600" w:hanging="360"/>
      </w:pPr>
    </w:lvl>
    <w:lvl w:ilvl="5" w:tplc="55B09C7E" w:tentative="1">
      <w:start w:val="1"/>
      <w:numFmt w:val="lowerRoman"/>
      <w:lvlText w:val="%6."/>
      <w:lvlJc w:val="right"/>
      <w:pPr>
        <w:ind w:left="4320" w:hanging="180"/>
      </w:pPr>
    </w:lvl>
    <w:lvl w:ilvl="6" w:tplc="1C80B2F0" w:tentative="1">
      <w:start w:val="1"/>
      <w:numFmt w:val="decimal"/>
      <w:lvlText w:val="%7."/>
      <w:lvlJc w:val="left"/>
      <w:pPr>
        <w:ind w:left="5040" w:hanging="360"/>
      </w:pPr>
    </w:lvl>
    <w:lvl w:ilvl="7" w:tplc="25E2D93A" w:tentative="1">
      <w:start w:val="1"/>
      <w:numFmt w:val="lowerLetter"/>
      <w:lvlText w:val="%8."/>
      <w:lvlJc w:val="left"/>
      <w:pPr>
        <w:ind w:left="5760" w:hanging="360"/>
      </w:pPr>
    </w:lvl>
    <w:lvl w:ilvl="8" w:tplc="48EC1186" w:tentative="1">
      <w:start w:val="1"/>
      <w:numFmt w:val="lowerRoman"/>
      <w:lvlText w:val="%9."/>
      <w:lvlJc w:val="right"/>
      <w:pPr>
        <w:ind w:left="6480" w:hanging="180"/>
      </w:pPr>
    </w:lvl>
  </w:abstractNum>
  <w:abstractNum w:abstractNumId="11" w15:restartNumberingAfterBreak="1">
    <w:nsid w:val="1C6D2B85"/>
    <w:multiLevelType w:val="hybridMultilevel"/>
    <w:tmpl w:val="932ECED2"/>
    <w:lvl w:ilvl="0" w:tplc="6BB8CCF8">
      <w:start w:val="1"/>
      <w:numFmt w:val="decimal"/>
      <w:lvlText w:val="%1."/>
      <w:lvlJc w:val="left"/>
      <w:pPr>
        <w:ind w:left="720" w:hanging="360"/>
      </w:pPr>
    </w:lvl>
    <w:lvl w:ilvl="1" w:tplc="C374E3B0" w:tentative="1">
      <w:start w:val="1"/>
      <w:numFmt w:val="lowerLetter"/>
      <w:lvlText w:val="%2."/>
      <w:lvlJc w:val="left"/>
      <w:pPr>
        <w:ind w:left="1440" w:hanging="360"/>
      </w:pPr>
    </w:lvl>
    <w:lvl w:ilvl="2" w:tplc="98464CFE" w:tentative="1">
      <w:start w:val="1"/>
      <w:numFmt w:val="lowerRoman"/>
      <w:lvlText w:val="%3."/>
      <w:lvlJc w:val="right"/>
      <w:pPr>
        <w:ind w:left="2160" w:hanging="180"/>
      </w:pPr>
    </w:lvl>
    <w:lvl w:ilvl="3" w:tplc="374A6784" w:tentative="1">
      <w:start w:val="1"/>
      <w:numFmt w:val="decimal"/>
      <w:lvlText w:val="%4."/>
      <w:lvlJc w:val="left"/>
      <w:pPr>
        <w:ind w:left="2880" w:hanging="360"/>
      </w:pPr>
    </w:lvl>
    <w:lvl w:ilvl="4" w:tplc="C3FC5314" w:tentative="1">
      <w:start w:val="1"/>
      <w:numFmt w:val="lowerLetter"/>
      <w:lvlText w:val="%5."/>
      <w:lvlJc w:val="left"/>
      <w:pPr>
        <w:ind w:left="3600" w:hanging="360"/>
      </w:pPr>
    </w:lvl>
    <w:lvl w:ilvl="5" w:tplc="91A02408" w:tentative="1">
      <w:start w:val="1"/>
      <w:numFmt w:val="lowerRoman"/>
      <w:lvlText w:val="%6."/>
      <w:lvlJc w:val="right"/>
      <w:pPr>
        <w:ind w:left="4320" w:hanging="180"/>
      </w:pPr>
    </w:lvl>
    <w:lvl w:ilvl="6" w:tplc="A60C898A" w:tentative="1">
      <w:start w:val="1"/>
      <w:numFmt w:val="decimal"/>
      <w:lvlText w:val="%7."/>
      <w:lvlJc w:val="left"/>
      <w:pPr>
        <w:ind w:left="5040" w:hanging="360"/>
      </w:pPr>
    </w:lvl>
    <w:lvl w:ilvl="7" w:tplc="F9D03110" w:tentative="1">
      <w:start w:val="1"/>
      <w:numFmt w:val="lowerLetter"/>
      <w:lvlText w:val="%8."/>
      <w:lvlJc w:val="left"/>
      <w:pPr>
        <w:ind w:left="5760" w:hanging="360"/>
      </w:pPr>
    </w:lvl>
    <w:lvl w:ilvl="8" w:tplc="A5680A68" w:tentative="1">
      <w:start w:val="1"/>
      <w:numFmt w:val="lowerRoman"/>
      <w:lvlText w:val="%9."/>
      <w:lvlJc w:val="right"/>
      <w:pPr>
        <w:ind w:left="6480" w:hanging="180"/>
      </w:pPr>
    </w:lvl>
  </w:abstractNum>
  <w:abstractNum w:abstractNumId="12" w15:restartNumberingAfterBreak="1">
    <w:nsid w:val="1D337604"/>
    <w:multiLevelType w:val="hybridMultilevel"/>
    <w:tmpl w:val="EC366E3A"/>
    <w:lvl w:ilvl="0" w:tplc="2CD8E438">
      <w:start w:val="1"/>
      <w:numFmt w:val="decimal"/>
      <w:lvlText w:val="%1."/>
      <w:lvlJc w:val="left"/>
      <w:pPr>
        <w:ind w:left="720" w:hanging="360"/>
      </w:pPr>
    </w:lvl>
    <w:lvl w:ilvl="1" w:tplc="C5969B66" w:tentative="1">
      <w:start w:val="1"/>
      <w:numFmt w:val="lowerLetter"/>
      <w:lvlText w:val="%2."/>
      <w:lvlJc w:val="left"/>
      <w:pPr>
        <w:ind w:left="1440" w:hanging="360"/>
      </w:pPr>
    </w:lvl>
    <w:lvl w:ilvl="2" w:tplc="2B6E86A4">
      <w:start w:val="1"/>
      <w:numFmt w:val="decimal"/>
      <w:lvlText w:val="%3."/>
      <w:lvlJc w:val="left"/>
      <w:pPr>
        <w:ind w:left="2160" w:hanging="180"/>
      </w:pPr>
      <w:rPr>
        <w:rFonts w:hint="default"/>
      </w:rPr>
    </w:lvl>
    <w:lvl w:ilvl="3" w:tplc="BAC24BF6" w:tentative="1">
      <w:start w:val="1"/>
      <w:numFmt w:val="decimal"/>
      <w:lvlText w:val="%4."/>
      <w:lvlJc w:val="left"/>
      <w:pPr>
        <w:ind w:left="2880" w:hanging="360"/>
      </w:pPr>
    </w:lvl>
    <w:lvl w:ilvl="4" w:tplc="7C00A67A" w:tentative="1">
      <w:start w:val="1"/>
      <w:numFmt w:val="lowerLetter"/>
      <w:lvlText w:val="%5."/>
      <w:lvlJc w:val="left"/>
      <w:pPr>
        <w:ind w:left="3600" w:hanging="360"/>
      </w:pPr>
    </w:lvl>
    <w:lvl w:ilvl="5" w:tplc="464C56FC" w:tentative="1">
      <w:start w:val="1"/>
      <w:numFmt w:val="lowerRoman"/>
      <w:lvlText w:val="%6."/>
      <w:lvlJc w:val="right"/>
      <w:pPr>
        <w:ind w:left="4320" w:hanging="180"/>
      </w:pPr>
    </w:lvl>
    <w:lvl w:ilvl="6" w:tplc="6BA07096" w:tentative="1">
      <w:start w:val="1"/>
      <w:numFmt w:val="decimal"/>
      <w:lvlText w:val="%7."/>
      <w:lvlJc w:val="left"/>
      <w:pPr>
        <w:ind w:left="5040" w:hanging="360"/>
      </w:pPr>
    </w:lvl>
    <w:lvl w:ilvl="7" w:tplc="87040C06" w:tentative="1">
      <w:start w:val="1"/>
      <w:numFmt w:val="lowerLetter"/>
      <w:lvlText w:val="%8."/>
      <w:lvlJc w:val="left"/>
      <w:pPr>
        <w:ind w:left="5760" w:hanging="360"/>
      </w:pPr>
    </w:lvl>
    <w:lvl w:ilvl="8" w:tplc="BFA0E05C" w:tentative="1">
      <w:start w:val="1"/>
      <w:numFmt w:val="lowerRoman"/>
      <w:lvlText w:val="%9."/>
      <w:lvlJc w:val="right"/>
      <w:pPr>
        <w:ind w:left="6480" w:hanging="180"/>
      </w:pPr>
    </w:lvl>
  </w:abstractNum>
  <w:abstractNum w:abstractNumId="13" w15:restartNumberingAfterBreak="1">
    <w:nsid w:val="1DDF3D74"/>
    <w:multiLevelType w:val="hybridMultilevel"/>
    <w:tmpl w:val="B9F0C9B0"/>
    <w:lvl w:ilvl="0" w:tplc="60C042B2">
      <w:start w:val="1"/>
      <w:numFmt w:val="lowerLetter"/>
      <w:lvlText w:val="%1)"/>
      <w:lvlJc w:val="left"/>
      <w:pPr>
        <w:ind w:left="720" w:hanging="360"/>
      </w:pPr>
    </w:lvl>
    <w:lvl w:ilvl="1" w:tplc="1F9045A2">
      <w:start w:val="1"/>
      <w:numFmt w:val="lowerLetter"/>
      <w:lvlText w:val="%2)"/>
      <w:lvlJc w:val="left"/>
      <w:pPr>
        <w:ind w:left="1440" w:hanging="360"/>
      </w:pPr>
    </w:lvl>
    <w:lvl w:ilvl="2" w:tplc="CE40057A">
      <w:start w:val="1"/>
      <w:numFmt w:val="decimal"/>
      <w:lvlText w:val="%3."/>
      <w:lvlJc w:val="left"/>
      <w:pPr>
        <w:ind w:left="2340" w:hanging="360"/>
      </w:pPr>
      <w:rPr>
        <w:rFonts w:hint="default"/>
      </w:rPr>
    </w:lvl>
    <w:lvl w:ilvl="3" w:tplc="995E59F0" w:tentative="1">
      <w:start w:val="1"/>
      <w:numFmt w:val="decimal"/>
      <w:lvlText w:val="%4."/>
      <w:lvlJc w:val="left"/>
      <w:pPr>
        <w:ind w:left="2880" w:hanging="360"/>
      </w:pPr>
    </w:lvl>
    <w:lvl w:ilvl="4" w:tplc="B07C23B2" w:tentative="1">
      <w:start w:val="1"/>
      <w:numFmt w:val="lowerLetter"/>
      <w:lvlText w:val="%5."/>
      <w:lvlJc w:val="left"/>
      <w:pPr>
        <w:ind w:left="3600" w:hanging="360"/>
      </w:pPr>
    </w:lvl>
    <w:lvl w:ilvl="5" w:tplc="EC481B2C" w:tentative="1">
      <w:start w:val="1"/>
      <w:numFmt w:val="lowerRoman"/>
      <w:lvlText w:val="%6."/>
      <w:lvlJc w:val="right"/>
      <w:pPr>
        <w:ind w:left="4320" w:hanging="180"/>
      </w:pPr>
    </w:lvl>
    <w:lvl w:ilvl="6" w:tplc="E15E7940" w:tentative="1">
      <w:start w:val="1"/>
      <w:numFmt w:val="decimal"/>
      <w:lvlText w:val="%7."/>
      <w:lvlJc w:val="left"/>
      <w:pPr>
        <w:ind w:left="5040" w:hanging="360"/>
      </w:pPr>
    </w:lvl>
    <w:lvl w:ilvl="7" w:tplc="06F43422" w:tentative="1">
      <w:start w:val="1"/>
      <w:numFmt w:val="lowerLetter"/>
      <w:lvlText w:val="%8."/>
      <w:lvlJc w:val="left"/>
      <w:pPr>
        <w:ind w:left="5760" w:hanging="360"/>
      </w:pPr>
    </w:lvl>
    <w:lvl w:ilvl="8" w:tplc="69D6A79A" w:tentative="1">
      <w:start w:val="1"/>
      <w:numFmt w:val="lowerRoman"/>
      <w:lvlText w:val="%9."/>
      <w:lvlJc w:val="right"/>
      <w:pPr>
        <w:ind w:left="6480" w:hanging="180"/>
      </w:pPr>
    </w:lvl>
  </w:abstractNum>
  <w:abstractNum w:abstractNumId="14" w15:restartNumberingAfterBreak="1">
    <w:nsid w:val="1F676A02"/>
    <w:multiLevelType w:val="hybridMultilevel"/>
    <w:tmpl w:val="090A125A"/>
    <w:lvl w:ilvl="0" w:tplc="05F83C98">
      <w:start w:val="1"/>
      <w:numFmt w:val="lowerLetter"/>
      <w:lvlText w:val="%1)"/>
      <w:lvlJc w:val="left"/>
      <w:pPr>
        <w:ind w:left="720" w:hanging="360"/>
      </w:pPr>
      <w:rPr>
        <w:rFonts w:hint="default"/>
      </w:rPr>
    </w:lvl>
    <w:lvl w:ilvl="1" w:tplc="27B824D2">
      <w:start w:val="1"/>
      <w:numFmt w:val="decimal"/>
      <w:lvlText w:val="%2."/>
      <w:lvlJc w:val="left"/>
      <w:pPr>
        <w:ind w:left="1440" w:hanging="360"/>
      </w:pPr>
      <w:rPr>
        <w:rFonts w:hint="default"/>
      </w:rPr>
    </w:lvl>
    <w:lvl w:ilvl="2" w:tplc="0792ED4E" w:tentative="1">
      <w:start w:val="1"/>
      <w:numFmt w:val="lowerRoman"/>
      <w:lvlText w:val="%3."/>
      <w:lvlJc w:val="right"/>
      <w:pPr>
        <w:ind w:left="2160" w:hanging="180"/>
      </w:pPr>
    </w:lvl>
    <w:lvl w:ilvl="3" w:tplc="7AD4763E" w:tentative="1">
      <w:start w:val="1"/>
      <w:numFmt w:val="decimal"/>
      <w:lvlText w:val="%4."/>
      <w:lvlJc w:val="left"/>
      <w:pPr>
        <w:ind w:left="2880" w:hanging="360"/>
      </w:pPr>
    </w:lvl>
    <w:lvl w:ilvl="4" w:tplc="CD56041C" w:tentative="1">
      <w:start w:val="1"/>
      <w:numFmt w:val="lowerLetter"/>
      <w:lvlText w:val="%5."/>
      <w:lvlJc w:val="left"/>
      <w:pPr>
        <w:ind w:left="3600" w:hanging="360"/>
      </w:pPr>
    </w:lvl>
    <w:lvl w:ilvl="5" w:tplc="0A3AA6BA" w:tentative="1">
      <w:start w:val="1"/>
      <w:numFmt w:val="lowerRoman"/>
      <w:lvlText w:val="%6."/>
      <w:lvlJc w:val="right"/>
      <w:pPr>
        <w:ind w:left="4320" w:hanging="180"/>
      </w:pPr>
    </w:lvl>
    <w:lvl w:ilvl="6" w:tplc="B1CEAF02" w:tentative="1">
      <w:start w:val="1"/>
      <w:numFmt w:val="decimal"/>
      <w:lvlText w:val="%7."/>
      <w:lvlJc w:val="left"/>
      <w:pPr>
        <w:ind w:left="5040" w:hanging="360"/>
      </w:pPr>
    </w:lvl>
    <w:lvl w:ilvl="7" w:tplc="8FD6782A" w:tentative="1">
      <w:start w:val="1"/>
      <w:numFmt w:val="lowerLetter"/>
      <w:lvlText w:val="%8."/>
      <w:lvlJc w:val="left"/>
      <w:pPr>
        <w:ind w:left="5760" w:hanging="360"/>
      </w:pPr>
    </w:lvl>
    <w:lvl w:ilvl="8" w:tplc="820A199A" w:tentative="1">
      <w:start w:val="1"/>
      <w:numFmt w:val="lowerRoman"/>
      <w:lvlText w:val="%9."/>
      <w:lvlJc w:val="right"/>
      <w:pPr>
        <w:ind w:left="6480" w:hanging="180"/>
      </w:pPr>
    </w:lvl>
  </w:abstractNum>
  <w:abstractNum w:abstractNumId="15" w15:restartNumberingAfterBreak="1">
    <w:nsid w:val="20EF2B12"/>
    <w:multiLevelType w:val="hybridMultilevel"/>
    <w:tmpl w:val="D9088F06"/>
    <w:lvl w:ilvl="0" w:tplc="132AA70A">
      <w:start w:val="1"/>
      <w:numFmt w:val="decimal"/>
      <w:lvlText w:val="%1."/>
      <w:lvlJc w:val="left"/>
      <w:pPr>
        <w:ind w:left="927" w:hanging="360"/>
      </w:pPr>
      <w:rPr>
        <w:rFonts w:hint="default"/>
      </w:rPr>
    </w:lvl>
    <w:lvl w:ilvl="1" w:tplc="C344AFCA" w:tentative="1">
      <w:start w:val="1"/>
      <w:numFmt w:val="lowerLetter"/>
      <w:lvlText w:val="%2."/>
      <w:lvlJc w:val="left"/>
      <w:pPr>
        <w:ind w:left="1647" w:hanging="360"/>
      </w:pPr>
    </w:lvl>
    <w:lvl w:ilvl="2" w:tplc="684CA0AC" w:tentative="1">
      <w:start w:val="1"/>
      <w:numFmt w:val="lowerRoman"/>
      <w:lvlText w:val="%3."/>
      <w:lvlJc w:val="right"/>
      <w:pPr>
        <w:ind w:left="2367" w:hanging="180"/>
      </w:pPr>
    </w:lvl>
    <w:lvl w:ilvl="3" w:tplc="7EBA1D8E" w:tentative="1">
      <w:start w:val="1"/>
      <w:numFmt w:val="decimal"/>
      <w:lvlText w:val="%4."/>
      <w:lvlJc w:val="left"/>
      <w:pPr>
        <w:ind w:left="3087" w:hanging="360"/>
      </w:pPr>
    </w:lvl>
    <w:lvl w:ilvl="4" w:tplc="5770BE70" w:tentative="1">
      <w:start w:val="1"/>
      <w:numFmt w:val="lowerLetter"/>
      <w:lvlText w:val="%5."/>
      <w:lvlJc w:val="left"/>
      <w:pPr>
        <w:ind w:left="3807" w:hanging="360"/>
      </w:pPr>
    </w:lvl>
    <w:lvl w:ilvl="5" w:tplc="79D69022" w:tentative="1">
      <w:start w:val="1"/>
      <w:numFmt w:val="lowerRoman"/>
      <w:lvlText w:val="%6."/>
      <w:lvlJc w:val="right"/>
      <w:pPr>
        <w:ind w:left="4527" w:hanging="180"/>
      </w:pPr>
    </w:lvl>
    <w:lvl w:ilvl="6" w:tplc="FE86E65C" w:tentative="1">
      <w:start w:val="1"/>
      <w:numFmt w:val="decimal"/>
      <w:lvlText w:val="%7."/>
      <w:lvlJc w:val="left"/>
      <w:pPr>
        <w:ind w:left="5247" w:hanging="360"/>
      </w:pPr>
    </w:lvl>
    <w:lvl w:ilvl="7" w:tplc="ED4871F6" w:tentative="1">
      <w:start w:val="1"/>
      <w:numFmt w:val="lowerLetter"/>
      <w:lvlText w:val="%8."/>
      <w:lvlJc w:val="left"/>
      <w:pPr>
        <w:ind w:left="5967" w:hanging="360"/>
      </w:pPr>
    </w:lvl>
    <w:lvl w:ilvl="8" w:tplc="612647FC" w:tentative="1">
      <w:start w:val="1"/>
      <w:numFmt w:val="lowerRoman"/>
      <w:lvlText w:val="%9."/>
      <w:lvlJc w:val="right"/>
      <w:pPr>
        <w:ind w:left="6687" w:hanging="180"/>
      </w:pPr>
    </w:lvl>
  </w:abstractNum>
  <w:abstractNum w:abstractNumId="16" w15:restartNumberingAfterBreak="1">
    <w:nsid w:val="27EB0F94"/>
    <w:multiLevelType w:val="hybridMultilevel"/>
    <w:tmpl w:val="75081524"/>
    <w:lvl w:ilvl="0" w:tplc="49A24382">
      <w:start w:val="1"/>
      <w:numFmt w:val="lowerLetter"/>
      <w:lvlText w:val="%1."/>
      <w:lvlJc w:val="left"/>
      <w:pPr>
        <w:ind w:left="720" w:hanging="360"/>
      </w:pPr>
      <w:rPr>
        <w:rFonts w:hint="default"/>
        <w:vertAlign w:val="baseline"/>
      </w:rPr>
    </w:lvl>
    <w:lvl w:ilvl="1" w:tplc="4F3E8564" w:tentative="1">
      <w:start w:val="1"/>
      <w:numFmt w:val="lowerLetter"/>
      <w:lvlText w:val="%2."/>
      <w:lvlJc w:val="left"/>
      <w:pPr>
        <w:ind w:left="1440" w:hanging="360"/>
      </w:pPr>
    </w:lvl>
    <w:lvl w:ilvl="2" w:tplc="C98A5426" w:tentative="1">
      <w:start w:val="1"/>
      <w:numFmt w:val="lowerRoman"/>
      <w:lvlText w:val="%3."/>
      <w:lvlJc w:val="right"/>
      <w:pPr>
        <w:ind w:left="2160" w:hanging="180"/>
      </w:pPr>
    </w:lvl>
    <w:lvl w:ilvl="3" w:tplc="AF167380" w:tentative="1">
      <w:start w:val="1"/>
      <w:numFmt w:val="decimal"/>
      <w:lvlText w:val="%4."/>
      <w:lvlJc w:val="left"/>
      <w:pPr>
        <w:ind w:left="2880" w:hanging="360"/>
      </w:pPr>
    </w:lvl>
    <w:lvl w:ilvl="4" w:tplc="843C668A" w:tentative="1">
      <w:start w:val="1"/>
      <w:numFmt w:val="lowerLetter"/>
      <w:lvlText w:val="%5."/>
      <w:lvlJc w:val="left"/>
      <w:pPr>
        <w:ind w:left="3600" w:hanging="360"/>
      </w:pPr>
    </w:lvl>
    <w:lvl w:ilvl="5" w:tplc="41C6B248" w:tentative="1">
      <w:start w:val="1"/>
      <w:numFmt w:val="lowerRoman"/>
      <w:lvlText w:val="%6."/>
      <w:lvlJc w:val="right"/>
      <w:pPr>
        <w:ind w:left="4320" w:hanging="180"/>
      </w:pPr>
    </w:lvl>
    <w:lvl w:ilvl="6" w:tplc="FEC21940" w:tentative="1">
      <w:start w:val="1"/>
      <w:numFmt w:val="decimal"/>
      <w:lvlText w:val="%7."/>
      <w:lvlJc w:val="left"/>
      <w:pPr>
        <w:ind w:left="5040" w:hanging="360"/>
      </w:pPr>
    </w:lvl>
    <w:lvl w:ilvl="7" w:tplc="25B4F17C" w:tentative="1">
      <w:start w:val="1"/>
      <w:numFmt w:val="lowerLetter"/>
      <w:lvlText w:val="%8."/>
      <w:lvlJc w:val="left"/>
      <w:pPr>
        <w:ind w:left="5760" w:hanging="360"/>
      </w:pPr>
    </w:lvl>
    <w:lvl w:ilvl="8" w:tplc="CA142008" w:tentative="1">
      <w:start w:val="1"/>
      <w:numFmt w:val="lowerRoman"/>
      <w:lvlText w:val="%9."/>
      <w:lvlJc w:val="right"/>
      <w:pPr>
        <w:ind w:left="6480" w:hanging="180"/>
      </w:pPr>
    </w:lvl>
  </w:abstractNum>
  <w:abstractNum w:abstractNumId="17" w15:restartNumberingAfterBreak="1">
    <w:nsid w:val="3478143D"/>
    <w:multiLevelType w:val="hybridMultilevel"/>
    <w:tmpl w:val="51E65488"/>
    <w:lvl w:ilvl="0" w:tplc="9F04E7CE">
      <w:start w:val="1"/>
      <w:numFmt w:val="lowerLetter"/>
      <w:lvlText w:val="%1)"/>
      <w:lvlJc w:val="left"/>
      <w:pPr>
        <w:ind w:left="720" w:hanging="360"/>
      </w:pPr>
    </w:lvl>
    <w:lvl w:ilvl="1" w:tplc="4AE24BD0">
      <w:start w:val="1"/>
      <w:numFmt w:val="lowerLetter"/>
      <w:lvlText w:val="%2)"/>
      <w:lvlJc w:val="left"/>
      <w:pPr>
        <w:ind w:left="1440" w:hanging="360"/>
      </w:pPr>
    </w:lvl>
    <w:lvl w:ilvl="2" w:tplc="F432BA3A">
      <w:start w:val="1"/>
      <w:numFmt w:val="lowerRoman"/>
      <w:lvlText w:val="%3."/>
      <w:lvlJc w:val="right"/>
      <w:pPr>
        <w:ind w:left="2160" w:hanging="180"/>
      </w:pPr>
    </w:lvl>
    <w:lvl w:ilvl="3" w:tplc="FAFC26C2" w:tentative="1">
      <w:start w:val="1"/>
      <w:numFmt w:val="decimal"/>
      <w:lvlText w:val="%4."/>
      <w:lvlJc w:val="left"/>
      <w:pPr>
        <w:ind w:left="2880" w:hanging="360"/>
      </w:pPr>
    </w:lvl>
    <w:lvl w:ilvl="4" w:tplc="4A5E68F8" w:tentative="1">
      <w:start w:val="1"/>
      <w:numFmt w:val="lowerLetter"/>
      <w:lvlText w:val="%5."/>
      <w:lvlJc w:val="left"/>
      <w:pPr>
        <w:ind w:left="3600" w:hanging="360"/>
      </w:pPr>
    </w:lvl>
    <w:lvl w:ilvl="5" w:tplc="5B84339C" w:tentative="1">
      <w:start w:val="1"/>
      <w:numFmt w:val="lowerRoman"/>
      <w:lvlText w:val="%6."/>
      <w:lvlJc w:val="right"/>
      <w:pPr>
        <w:ind w:left="4320" w:hanging="180"/>
      </w:pPr>
    </w:lvl>
    <w:lvl w:ilvl="6" w:tplc="3EF0D62E" w:tentative="1">
      <w:start w:val="1"/>
      <w:numFmt w:val="decimal"/>
      <w:lvlText w:val="%7."/>
      <w:lvlJc w:val="left"/>
      <w:pPr>
        <w:ind w:left="5040" w:hanging="360"/>
      </w:pPr>
    </w:lvl>
    <w:lvl w:ilvl="7" w:tplc="4A2E4148" w:tentative="1">
      <w:start w:val="1"/>
      <w:numFmt w:val="lowerLetter"/>
      <w:lvlText w:val="%8."/>
      <w:lvlJc w:val="left"/>
      <w:pPr>
        <w:ind w:left="5760" w:hanging="360"/>
      </w:pPr>
    </w:lvl>
    <w:lvl w:ilvl="8" w:tplc="BC50CF0A" w:tentative="1">
      <w:start w:val="1"/>
      <w:numFmt w:val="lowerRoman"/>
      <w:lvlText w:val="%9."/>
      <w:lvlJc w:val="right"/>
      <w:pPr>
        <w:ind w:left="6480" w:hanging="180"/>
      </w:pPr>
    </w:lvl>
  </w:abstractNum>
  <w:abstractNum w:abstractNumId="18" w15:restartNumberingAfterBreak="1">
    <w:nsid w:val="38902CA7"/>
    <w:multiLevelType w:val="hybridMultilevel"/>
    <w:tmpl w:val="9AFE7A86"/>
    <w:lvl w:ilvl="0" w:tplc="17E4FE20">
      <w:start w:val="1"/>
      <w:numFmt w:val="decimal"/>
      <w:lvlText w:val="%1."/>
      <w:lvlJc w:val="left"/>
      <w:pPr>
        <w:ind w:left="644" w:hanging="360"/>
      </w:pPr>
    </w:lvl>
    <w:lvl w:ilvl="1" w:tplc="CCEE5D12" w:tentative="1">
      <w:start w:val="1"/>
      <w:numFmt w:val="lowerLetter"/>
      <w:lvlText w:val="%2."/>
      <w:lvlJc w:val="left"/>
      <w:pPr>
        <w:ind w:left="1440" w:hanging="360"/>
      </w:pPr>
    </w:lvl>
    <w:lvl w:ilvl="2" w:tplc="F2A2D4B2" w:tentative="1">
      <w:start w:val="1"/>
      <w:numFmt w:val="lowerRoman"/>
      <w:lvlText w:val="%3."/>
      <w:lvlJc w:val="right"/>
      <w:pPr>
        <w:ind w:left="2160" w:hanging="180"/>
      </w:pPr>
    </w:lvl>
    <w:lvl w:ilvl="3" w:tplc="6A42DD32" w:tentative="1">
      <w:start w:val="1"/>
      <w:numFmt w:val="decimal"/>
      <w:lvlText w:val="%4."/>
      <w:lvlJc w:val="left"/>
      <w:pPr>
        <w:ind w:left="2880" w:hanging="360"/>
      </w:pPr>
    </w:lvl>
    <w:lvl w:ilvl="4" w:tplc="7D70AF68" w:tentative="1">
      <w:start w:val="1"/>
      <w:numFmt w:val="lowerLetter"/>
      <w:lvlText w:val="%5."/>
      <w:lvlJc w:val="left"/>
      <w:pPr>
        <w:ind w:left="3600" w:hanging="360"/>
      </w:pPr>
    </w:lvl>
    <w:lvl w:ilvl="5" w:tplc="9E023510" w:tentative="1">
      <w:start w:val="1"/>
      <w:numFmt w:val="lowerRoman"/>
      <w:lvlText w:val="%6."/>
      <w:lvlJc w:val="right"/>
      <w:pPr>
        <w:ind w:left="4320" w:hanging="180"/>
      </w:pPr>
    </w:lvl>
    <w:lvl w:ilvl="6" w:tplc="01CC39FC" w:tentative="1">
      <w:start w:val="1"/>
      <w:numFmt w:val="decimal"/>
      <w:lvlText w:val="%7."/>
      <w:lvlJc w:val="left"/>
      <w:pPr>
        <w:ind w:left="5040" w:hanging="360"/>
      </w:pPr>
    </w:lvl>
    <w:lvl w:ilvl="7" w:tplc="02C6D950" w:tentative="1">
      <w:start w:val="1"/>
      <w:numFmt w:val="lowerLetter"/>
      <w:lvlText w:val="%8."/>
      <w:lvlJc w:val="left"/>
      <w:pPr>
        <w:ind w:left="5760" w:hanging="360"/>
      </w:pPr>
    </w:lvl>
    <w:lvl w:ilvl="8" w:tplc="4C2EFEC4" w:tentative="1">
      <w:start w:val="1"/>
      <w:numFmt w:val="lowerRoman"/>
      <w:lvlText w:val="%9."/>
      <w:lvlJc w:val="right"/>
      <w:pPr>
        <w:ind w:left="6480" w:hanging="180"/>
      </w:pPr>
    </w:lvl>
  </w:abstractNum>
  <w:abstractNum w:abstractNumId="19" w15:restartNumberingAfterBreak="1">
    <w:nsid w:val="39095300"/>
    <w:multiLevelType w:val="hybridMultilevel"/>
    <w:tmpl w:val="5E5A2316"/>
    <w:lvl w:ilvl="0" w:tplc="E7A096EC">
      <w:start w:val="1"/>
      <w:numFmt w:val="decimal"/>
      <w:lvlText w:val="%1."/>
      <w:lvlJc w:val="left"/>
      <w:pPr>
        <w:ind w:left="720" w:hanging="360"/>
      </w:pPr>
      <w:rPr>
        <w:rFonts w:hint="default"/>
      </w:rPr>
    </w:lvl>
    <w:lvl w:ilvl="1" w:tplc="6BD2E5FE" w:tentative="1">
      <w:start w:val="1"/>
      <w:numFmt w:val="lowerLetter"/>
      <w:lvlText w:val="%2."/>
      <w:lvlJc w:val="left"/>
      <w:pPr>
        <w:ind w:left="1440" w:hanging="360"/>
      </w:pPr>
    </w:lvl>
    <w:lvl w:ilvl="2" w:tplc="DF5EA65C" w:tentative="1">
      <w:start w:val="1"/>
      <w:numFmt w:val="lowerRoman"/>
      <w:lvlText w:val="%3."/>
      <w:lvlJc w:val="right"/>
      <w:pPr>
        <w:ind w:left="2160" w:hanging="180"/>
      </w:pPr>
    </w:lvl>
    <w:lvl w:ilvl="3" w:tplc="BB36A048" w:tentative="1">
      <w:start w:val="1"/>
      <w:numFmt w:val="decimal"/>
      <w:lvlText w:val="%4."/>
      <w:lvlJc w:val="left"/>
      <w:pPr>
        <w:ind w:left="2880" w:hanging="360"/>
      </w:pPr>
    </w:lvl>
    <w:lvl w:ilvl="4" w:tplc="6536534A" w:tentative="1">
      <w:start w:val="1"/>
      <w:numFmt w:val="lowerLetter"/>
      <w:lvlText w:val="%5."/>
      <w:lvlJc w:val="left"/>
      <w:pPr>
        <w:ind w:left="3600" w:hanging="360"/>
      </w:pPr>
    </w:lvl>
    <w:lvl w:ilvl="5" w:tplc="8CF88AF0" w:tentative="1">
      <w:start w:val="1"/>
      <w:numFmt w:val="lowerRoman"/>
      <w:lvlText w:val="%6."/>
      <w:lvlJc w:val="right"/>
      <w:pPr>
        <w:ind w:left="4320" w:hanging="180"/>
      </w:pPr>
    </w:lvl>
    <w:lvl w:ilvl="6" w:tplc="A4526200" w:tentative="1">
      <w:start w:val="1"/>
      <w:numFmt w:val="decimal"/>
      <w:lvlText w:val="%7."/>
      <w:lvlJc w:val="left"/>
      <w:pPr>
        <w:ind w:left="5040" w:hanging="360"/>
      </w:pPr>
    </w:lvl>
    <w:lvl w:ilvl="7" w:tplc="130C34B2" w:tentative="1">
      <w:start w:val="1"/>
      <w:numFmt w:val="lowerLetter"/>
      <w:lvlText w:val="%8."/>
      <w:lvlJc w:val="left"/>
      <w:pPr>
        <w:ind w:left="5760" w:hanging="360"/>
      </w:pPr>
    </w:lvl>
    <w:lvl w:ilvl="8" w:tplc="E2E0694E" w:tentative="1">
      <w:start w:val="1"/>
      <w:numFmt w:val="lowerRoman"/>
      <w:lvlText w:val="%9."/>
      <w:lvlJc w:val="right"/>
      <w:pPr>
        <w:ind w:left="6480" w:hanging="180"/>
      </w:pPr>
    </w:lvl>
  </w:abstractNum>
  <w:abstractNum w:abstractNumId="20" w15:restartNumberingAfterBreak="1">
    <w:nsid w:val="3A3E2EC3"/>
    <w:multiLevelType w:val="hybridMultilevel"/>
    <w:tmpl w:val="A45AA6F4"/>
    <w:lvl w:ilvl="0" w:tplc="24D67E62">
      <w:start w:val="1"/>
      <w:numFmt w:val="bullet"/>
      <w:lvlText w:val=""/>
      <w:lvlJc w:val="left"/>
      <w:pPr>
        <w:tabs>
          <w:tab w:val="num" w:pos="644"/>
        </w:tabs>
        <w:ind w:left="567" w:hanging="283"/>
      </w:pPr>
      <w:rPr>
        <w:rFonts w:ascii="Symbol" w:hAnsi="Symbol" w:hint="default"/>
      </w:rPr>
    </w:lvl>
    <w:lvl w:ilvl="1" w:tplc="D81AFC28" w:tentative="1">
      <w:start w:val="1"/>
      <w:numFmt w:val="bullet"/>
      <w:lvlText w:val="o"/>
      <w:lvlJc w:val="left"/>
      <w:pPr>
        <w:tabs>
          <w:tab w:val="num" w:pos="1440"/>
        </w:tabs>
        <w:ind w:left="1440" w:hanging="360"/>
      </w:pPr>
      <w:rPr>
        <w:rFonts w:ascii="Courier New" w:hAnsi="Courier New" w:hint="default"/>
      </w:rPr>
    </w:lvl>
    <w:lvl w:ilvl="2" w:tplc="548E1B46" w:tentative="1">
      <w:start w:val="1"/>
      <w:numFmt w:val="bullet"/>
      <w:lvlText w:val=""/>
      <w:lvlJc w:val="left"/>
      <w:pPr>
        <w:tabs>
          <w:tab w:val="num" w:pos="2160"/>
        </w:tabs>
        <w:ind w:left="2160" w:hanging="360"/>
      </w:pPr>
      <w:rPr>
        <w:rFonts w:ascii="Wingdings" w:hAnsi="Wingdings" w:hint="default"/>
      </w:rPr>
    </w:lvl>
    <w:lvl w:ilvl="3" w:tplc="D27A4948" w:tentative="1">
      <w:start w:val="1"/>
      <w:numFmt w:val="bullet"/>
      <w:lvlText w:val=""/>
      <w:lvlJc w:val="left"/>
      <w:pPr>
        <w:tabs>
          <w:tab w:val="num" w:pos="2880"/>
        </w:tabs>
        <w:ind w:left="2880" w:hanging="360"/>
      </w:pPr>
      <w:rPr>
        <w:rFonts w:ascii="Symbol" w:hAnsi="Symbol" w:hint="default"/>
      </w:rPr>
    </w:lvl>
    <w:lvl w:ilvl="4" w:tplc="BD2E1372" w:tentative="1">
      <w:start w:val="1"/>
      <w:numFmt w:val="bullet"/>
      <w:lvlText w:val="o"/>
      <w:lvlJc w:val="left"/>
      <w:pPr>
        <w:tabs>
          <w:tab w:val="num" w:pos="3600"/>
        </w:tabs>
        <w:ind w:left="3600" w:hanging="360"/>
      </w:pPr>
      <w:rPr>
        <w:rFonts w:ascii="Courier New" w:hAnsi="Courier New" w:hint="default"/>
      </w:rPr>
    </w:lvl>
    <w:lvl w:ilvl="5" w:tplc="80EA02DE" w:tentative="1">
      <w:start w:val="1"/>
      <w:numFmt w:val="bullet"/>
      <w:lvlText w:val=""/>
      <w:lvlJc w:val="left"/>
      <w:pPr>
        <w:tabs>
          <w:tab w:val="num" w:pos="4320"/>
        </w:tabs>
        <w:ind w:left="4320" w:hanging="360"/>
      </w:pPr>
      <w:rPr>
        <w:rFonts w:ascii="Wingdings" w:hAnsi="Wingdings" w:hint="default"/>
      </w:rPr>
    </w:lvl>
    <w:lvl w:ilvl="6" w:tplc="5D7278F2" w:tentative="1">
      <w:start w:val="1"/>
      <w:numFmt w:val="bullet"/>
      <w:lvlText w:val=""/>
      <w:lvlJc w:val="left"/>
      <w:pPr>
        <w:tabs>
          <w:tab w:val="num" w:pos="5040"/>
        </w:tabs>
        <w:ind w:left="5040" w:hanging="360"/>
      </w:pPr>
      <w:rPr>
        <w:rFonts w:ascii="Symbol" w:hAnsi="Symbol" w:hint="default"/>
      </w:rPr>
    </w:lvl>
    <w:lvl w:ilvl="7" w:tplc="60307F7E" w:tentative="1">
      <w:start w:val="1"/>
      <w:numFmt w:val="bullet"/>
      <w:lvlText w:val="o"/>
      <w:lvlJc w:val="left"/>
      <w:pPr>
        <w:tabs>
          <w:tab w:val="num" w:pos="5760"/>
        </w:tabs>
        <w:ind w:left="5760" w:hanging="360"/>
      </w:pPr>
      <w:rPr>
        <w:rFonts w:ascii="Courier New" w:hAnsi="Courier New" w:hint="default"/>
      </w:rPr>
    </w:lvl>
    <w:lvl w:ilvl="8" w:tplc="AC96944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1">
    <w:nsid w:val="3BE212A7"/>
    <w:multiLevelType w:val="hybridMultilevel"/>
    <w:tmpl w:val="57C0CEC0"/>
    <w:lvl w:ilvl="0" w:tplc="985A56C2">
      <w:start w:val="1"/>
      <w:numFmt w:val="decimal"/>
      <w:lvlText w:val="%1."/>
      <w:lvlJc w:val="left"/>
      <w:pPr>
        <w:ind w:left="720" w:hanging="360"/>
      </w:pPr>
      <w:rPr>
        <w:rFonts w:hint="default"/>
      </w:rPr>
    </w:lvl>
    <w:lvl w:ilvl="1" w:tplc="C774696C" w:tentative="1">
      <w:start w:val="1"/>
      <w:numFmt w:val="lowerLetter"/>
      <w:lvlText w:val="%2."/>
      <w:lvlJc w:val="left"/>
      <w:pPr>
        <w:ind w:left="1440" w:hanging="360"/>
      </w:pPr>
    </w:lvl>
    <w:lvl w:ilvl="2" w:tplc="E4CC0E00">
      <w:start w:val="1"/>
      <w:numFmt w:val="decimal"/>
      <w:lvlText w:val="%3."/>
      <w:lvlJc w:val="left"/>
      <w:pPr>
        <w:ind w:left="2160" w:hanging="180"/>
      </w:pPr>
      <w:rPr>
        <w:rFonts w:hint="default"/>
      </w:rPr>
    </w:lvl>
    <w:lvl w:ilvl="3" w:tplc="85E4F092" w:tentative="1">
      <w:start w:val="1"/>
      <w:numFmt w:val="decimal"/>
      <w:lvlText w:val="%4."/>
      <w:lvlJc w:val="left"/>
      <w:pPr>
        <w:ind w:left="2880" w:hanging="360"/>
      </w:pPr>
    </w:lvl>
    <w:lvl w:ilvl="4" w:tplc="BB7627A4" w:tentative="1">
      <w:start w:val="1"/>
      <w:numFmt w:val="lowerLetter"/>
      <w:lvlText w:val="%5."/>
      <w:lvlJc w:val="left"/>
      <w:pPr>
        <w:ind w:left="3600" w:hanging="360"/>
      </w:pPr>
    </w:lvl>
    <w:lvl w:ilvl="5" w:tplc="2584B098" w:tentative="1">
      <w:start w:val="1"/>
      <w:numFmt w:val="lowerRoman"/>
      <w:lvlText w:val="%6."/>
      <w:lvlJc w:val="right"/>
      <w:pPr>
        <w:ind w:left="4320" w:hanging="180"/>
      </w:pPr>
    </w:lvl>
    <w:lvl w:ilvl="6" w:tplc="52560712" w:tentative="1">
      <w:start w:val="1"/>
      <w:numFmt w:val="decimal"/>
      <w:lvlText w:val="%7."/>
      <w:lvlJc w:val="left"/>
      <w:pPr>
        <w:ind w:left="5040" w:hanging="360"/>
      </w:pPr>
    </w:lvl>
    <w:lvl w:ilvl="7" w:tplc="B2226A06" w:tentative="1">
      <w:start w:val="1"/>
      <w:numFmt w:val="lowerLetter"/>
      <w:lvlText w:val="%8."/>
      <w:lvlJc w:val="left"/>
      <w:pPr>
        <w:ind w:left="5760" w:hanging="360"/>
      </w:pPr>
    </w:lvl>
    <w:lvl w:ilvl="8" w:tplc="D3B4528C" w:tentative="1">
      <w:start w:val="1"/>
      <w:numFmt w:val="lowerRoman"/>
      <w:lvlText w:val="%9."/>
      <w:lvlJc w:val="right"/>
      <w:pPr>
        <w:ind w:left="6480" w:hanging="180"/>
      </w:pPr>
    </w:lvl>
  </w:abstractNum>
  <w:abstractNum w:abstractNumId="22" w15:restartNumberingAfterBreak="1">
    <w:nsid w:val="3E324B55"/>
    <w:multiLevelType w:val="hybridMultilevel"/>
    <w:tmpl w:val="F9FCF7D2"/>
    <w:lvl w:ilvl="0" w:tplc="2104DE68">
      <w:start w:val="1"/>
      <w:numFmt w:val="lowerLetter"/>
      <w:lvlText w:val="%1)"/>
      <w:lvlJc w:val="left"/>
      <w:pPr>
        <w:ind w:left="720" w:hanging="360"/>
      </w:pPr>
    </w:lvl>
    <w:lvl w:ilvl="1" w:tplc="D526CDA8">
      <w:start w:val="1"/>
      <w:numFmt w:val="lowerLetter"/>
      <w:lvlText w:val="%2)"/>
      <w:lvlJc w:val="left"/>
      <w:pPr>
        <w:ind w:left="1440" w:hanging="360"/>
      </w:pPr>
    </w:lvl>
    <w:lvl w:ilvl="2" w:tplc="293C53A8" w:tentative="1">
      <w:start w:val="1"/>
      <w:numFmt w:val="lowerRoman"/>
      <w:lvlText w:val="%3."/>
      <w:lvlJc w:val="right"/>
      <w:pPr>
        <w:ind w:left="2160" w:hanging="180"/>
      </w:pPr>
    </w:lvl>
    <w:lvl w:ilvl="3" w:tplc="DC1485C2" w:tentative="1">
      <w:start w:val="1"/>
      <w:numFmt w:val="decimal"/>
      <w:lvlText w:val="%4."/>
      <w:lvlJc w:val="left"/>
      <w:pPr>
        <w:ind w:left="2880" w:hanging="360"/>
      </w:pPr>
    </w:lvl>
    <w:lvl w:ilvl="4" w:tplc="D43A71BA" w:tentative="1">
      <w:start w:val="1"/>
      <w:numFmt w:val="lowerLetter"/>
      <w:lvlText w:val="%5."/>
      <w:lvlJc w:val="left"/>
      <w:pPr>
        <w:ind w:left="3600" w:hanging="360"/>
      </w:pPr>
    </w:lvl>
    <w:lvl w:ilvl="5" w:tplc="4C082A9A" w:tentative="1">
      <w:start w:val="1"/>
      <w:numFmt w:val="lowerRoman"/>
      <w:lvlText w:val="%6."/>
      <w:lvlJc w:val="right"/>
      <w:pPr>
        <w:ind w:left="4320" w:hanging="180"/>
      </w:pPr>
    </w:lvl>
    <w:lvl w:ilvl="6" w:tplc="E04441D6" w:tentative="1">
      <w:start w:val="1"/>
      <w:numFmt w:val="decimal"/>
      <w:lvlText w:val="%7."/>
      <w:lvlJc w:val="left"/>
      <w:pPr>
        <w:ind w:left="5040" w:hanging="360"/>
      </w:pPr>
    </w:lvl>
    <w:lvl w:ilvl="7" w:tplc="3A6E046A" w:tentative="1">
      <w:start w:val="1"/>
      <w:numFmt w:val="lowerLetter"/>
      <w:lvlText w:val="%8."/>
      <w:lvlJc w:val="left"/>
      <w:pPr>
        <w:ind w:left="5760" w:hanging="360"/>
      </w:pPr>
    </w:lvl>
    <w:lvl w:ilvl="8" w:tplc="D09CA802" w:tentative="1">
      <w:start w:val="1"/>
      <w:numFmt w:val="lowerRoman"/>
      <w:lvlText w:val="%9."/>
      <w:lvlJc w:val="right"/>
      <w:pPr>
        <w:ind w:left="6480" w:hanging="180"/>
      </w:pPr>
    </w:lvl>
  </w:abstractNum>
  <w:abstractNum w:abstractNumId="23" w15:restartNumberingAfterBreak="1">
    <w:nsid w:val="3E592817"/>
    <w:multiLevelType w:val="hybridMultilevel"/>
    <w:tmpl w:val="0CAECD44"/>
    <w:lvl w:ilvl="0" w:tplc="2528D6EA">
      <w:start w:val="1"/>
      <w:numFmt w:val="lowerLetter"/>
      <w:lvlText w:val="%1)"/>
      <w:lvlJc w:val="left"/>
      <w:pPr>
        <w:ind w:left="720" w:hanging="360"/>
      </w:pPr>
    </w:lvl>
    <w:lvl w:ilvl="1" w:tplc="5F661F2E">
      <w:start w:val="1"/>
      <w:numFmt w:val="lowerLetter"/>
      <w:lvlText w:val="%2)"/>
      <w:lvlJc w:val="left"/>
      <w:pPr>
        <w:ind w:left="1440" w:hanging="360"/>
      </w:pPr>
    </w:lvl>
    <w:lvl w:ilvl="2" w:tplc="67F6E31C" w:tentative="1">
      <w:start w:val="1"/>
      <w:numFmt w:val="lowerRoman"/>
      <w:lvlText w:val="%3."/>
      <w:lvlJc w:val="right"/>
      <w:pPr>
        <w:ind w:left="2160" w:hanging="180"/>
      </w:pPr>
    </w:lvl>
    <w:lvl w:ilvl="3" w:tplc="24C61E84" w:tentative="1">
      <w:start w:val="1"/>
      <w:numFmt w:val="decimal"/>
      <w:lvlText w:val="%4."/>
      <w:lvlJc w:val="left"/>
      <w:pPr>
        <w:ind w:left="2880" w:hanging="360"/>
      </w:pPr>
    </w:lvl>
    <w:lvl w:ilvl="4" w:tplc="13D4297E" w:tentative="1">
      <w:start w:val="1"/>
      <w:numFmt w:val="lowerLetter"/>
      <w:lvlText w:val="%5."/>
      <w:lvlJc w:val="left"/>
      <w:pPr>
        <w:ind w:left="3600" w:hanging="360"/>
      </w:pPr>
    </w:lvl>
    <w:lvl w:ilvl="5" w:tplc="3056D6F8" w:tentative="1">
      <w:start w:val="1"/>
      <w:numFmt w:val="lowerRoman"/>
      <w:lvlText w:val="%6."/>
      <w:lvlJc w:val="right"/>
      <w:pPr>
        <w:ind w:left="4320" w:hanging="180"/>
      </w:pPr>
    </w:lvl>
    <w:lvl w:ilvl="6" w:tplc="99BC5E86" w:tentative="1">
      <w:start w:val="1"/>
      <w:numFmt w:val="decimal"/>
      <w:lvlText w:val="%7."/>
      <w:lvlJc w:val="left"/>
      <w:pPr>
        <w:ind w:left="5040" w:hanging="360"/>
      </w:pPr>
    </w:lvl>
    <w:lvl w:ilvl="7" w:tplc="AAACF22A" w:tentative="1">
      <w:start w:val="1"/>
      <w:numFmt w:val="lowerLetter"/>
      <w:lvlText w:val="%8."/>
      <w:lvlJc w:val="left"/>
      <w:pPr>
        <w:ind w:left="5760" w:hanging="360"/>
      </w:pPr>
    </w:lvl>
    <w:lvl w:ilvl="8" w:tplc="B4688BD2" w:tentative="1">
      <w:start w:val="1"/>
      <w:numFmt w:val="lowerRoman"/>
      <w:lvlText w:val="%9."/>
      <w:lvlJc w:val="right"/>
      <w:pPr>
        <w:ind w:left="6480" w:hanging="180"/>
      </w:pPr>
    </w:lvl>
  </w:abstractNum>
  <w:abstractNum w:abstractNumId="24" w15:restartNumberingAfterBreak="1">
    <w:nsid w:val="41993CC6"/>
    <w:multiLevelType w:val="hybridMultilevel"/>
    <w:tmpl w:val="9328FAB6"/>
    <w:lvl w:ilvl="0" w:tplc="5344D31A">
      <w:start w:val="1"/>
      <w:numFmt w:val="lowerLetter"/>
      <w:lvlText w:val="%1)"/>
      <w:lvlJc w:val="left"/>
      <w:pPr>
        <w:ind w:left="720" w:hanging="360"/>
      </w:pPr>
      <w:rPr>
        <w:rFonts w:hint="default"/>
      </w:rPr>
    </w:lvl>
    <w:lvl w:ilvl="1" w:tplc="18747E6A" w:tentative="1">
      <w:start w:val="1"/>
      <w:numFmt w:val="lowerLetter"/>
      <w:lvlText w:val="%2."/>
      <w:lvlJc w:val="left"/>
      <w:pPr>
        <w:ind w:left="1440" w:hanging="360"/>
      </w:pPr>
    </w:lvl>
    <w:lvl w:ilvl="2" w:tplc="10D61F90" w:tentative="1">
      <w:start w:val="1"/>
      <w:numFmt w:val="lowerRoman"/>
      <w:lvlText w:val="%3."/>
      <w:lvlJc w:val="right"/>
      <w:pPr>
        <w:ind w:left="2160" w:hanging="180"/>
      </w:pPr>
    </w:lvl>
    <w:lvl w:ilvl="3" w:tplc="51B62610" w:tentative="1">
      <w:start w:val="1"/>
      <w:numFmt w:val="decimal"/>
      <w:lvlText w:val="%4."/>
      <w:lvlJc w:val="left"/>
      <w:pPr>
        <w:ind w:left="2880" w:hanging="360"/>
      </w:pPr>
    </w:lvl>
    <w:lvl w:ilvl="4" w:tplc="7AA46368" w:tentative="1">
      <w:start w:val="1"/>
      <w:numFmt w:val="lowerLetter"/>
      <w:lvlText w:val="%5."/>
      <w:lvlJc w:val="left"/>
      <w:pPr>
        <w:ind w:left="3600" w:hanging="360"/>
      </w:pPr>
    </w:lvl>
    <w:lvl w:ilvl="5" w:tplc="1100AF3E" w:tentative="1">
      <w:start w:val="1"/>
      <w:numFmt w:val="lowerRoman"/>
      <w:lvlText w:val="%6."/>
      <w:lvlJc w:val="right"/>
      <w:pPr>
        <w:ind w:left="4320" w:hanging="180"/>
      </w:pPr>
    </w:lvl>
    <w:lvl w:ilvl="6" w:tplc="50D452E6" w:tentative="1">
      <w:start w:val="1"/>
      <w:numFmt w:val="decimal"/>
      <w:lvlText w:val="%7."/>
      <w:lvlJc w:val="left"/>
      <w:pPr>
        <w:ind w:left="5040" w:hanging="360"/>
      </w:pPr>
    </w:lvl>
    <w:lvl w:ilvl="7" w:tplc="9850D91C" w:tentative="1">
      <w:start w:val="1"/>
      <w:numFmt w:val="lowerLetter"/>
      <w:lvlText w:val="%8."/>
      <w:lvlJc w:val="left"/>
      <w:pPr>
        <w:ind w:left="5760" w:hanging="360"/>
      </w:pPr>
    </w:lvl>
    <w:lvl w:ilvl="8" w:tplc="91F88238" w:tentative="1">
      <w:start w:val="1"/>
      <w:numFmt w:val="lowerRoman"/>
      <w:lvlText w:val="%9."/>
      <w:lvlJc w:val="right"/>
      <w:pPr>
        <w:ind w:left="6480" w:hanging="180"/>
      </w:pPr>
    </w:lvl>
  </w:abstractNum>
  <w:abstractNum w:abstractNumId="25" w15:restartNumberingAfterBreak="1">
    <w:nsid w:val="41CE4071"/>
    <w:multiLevelType w:val="hybridMultilevel"/>
    <w:tmpl w:val="2500D110"/>
    <w:lvl w:ilvl="0" w:tplc="9728680E">
      <w:start w:val="1"/>
      <w:numFmt w:val="lowerLetter"/>
      <w:lvlText w:val="%1)"/>
      <w:lvlJc w:val="left"/>
      <w:pPr>
        <w:ind w:left="720" w:hanging="360"/>
      </w:pPr>
      <w:rPr>
        <w:rFonts w:hint="default"/>
      </w:rPr>
    </w:lvl>
    <w:lvl w:ilvl="1" w:tplc="6F08FB0A" w:tentative="1">
      <w:start w:val="1"/>
      <w:numFmt w:val="lowerLetter"/>
      <w:lvlText w:val="%2."/>
      <w:lvlJc w:val="left"/>
      <w:pPr>
        <w:ind w:left="1440" w:hanging="360"/>
      </w:pPr>
    </w:lvl>
    <w:lvl w:ilvl="2" w:tplc="69568EDE" w:tentative="1">
      <w:start w:val="1"/>
      <w:numFmt w:val="lowerRoman"/>
      <w:lvlText w:val="%3."/>
      <w:lvlJc w:val="right"/>
      <w:pPr>
        <w:ind w:left="2160" w:hanging="180"/>
      </w:pPr>
    </w:lvl>
    <w:lvl w:ilvl="3" w:tplc="5290D1AC" w:tentative="1">
      <w:start w:val="1"/>
      <w:numFmt w:val="decimal"/>
      <w:lvlText w:val="%4."/>
      <w:lvlJc w:val="left"/>
      <w:pPr>
        <w:ind w:left="2880" w:hanging="360"/>
      </w:pPr>
    </w:lvl>
    <w:lvl w:ilvl="4" w:tplc="626E7B40" w:tentative="1">
      <w:start w:val="1"/>
      <w:numFmt w:val="lowerLetter"/>
      <w:lvlText w:val="%5."/>
      <w:lvlJc w:val="left"/>
      <w:pPr>
        <w:ind w:left="3600" w:hanging="360"/>
      </w:pPr>
    </w:lvl>
    <w:lvl w:ilvl="5" w:tplc="B46896B0" w:tentative="1">
      <w:start w:val="1"/>
      <w:numFmt w:val="lowerRoman"/>
      <w:lvlText w:val="%6."/>
      <w:lvlJc w:val="right"/>
      <w:pPr>
        <w:ind w:left="4320" w:hanging="180"/>
      </w:pPr>
    </w:lvl>
    <w:lvl w:ilvl="6" w:tplc="59C2BDF4" w:tentative="1">
      <w:start w:val="1"/>
      <w:numFmt w:val="decimal"/>
      <w:lvlText w:val="%7."/>
      <w:lvlJc w:val="left"/>
      <w:pPr>
        <w:ind w:left="5040" w:hanging="360"/>
      </w:pPr>
    </w:lvl>
    <w:lvl w:ilvl="7" w:tplc="E112F554" w:tentative="1">
      <w:start w:val="1"/>
      <w:numFmt w:val="lowerLetter"/>
      <w:lvlText w:val="%8."/>
      <w:lvlJc w:val="left"/>
      <w:pPr>
        <w:ind w:left="5760" w:hanging="360"/>
      </w:pPr>
    </w:lvl>
    <w:lvl w:ilvl="8" w:tplc="4CBE8C6A" w:tentative="1">
      <w:start w:val="1"/>
      <w:numFmt w:val="lowerRoman"/>
      <w:lvlText w:val="%9."/>
      <w:lvlJc w:val="right"/>
      <w:pPr>
        <w:ind w:left="6480" w:hanging="180"/>
      </w:pPr>
    </w:lvl>
  </w:abstractNum>
  <w:abstractNum w:abstractNumId="26" w15:restartNumberingAfterBreak="1">
    <w:nsid w:val="43A023A7"/>
    <w:multiLevelType w:val="hybridMultilevel"/>
    <w:tmpl w:val="141CCE4A"/>
    <w:lvl w:ilvl="0" w:tplc="FDD8F0B6">
      <w:start w:val="1"/>
      <w:numFmt w:val="lowerLetter"/>
      <w:lvlText w:val="%1)"/>
      <w:lvlJc w:val="left"/>
      <w:pPr>
        <w:ind w:left="720" w:hanging="360"/>
      </w:pPr>
      <w:rPr>
        <w:rFonts w:hint="default"/>
      </w:rPr>
    </w:lvl>
    <w:lvl w:ilvl="1" w:tplc="262CCE00">
      <w:start w:val="1"/>
      <w:numFmt w:val="decimal"/>
      <w:lvlText w:val="%2."/>
      <w:lvlJc w:val="left"/>
      <w:pPr>
        <w:ind w:left="1440" w:hanging="360"/>
      </w:pPr>
      <w:rPr>
        <w:rFonts w:hint="default"/>
      </w:rPr>
    </w:lvl>
    <w:lvl w:ilvl="2" w:tplc="8EC6B492" w:tentative="1">
      <w:start w:val="1"/>
      <w:numFmt w:val="lowerRoman"/>
      <w:lvlText w:val="%3."/>
      <w:lvlJc w:val="right"/>
      <w:pPr>
        <w:ind w:left="2160" w:hanging="180"/>
      </w:pPr>
    </w:lvl>
    <w:lvl w:ilvl="3" w:tplc="E4DED4BE" w:tentative="1">
      <w:start w:val="1"/>
      <w:numFmt w:val="decimal"/>
      <w:lvlText w:val="%4."/>
      <w:lvlJc w:val="left"/>
      <w:pPr>
        <w:ind w:left="2880" w:hanging="360"/>
      </w:pPr>
    </w:lvl>
    <w:lvl w:ilvl="4" w:tplc="2C42305A" w:tentative="1">
      <w:start w:val="1"/>
      <w:numFmt w:val="lowerLetter"/>
      <w:lvlText w:val="%5."/>
      <w:lvlJc w:val="left"/>
      <w:pPr>
        <w:ind w:left="3600" w:hanging="360"/>
      </w:pPr>
    </w:lvl>
    <w:lvl w:ilvl="5" w:tplc="6CC8950C" w:tentative="1">
      <w:start w:val="1"/>
      <w:numFmt w:val="lowerRoman"/>
      <w:lvlText w:val="%6."/>
      <w:lvlJc w:val="right"/>
      <w:pPr>
        <w:ind w:left="4320" w:hanging="180"/>
      </w:pPr>
    </w:lvl>
    <w:lvl w:ilvl="6" w:tplc="5BEA7532" w:tentative="1">
      <w:start w:val="1"/>
      <w:numFmt w:val="decimal"/>
      <w:lvlText w:val="%7."/>
      <w:lvlJc w:val="left"/>
      <w:pPr>
        <w:ind w:left="5040" w:hanging="360"/>
      </w:pPr>
    </w:lvl>
    <w:lvl w:ilvl="7" w:tplc="781C4CE4" w:tentative="1">
      <w:start w:val="1"/>
      <w:numFmt w:val="lowerLetter"/>
      <w:lvlText w:val="%8."/>
      <w:lvlJc w:val="left"/>
      <w:pPr>
        <w:ind w:left="5760" w:hanging="360"/>
      </w:pPr>
    </w:lvl>
    <w:lvl w:ilvl="8" w:tplc="4B705B60" w:tentative="1">
      <w:start w:val="1"/>
      <w:numFmt w:val="lowerRoman"/>
      <w:lvlText w:val="%9."/>
      <w:lvlJc w:val="right"/>
      <w:pPr>
        <w:ind w:left="6480" w:hanging="180"/>
      </w:pPr>
    </w:lvl>
  </w:abstractNum>
  <w:abstractNum w:abstractNumId="27" w15:restartNumberingAfterBreak="1">
    <w:nsid w:val="4BC16905"/>
    <w:multiLevelType w:val="hybridMultilevel"/>
    <w:tmpl w:val="5DC6E00C"/>
    <w:lvl w:ilvl="0" w:tplc="A386DD06">
      <w:start w:val="1"/>
      <w:numFmt w:val="bullet"/>
      <w:lvlText w:val=""/>
      <w:lvlJc w:val="left"/>
      <w:pPr>
        <w:ind w:left="720" w:hanging="360"/>
      </w:pPr>
      <w:rPr>
        <w:rFonts w:ascii="Symbol" w:hAnsi="Symbol" w:hint="default"/>
      </w:rPr>
    </w:lvl>
    <w:lvl w:ilvl="1" w:tplc="C908C1FA" w:tentative="1">
      <w:start w:val="1"/>
      <w:numFmt w:val="bullet"/>
      <w:lvlText w:val="o"/>
      <w:lvlJc w:val="left"/>
      <w:pPr>
        <w:ind w:left="1440" w:hanging="360"/>
      </w:pPr>
      <w:rPr>
        <w:rFonts w:ascii="Courier New" w:hAnsi="Courier New" w:cs="Courier New" w:hint="default"/>
      </w:rPr>
    </w:lvl>
    <w:lvl w:ilvl="2" w:tplc="1408BC32" w:tentative="1">
      <w:start w:val="1"/>
      <w:numFmt w:val="bullet"/>
      <w:lvlText w:val=""/>
      <w:lvlJc w:val="left"/>
      <w:pPr>
        <w:ind w:left="2160" w:hanging="360"/>
      </w:pPr>
      <w:rPr>
        <w:rFonts w:ascii="Wingdings" w:hAnsi="Wingdings" w:hint="default"/>
      </w:rPr>
    </w:lvl>
    <w:lvl w:ilvl="3" w:tplc="682E2AF2" w:tentative="1">
      <w:start w:val="1"/>
      <w:numFmt w:val="bullet"/>
      <w:lvlText w:val=""/>
      <w:lvlJc w:val="left"/>
      <w:pPr>
        <w:ind w:left="2880" w:hanging="360"/>
      </w:pPr>
      <w:rPr>
        <w:rFonts w:ascii="Symbol" w:hAnsi="Symbol" w:hint="default"/>
      </w:rPr>
    </w:lvl>
    <w:lvl w:ilvl="4" w:tplc="145A0AD0" w:tentative="1">
      <w:start w:val="1"/>
      <w:numFmt w:val="bullet"/>
      <w:lvlText w:val="o"/>
      <w:lvlJc w:val="left"/>
      <w:pPr>
        <w:ind w:left="3600" w:hanging="360"/>
      </w:pPr>
      <w:rPr>
        <w:rFonts w:ascii="Courier New" w:hAnsi="Courier New" w:cs="Courier New" w:hint="default"/>
      </w:rPr>
    </w:lvl>
    <w:lvl w:ilvl="5" w:tplc="3A0425D8" w:tentative="1">
      <w:start w:val="1"/>
      <w:numFmt w:val="bullet"/>
      <w:lvlText w:val=""/>
      <w:lvlJc w:val="left"/>
      <w:pPr>
        <w:ind w:left="4320" w:hanging="360"/>
      </w:pPr>
      <w:rPr>
        <w:rFonts w:ascii="Wingdings" w:hAnsi="Wingdings" w:hint="default"/>
      </w:rPr>
    </w:lvl>
    <w:lvl w:ilvl="6" w:tplc="2844FADE" w:tentative="1">
      <w:start w:val="1"/>
      <w:numFmt w:val="bullet"/>
      <w:lvlText w:val=""/>
      <w:lvlJc w:val="left"/>
      <w:pPr>
        <w:ind w:left="5040" w:hanging="360"/>
      </w:pPr>
      <w:rPr>
        <w:rFonts w:ascii="Symbol" w:hAnsi="Symbol" w:hint="default"/>
      </w:rPr>
    </w:lvl>
    <w:lvl w:ilvl="7" w:tplc="9EEE8608" w:tentative="1">
      <w:start w:val="1"/>
      <w:numFmt w:val="bullet"/>
      <w:lvlText w:val="o"/>
      <w:lvlJc w:val="left"/>
      <w:pPr>
        <w:ind w:left="5760" w:hanging="360"/>
      </w:pPr>
      <w:rPr>
        <w:rFonts w:ascii="Courier New" w:hAnsi="Courier New" w:cs="Courier New" w:hint="default"/>
      </w:rPr>
    </w:lvl>
    <w:lvl w:ilvl="8" w:tplc="68C60CCE" w:tentative="1">
      <w:start w:val="1"/>
      <w:numFmt w:val="bullet"/>
      <w:lvlText w:val=""/>
      <w:lvlJc w:val="left"/>
      <w:pPr>
        <w:ind w:left="6480" w:hanging="360"/>
      </w:pPr>
      <w:rPr>
        <w:rFonts w:ascii="Wingdings" w:hAnsi="Wingdings" w:hint="default"/>
      </w:rPr>
    </w:lvl>
  </w:abstractNum>
  <w:abstractNum w:abstractNumId="28" w15:restartNumberingAfterBreak="1">
    <w:nsid w:val="4DD24157"/>
    <w:multiLevelType w:val="hybridMultilevel"/>
    <w:tmpl w:val="EAA6A700"/>
    <w:lvl w:ilvl="0" w:tplc="97E6B960">
      <w:start w:val="1"/>
      <w:numFmt w:val="lowerLetter"/>
      <w:lvlText w:val="%1)"/>
      <w:lvlJc w:val="left"/>
      <w:pPr>
        <w:ind w:left="720" w:hanging="360"/>
      </w:pPr>
    </w:lvl>
    <w:lvl w:ilvl="1" w:tplc="31F86B14">
      <w:start w:val="1"/>
      <w:numFmt w:val="lowerLetter"/>
      <w:lvlText w:val="%2)"/>
      <w:lvlJc w:val="left"/>
      <w:pPr>
        <w:ind w:left="1440" w:hanging="360"/>
      </w:pPr>
    </w:lvl>
    <w:lvl w:ilvl="2" w:tplc="40FEACBC">
      <w:start w:val="1"/>
      <w:numFmt w:val="decimal"/>
      <w:lvlText w:val="%3."/>
      <w:lvlJc w:val="left"/>
      <w:pPr>
        <w:ind w:left="2160" w:hanging="180"/>
      </w:pPr>
      <w:rPr>
        <w:rFonts w:hint="default"/>
      </w:rPr>
    </w:lvl>
    <w:lvl w:ilvl="3" w:tplc="2A52E99E" w:tentative="1">
      <w:start w:val="1"/>
      <w:numFmt w:val="decimal"/>
      <w:lvlText w:val="%4."/>
      <w:lvlJc w:val="left"/>
      <w:pPr>
        <w:ind w:left="2880" w:hanging="360"/>
      </w:pPr>
    </w:lvl>
    <w:lvl w:ilvl="4" w:tplc="F1B8CD98" w:tentative="1">
      <w:start w:val="1"/>
      <w:numFmt w:val="lowerLetter"/>
      <w:lvlText w:val="%5."/>
      <w:lvlJc w:val="left"/>
      <w:pPr>
        <w:ind w:left="3600" w:hanging="360"/>
      </w:pPr>
    </w:lvl>
    <w:lvl w:ilvl="5" w:tplc="B6E86850" w:tentative="1">
      <w:start w:val="1"/>
      <w:numFmt w:val="lowerRoman"/>
      <w:lvlText w:val="%6."/>
      <w:lvlJc w:val="right"/>
      <w:pPr>
        <w:ind w:left="4320" w:hanging="180"/>
      </w:pPr>
    </w:lvl>
    <w:lvl w:ilvl="6" w:tplc="48C2B092" w:tentative="1">
      <w:start w:val="1"/>
      <w:numFmt w:val="decimal"/>
      <w:lvlText w:val="%7."/>
      <w:lvlJc w:val="left"/>
      <w:pPr>
        <w:ind w:left="5040" w:hanging="360"/>
      </w:pPr>
    </w:lvl>
    <w:lvl w:ilvl="7" w:tplc="6DC47EFA" w:tentative="1">
      <w:start w:val="1"/>
      <w:numFmt w:val="lowerLetter"/>
      <w:lvlText w:val="%8."/>
      <w:lvlJc w:val="left"/>
      <w:pPr>
        <w:ind w:left="5760" w:hanging="360"/>
      </w:pPr>
    </w:lvl>
    <w:lvl w:ilvl="8" w:tplc="A2C271E8" w:tentative="1">
      <w:start w:val="1"/>
      <w:numFmt w:val="lowerRoman"/>
      <w:lvlText w:val="%9."/>
      <w:lvlJc w:val="right"/>
      <w:pPr>
        <w:ind w:left="6480" w:hanging="180"/>
      </w:pPr>
    </w:lvl>
  </w:abstractNum>
  <w:abstractNum w:abstractNumId="29" w15:restartNumberingAfterBreak="1">
    <w:nsid w:val="545A3722"/>
    <w:multiLevelType w:val="hybridMultilevel"/>
    <w:tmpl w:val="92066AB6"/>
    <w:lvl w:ilvl="0" w:tplc="49B401A8">
      <w:start w:val="1"/>
      <w:numFmt w:val="lowerLetter"/>
      <w:lvlText w:val="%1)"/>
      <w:lvlJc w:val="left"/>
      <w:pPr>
        <w:ind w:left="720" w:hanging="360"/>
      </w:pPr>
    </w:lvl>
    <w:lvl w:ilvl="1" w:tplc="00C28BF4">
      <w:start w:val="1"/>
      <w:numFmt w:val="lowerLetter"/>
      <w:lvlText w:val="%2)"/>
      <w:lvlJc w:val="left"/>
      <w:pPr>
        <w:ind w:left="1440" w:hanging="360"/>
      </w:pPr>
    </w:lvl>
    <w:lvl w:ilvl="2" w:tplc="9F0868A6" w:tentative="1">
      <w:start w:val="1"/>
      <w:numFmt w:val="lowerRoman"/>
      <w:lvlText w:val="%3."/>
      <w:lvlJc w:val="right"/>
      <w:pPr>
        <w:ind w:left="2160" w:hanging="180"/>
      </w:pPr>
    </w:lvl>
    <w:lvl w:ilvl="3" w:tplc="449808A8" w:tentative="1">
      <w:start w:val="1"/>
      <w:numFmt w:val="decimal"/>
      <w:lvlText w:val="%4."/>
      <w:lvlJc w:val="left"/>
      <w:pPr>
        <w:ind w:left="2880" w:hanging="360"/>
      </w:pPr>
    </w:lvl>
    <w:lvl w:ilvl="4" w:tplc="5EA68AD2" w:tentative="1">
      <w:start w:val="1"/>
      <w:numFmt w:val="lowerLetter"/>
      <w:lvlText w:val="%5."/>
      <w:lvlJc w:val="left"/>
      <w:pPr>
        <w:ind w:left="3600" w:hanging="360"/>
      </w:pPr>
    </w:lvl>
    <w:lvl w:ilvl="5" w:tplc="052474B6" w:tentative="1">
      <w:start w:val="1"/>
      <w:numFmt w:val="lowerRoman"/>
      <w:lvlText w:val="%6."/>
      <w:lvlJc w:val="right"/>
      <w:pPr>
        <w:ind w:left="4320" w:hanging="180"/>
      </w:pPr>
    </w:lvl>
    <w:lvl w:ilvl="6" w:tplc="D034DD6E" w:tentative="1">
      <w:start w:val="1"/>
      <w:numFmt w:val="decimal"/>
      <w:lvlText w:val="%7."/>
      <w:lvlJc w:val="left"/>
      <w:pPr>
        <w:ind w:left="5040" w:hanging="360"/>
      </w:pPr>
    </w:lvl>
    <w:lvl w:ilvl="7" w:tplc="84C28974" w:tentative="1">
      <w:start w:val="1"/>
      <w:numFmt w:val="lowerLetter"/>
      <w:lvlText w:val="%8."/>
      <w:lvlJc w:val="left"/>
      <w:pPr>
        <w:ind w:left="5760" w:hanging="360"/>
      </w:pPr>
    </w:lvl>
    <w:lvl w:ilvl="8" w:tplc="A75E62C2" w:tentative="1">
      <w:start w:val="1"/>
      <w:numFmt w:val="lowerRoman"/>
      <w:lvlText w:val="%9."/>
      <w:lvlJc w:val="right"/>
      <w:pPr>
        <w:ind w:left="6480" w:hanging="180"/>
      </w:pPr>
    </w:lvl>
  </w:abstractNum>
  <w:abstractNum w:abstractNumId="30" w15:restartNumberingAfterBreak="1">
    <w:nsid w:val="5BE35B74"/>
    <w:multiLevelType w:val="hybridMultilevel"/>
    <w:tmpl w:val="0680D846"/>
    <w:lvl w:ilvl="0" w:tplc="103ACD12">
      <w:start w:val="1"/>
      <w:numFmt w:val="lowerLetter"/>
      <w:lvlText w:val="%1)"/>
      <w:lvlJc w:val="left"/>
      <w:pPr>
        <w:ind w:left="720" w:hanging="360"/>
      </w:pPr>
    </w:lvl>
    <w:lvl w:ilvl="1" w:tplc="AB3245D2">
      <w:start w:val="1"/>
      <w:numFmt w:val="lowerLetter"/>
      <w:lvlText w:val="%2)"/>
      <w:lvlJc w:val="left"/>
      <w:pPr>
        <w:ind w:left="1440" w:hanging="360"/>
      </w:pPr>
    </w:lvl>
    <w:lvl w:ilvl="2" w:tplc="059482B2">
      <w:start w:val="1"/>
      <w:numFmt w:val="decimal"/>
      <w:lvlText w:val="%3."/>
      <w:lvlJc w:val="left"/>
      <w:pPr>
        <w:ind w:left="2160" w:hanging="180"/>
      </w:pPr>
    </w:lvl>
    <w:lvl w:ilvl="3" w:tplc="87CAC6EA" w:tentative="1">
      <w:start w:val="1"/>
      <w:numFmt w:val="decimal"/>
      <w:lvlText w:val="%4."/>
      <w:lvlJc w:val="left"/>
      <w:pPr>
        <w:ind w:left="2880" w:hanging="360"/>
      </w:pPr>
    </w:lvl>
    <w:lvl w:ilvl="4" w:tplc="A5C2935C" w:tentative="1">
      <w:start w:val="1"/>
      <w:numFmt w:val="lowerLetter"/>
      <w:lvlText w:val="%5."/>
      <w:lvlJc w:val="left"/>
      <w:pPr>
        <w:ind w:left="3600" w:hanging="360"/>
      </w:pPr>
    </w:lvl>
    <w:lvl w:ilvl="5" w:tplc="B0AE80C4" w:tentative="1">
      <w:start w:val="1"/>
      <w:numFmt w:val="lowerRoman"/>
      <w:lvlText w:val="%6."/>
      <w:lvlJc w:val="right"/>
      <w:pPr>
        <w:ind w:left="4320" w:hanging="180"/>
      </w:pPr>
    </w:lvl>
    <w:lvl w:ilvl="6" w:tplc="6A4C4B7C" w:tentative="1">
      <w:start w:val="1"/>
      <w:numFmt w:val="decimal"/>
      <w:lvlText w:val="%7."/>
      <w:lvlJc w:val="left"/>
      <w:pPr>
        <w:ind w:left="5040" w:hanging="360"/>
      </w:pPr>
    </w:lvl>
    <w:lvl w:ilvl="7" w:tplc="2B863876" w:tentative="1">
      <w:start w:val="1"/>
      <w:numFmt w:val="lowerLetter"/>
      <w:lvlText w:val="%8."/>
      <w:lvlJc w:val="left"/>
      <w:pPr>
        <w:ind w:left="5760" w:hanging="360"/>
      </w:pPr>
    </w:lvl>
    <w:lvl w:ilvl="8" w:tplc="947C03C6" w:tentative="1">
      <w:start w:val="1"/>
      <w:numFmt w:val="lowerRoman"/>
      <w:lvlText w:val="%9."/>
      <w:lvlJc w:val="right"/>
      <w:pPr>
        <w:ind w:left="6480" w:hanging="180"/>
      </w:pPr>
    </w:lvl>
  </w:abstractNum>
  <w:abstractNum w:abstractNumId="31" w15:restartNumberingAfterBreak="1">
    <w:nsid w:val="5C317DD9"/>
    <w:multiLevelType w:val="hybridMultilevel"/>
    <w:tmpl w:val="86C819DC"/>
    <w:lvl w:ilvl="0" w:tplc="6AA262C6">
      <w:start w:val="1"/>
      <w:numFmt w:val="lowerLetter"/>
      <w:lvlText w:val="%1)"/>
      <w:lvlJc w:val="left"/>
      <w:pPr>
        <w:ind w:left="720" w:hanging="360"/>
      </w:pPr>
    </w:lvl>
    <w:lvl w:ilvl="1" w:tplc="D9C27A92">
      <w:start w:val="1"/>
      <w:numFmt w:val="lowerLetter"/>
      <w:lvlText w:val="%2)"/>
      <w:lvlJc w:val="left"/>
      <w:pPr>
        <w:ind w:left="1440" w:hanging="360"/>
      </w:pPr>
    </w:lvl>
    <w:lvl w:ilvl="2" w:tplc="BFD4DBFC">
      <w:start w:val="1"/>
      <w:numFmt w:val="lowerRoman"/>
      <w:lvlText w:val="%3."/>
      <w:lvlJc w:val="right"/>
      <w:pPr>
        <w:ind w:left="2160" w:hanging="180"/>
      </w:pPr>
    </w:lvl>
    <w:lvl w:ilvl="3" w:tplc="DFE4EB4E" w:tentative="1">
      <w:start w:val="1"/>
      <w:numFmt w:val="decimal"/>
      <w:lvlText w:val="%4."/>
      <w:lvlJc w:val="left"/>
      <w:pPr>
        <w:ind w:left="2880" w:hanging="360"/>
      </w:pPr>
    </w:lvl>
    <w:lvl w:ilvl="4" w:tplc="9BFA3EA0" w:tentative="1">
      <w:start w:val="1"/>
      <w:numFmt w:val="lowerLetter"/>
      <w:lvlText w:val="%5."/>
      <w:lvlJc w:val="left"/>
      <w:pPr>
        <w:ind w:left="3600" w:hanging="360"/>
      </w:pPr>
    </w:lvl>
    <w:lvl w:ilvl="5" w:tplc="03E6F030" w:tentative="1">
      <w:start w:val="1"/>
      <w:numFmt w:val="lowerRoman"/>
      <w:lvlText w:val="%6."/>
      <w:lvlJc w:val="right"/>
      <w:pPr>
        <w:ind w:left="4320" w:hanging="180"/>
      </w:pPr>
    </w:lvl>
    <w:lvl w:ilvl="6" w:tplc="172082D6" w:tentative="1">
      <w:start w:val="1"/>
      <w:numFmt w:val="decimal"/>
      <w:lvlText w:val="%7."/>
      <w:lvlJc w:val="left"/>
      <w:pPr>
        <w:ind w:left="5040" w:hanging="360"/>
      </w:pPr>
    </w:lvl>
    <w:lvl w:ilvl="7" w:tplc="E10E7122" w:tentative="1">
      <w:start w:val="1"/>
      <w:numFmt w:val="lowerLetter"/>
      <w:lvlText w:val="%8."/>
      <w:lvlJc w:val="left"/>
      <w:pPr>
        <w:ind w:left="5760" w:hanging="360"/>
      </w:pPr>
    </w:lvl>
    <w:lvl w:ilvl="8" w:tplc="82BCF426" w:tentative="1">
      <w:start w:val="1"/>
      <w:numFmt w:val="lowerRoman"/>
      <w:lvlText w:val="%9."/>
      <w:lvlJc w:val="right"/>
      <w:pPr>
        <w:ind w:left="6480" w:hanging="180"/>
      </w:pPr>
    </w:lvl>
  </w:abstractNum>
  <w:abstractNum w:abstractNumId="32" w15:restartNumberingAfterBreak="1">
    <w:nsid w:val="5C480959"/>
    <w:multiLevelType w:val="hybridMultilevel"/>
    <w:tmpl w:val="B4C44522"/>
    <w:lvl w:ilvl="0" w:tplc="13B0B676">
      <w:start w:val="1"/>
      <w:numFmt w:val="lowerLetter"/>
      <w:lvlText w:val="%1)"/>
      <w:lvlJc w:val="left"/>
      <w:pPr>
        <w:ind w:left="720" w:hanging="360"/>
      </w:pPr>
    </w:lvl>
    <w:lvl w:ilvl="1" w:tplc="6BEEF430">
      <w:start w:val="1"/>
      <w:numFmt w:val="lowerLetter"/>
      <w:lvlText w:val="%2."/>
      <w:lvlJc w:val="left"/>
      <w:pPr>
        <w:ind w:left="1440" w:hanging="360"/>
      </w:pPr>
    </w:lvl>
    <w:lvl w:ilvl="2" w:tplc="9626D464">
      <w:start w:val="1"/>
      <w:numFmt w:val="decimal"/>
      <w:lvlText w:val="%3."/>
      <w:lvlJc w:val="left"/>
      <w:pPr>
        <w:ind w:left="2160" w:hanging="180"/>
      </w:pPr>
      <w:rPr>
        <w:rFonts w:hint="default"/>
      </w:rPr>
    </w:lvl>
    <w:lvl w:ilvl="3" w:tplc="A154A450" w:tentative="1">
      <w:start w:val="1"/>
      <w:numFmt w:val="decimal"/>
      <w:lvlText w:val="%4."/>
      <w:lvlJc w:val="left"/>
      <w:pPr>
        <w:ind w:left="2880" w:hanging="360"/>
      </w:pPr>
    </w:lvl>
    <w:lvl w:ilvl="4" w:tplc="32D8009E" w:tentative="1">
      <w:start w:val="1"/>
      <w:numFmt w:val="lowerLetter"/>
      <w:lvlText w:val="%5."/>
      <w:lvlJc w:val="left"/>
      <w:pPr>
        <w:ind w:left="3600" w:hanging="360"/>
      </w:pPr>
    </w:lvl>
    <w:lvl w:ilvl="5" w:tplc="EBD4C286" w:tentative="1">
      <w:start w:val="1"/>
      <w:numFmt w:val="lowerRoman"/>
      <w:lvlText w:val="%6."/>
      <w:lvlJc w:val="right"/>
      <w:pPr>
        <w:ind w:left="4320" w:hanging="180"/>
      </w:pPr>
    </w:lvl>
    <w:lvl w:ilvl="6" w:tplc="362CC59E" w:tentative="1">
      <w:start w:val="1"/>
      <w:numFmt w:val="decimal"/>
      <w:lvlText w:val="%7."/>
      <w:lvlJc w:val="left"/>
      <w:pPr>
        <w:ind w:left="5040" w:hanging="360"/>
      </w:pPr>
    </w:lvl>
    <w:lvl w:ilvl="7" w:tplc="D49A9498" w:tentative="1">
      <w:start w:val="1"/>
      <w:numFmt w:val="lowerLetter"/>
      <w:lvlText w:val="%8."/>
      <w:lvlJc w:val="left"/>
      <w:pPr>
        <w:ind w:left="5760" w:hanging="360"/>
      </w:pPr>
    </w:lvl>
    <w:lvl w:ilvl="8" w:tplc="1272E2F2" w:tentative="1">
      <w:start w:val="1"/>
      <w:numFmt w:val="lowerRoman"/>
      <w:lvlText w:val="%9."/>
      <w:lvlJc w:val="right"/>
      <w:pPr>
        <w:ind w:left="6480" w:hanging="180"/>
      </w:pPr>
    </w:lvl>
  </w:abstractNum>
  <w:abstractNum w:abstractNumId="33" w15:restartNumberingAfterBreak="1">
    <w:nsid w:val="5D780683"/>
    <w:multiLevelType w:val="hybridMultilevel"/>
    <w:tmpl w:val="FA147BAC"/>
    <w:lvl w:ilvl="0" w:tplc="55A4C4C4">
      <w:start w:val="1"/>
      <w:numFmt w:val="lowerLetter"/>
      <w:lvlText w:val="%1)"/>
      <w:lvlJc w:val="left"/>
      <w:pPr>
        <w:ind w:left="720" w:hanging="360"/>
      </w:pPr>
      <w:rPr>
        <w:rFonts w:hint="default"/>
      </w:rPr>
    </w:lvl>
    <w:lvl w:ilvl="1" w:tplc="424CE3B2" w:tentative="1">
      <w:start w:val="1"/>
      <w:numFmt w:val="lowerLetter"/>
      <w:lvlText w:val="%2."/>
      <w:lvlJc w:val="left"/>
      <w:pPr>
        <w:ind w:left="1440" w:hanging="360"/>
      </w:pPr>
    </w:lvl>
    <w:lvl w:ilvl="2" w:tplc="B5C0FA7E" w:tentative="1">
      <w:start w:val="1"/>
      <w:numFmt w:val="lowerRoman"/>
      <w:lvlText w:val="%3."/>
      <w:lvlJc w:val="right"/>
      <w:pPr>
        <w:ind w:left="2160" w:hanging="180"/>
      </w:pPr>
    </w:lvl>
    <w:lvl w:ilvl="3" w:tplc="3548594E" w:tentative="1">
      <w:start w:val="1"/>
      <w:numFmt w:val="decimal"/>
      <w:lvlText w:val="%4."/>
      <w:lvlJc w:val="left"/>
      <w:pPr>
        <w:ind w:left="2880" w:hanging="360"/>
      </w:pPr>
    </w:lvl>
    <w:lvl w:ilvl="4" w:tplc="7FC2DBC2" w:tentative="1">
      <w:start w:val="1"/>
      <w:numFmt w:val="lowerLetter"/>
      <w:lvlText w:val="%5."/>
      <w:lvlJc w:val="left"/>
      <w:pPr>
        <w:ind w:left="3600" w:hanging="360"/>
      </w:pPr>
    </w:lvl>
    <w:lvl w:ilvl="5" w:tplc="1B7EFB74" w:tentative="1">
      <w:start w:val="1"/>
      <w:numFmt w:val="lowerRoman"/>
      <w:lvlText w:val="%6."/>
      <w:lvlJc w:val="right"/>
      <w:pPr>
        <w:ind w:left="4320" w:hanging="180"/>
      </w:pPr>
    </w:lvl>
    <w:lvl w:ilvl="6" w:tplc="364C5204" w:tentative="1">
      <w:start w:val="1"/>
      <w:numFmt w:val="decimal"/>
      <w:lvlText w:val="%7."/>
      <w:lvlJc w:val="left"/>
      <w:pPr>
        <w:ind w:left="5040" w:hanging="360"/>
      </w:pPr>
    </w:lvl>
    <w:lvl w:ilvl="7" w:tplc="EFB8FBB4" w:tentative="1">
      <w:start w:val="1"/>
      <w:numFmt w:val="lowerLetter"/>
      <w:lvlText w:val="%8."/>
      <w:lvlJc w:val="left"/>
      <w:pPr>
        <w:ind w:left="5760" w:hanging="360"/>
      </w:pPr>
    </w:lvl>
    <w:lvl w:ilvl="8" w:tplc="B172E31C" w:tentative="1">
      <w:start w:val="1"/>
      <w:numFmt w:val="lowerRoman"/>
      <w:lvlText w:val="%9."/>
      <w:lvlJc w:val="right"/>
      <w:pPr>
        <w:ind w:left="6480" w:hanging="180"/>
      </w:pPr>
    </w:lvl>
  </w:abstractNum>
  <w:abstractNum w:abstractNumId="34" w15:restartNumberingAfterBreak="1">
    <w:nsid w:val="5E407926"/>
    <w:multiLevelType w:val="hybridMultilevel"/>
    <w:tmpl w:val="4DB48C26"/>
    <w:lvl w:ilvl="0" w:tplc="81AC48AE">
      <w:start w:val="1"/>
      <w:numFmt w:val="lowerLetter"/>
      <w:lvlText w:val="%1."/>
      <w:lvlJc w:val="left"/>
      <w:pPr>
        <w:ind w:left="927" w:hanging="360"/>
      </w:pPr>
    </w:lvl>
    <w:lvl w:ilvl="1" w:tplc="A704C75E">
      <w:start w:val="1"/>
      <w:numFmt w:val="lowerLetter"/>
      <w:lvlText w:val="%2)"/>
      <w:lvlJc w:val="left"/>
      <w:pPr>
        <w:ind w:left="1647" w:hanging="360"/>
      </w:pPr>
      <w:rPr>
        <w:rFonts w:hint="default"/>
      </w:rPr>
    </w:lvl>
    <w:lvl w:ilvl="2" w:tplc="F886D124">
      <w:start w:val="1"/>
      <w:numFmt w:val="decimal"/>
      <w:lvlText w:val="%3."/>
      <w:lvlJc w:val="left"/>
      <w:pPr>
        <w:ind w:left="2547" w:hanging="360"/>
      </w:pPr>
      <w:rPr>
        <w:rFonts w:hint="default"/>
      </w:rPr>
    </w:lvl>
    <w:lvl w:ilvl="3" w:tplc="F29E4516" w:tentative="1">
      <w:start w:val="1"/>
      <w:numFmt w:val="decimal"/>
      <w:lvlText w:val="%4."/>
      <w:lvlJc w:val="left"/>
      <w:pPr>
        <w:ind w:left="3087" w:hanging="360"/>
      </w:pPr>
    </w:lvl>
    <w:lvl w:ilvl="4" w:tplc="F01AC528" w:tentative="1">
      <w:start w:val="1"/>
      <w:numFmt w:val="lowerLetter"/>
      <w:lvlText w:val="%5."/>
      <w:lvlJc w:val="left"/>
      <w:pPr>
        <w:ind w:left="3807" w:hanging="360"/>
      </w:pPr>
    </w:lvl>
    <w:lvl w:ilvl="5" w:tplc="0AE68FE0" w:tentative="1">
      <w:start w:val="1"/>
      <w:numFmt w:val="lowerRoman"/>
      <w:lvlText w:val="%6."/>
      <w:lvlJc w:val="right"/>
      <w:pPr>
        <w:ind w:left="4527" w:hanging="180"/>
      </w:pPr>
    </w:lvl>
    <w:lvl w:ilvl="6" w:tplc="06B6C468" w:tentative="1">
      <w:start w:val="1"/>
      <w:numFmt w:val="decimal"/>
      <w:lvlText w:val="%7."/>
      <w:lvlJc w:val="left"/>
      <w:pPr>
        <w:ind w:left="5247" w:hanging="360"/>
      </w:pPr>
    </w:lvl>
    <w:lvl w:ilvl="7" w:tplc="4D78873A" w:tentative="1">
      <w:start w:val="1"/>
      <w:numFmt w:val="lowerLetter"/>
      <w:lvlText w:val="%8."/>
      <w:lvlJc w:val="left"/>
      <w:pPr>
        <w:ind w:left="5967" w:hanging="360"/>
      </w:pPr>
    </w:lvl>
    <w:lvl w:ilvl="8" w:tplc="25B60B22" w:tentative="1">
      <w:start w:val="1"/>
      <w:numFmt w:val="lowerRoman"/>
      <w:lvlText w:val="%9."/>
      <w:lvlJc w:val="right"/>
      <w:pPr>
        <w:ind w:left="6687" w:hanging="180"/>
      </w:pPr>
    </w:lvl>
  </w:abstractNum>
  <w:abstractNum w:abstractNumId="35" w15:restartNumberingAfterBreak="1">
    <w:nsid w:val="612356AF"/>
    <w:multiLevelType w:val="hybridMultilevel"/>
    <w:tmpl w:val="E006FDC4"/>
    <w:lvl w:ilvl="0" w:tplc="B3822E84">
      <w:start w:val="1"/>
      <w:numFmt w:val="lowerLetter"/>
      <w:lvlText w:val="%1)"/>
      <w:lvlJc w:val="left"/>
      <w:pPr>
        <w:ind w:left="720" w:hanging="360"/>
      </w:pPr>
    </w:lvl>
    <w:lvl w:ilvl="1" w:tplc="0BF05E70">
      <w:start w:val="1"/>
      <w:numFmt w:val="lowerLetter"/>
      <w:lvlText w:val="%2)"/>
      <w:lvlJc w:val="left"/>
      <w:pPr>
        <w:ind w:left="1440" w:hanging="360"/>
      </w:pPr>
    </w:lvl>
    <w:lvl w:ilvl="2" w:tplc="5F5A6FD4" w:tentative="1">
      <w:start w:val="1"/>
      <w:numFmt w:val="lowerRoman"/>
      <w:lvlText w:val="%3."/>
      <w:lvlJc w:val="right"/>
      <w:pPr>
        <w:ind w:left="2160" w:hanging="180"/>
      </w:pPr>
    </w:lvl>
    <w:lvl w:ilvl="3" w:tplc="9A8EE884" w:tentative="1">
      <w:start w:val="1"/>
      <w:numFmt w:val="decimal"/>
      <w:lvlText w:val="%4."/>
      <w:lvlJc w:val="left"/>
      <w:pPr>
        <w:ind w:left="2880" w:hanging="360"/>
      </w:pPr>
    </w:lvl>
    <w:lvl w:ilvl="4" w:tplc="A672FF3A" w:tentative="1">
      <w:start w:val="1"/>
      <w:numFmt w:val="lowerLetter"/>
      <w:lvlText w:val="%5."/>
      <w:lvlJc w:val="left"/>
      <w:pPr>
        <w:ind w:left="3600" w:hanging="360"/>
      </w:pPr>
    </w:lvl>
    <w:lvl w:ilvl="5" w:tplc="E9AAC684" w:tentative="1">
      <w:start w:val="1"/>
      <w:numFmt w:val="lowerRoman"/>
      <w:lvlText w:val="%6."/>
      <w:lvlJc w:val="right"/>
      <w:pPr>
        <w:ind w:left="4320" w:hanging="180"/>
      </w:pPr>
    </w:lvl>
    <w:lvl w:ilvl="6" w:tplc="660E8A5A" w:tentative="1">
      <w:start w:val="1"/>
      <w:numFmt w:val="decimal"/>
      <w:lvlText w:val="%7."/>
      <w:lvlJc w:val="left"/>
      <w:pPr>
        <w:ind w:left="5040" w:hanging="360"/>
      </w:pPr>
    </w:lvl>
    <w:lvl w:ilvl="7" w:tplc="445606DE" w:tentative="1">
      <w:start w:val="1"/>
      <w:numFmt w:val="lowerLetter"/>
      <w:lvlText w:val="%8."/>
      <w:lvlJc w:val="left"/>
      <w:pPr>
        <w:ind w:left="5760" w:hanging="360"/>
      </w:pPr>
    </w:lvl>
    <w:lvl w:ilvl="8" w:tplc="AB545908" w:tentative="1">
      <w:start w:val="1"/>
      <w:numFmt w:val="lowerRoman"/>
      <w:lvlText w:val="%9."/>
      <w:lvlJc w:val="right"/>
      <w:pPr>
        <w:ind w:left="6480" w:hanging="180"/>
      </w:pPr>
    </w:lvl>
  </w:abstractNum>
  <w:abstractNum w:abstractNumId="36" w15:restartNumberingAfterBreak="1">
    <w:nsid w:val="6486222A"/>
    <w:multiLevelType w:val="hybridMultilevel"/>
    <w:tmpl w:val="49D4B282"/>
    <w:lvl w:ilvl="0" w:tplc="33F82F52">
      <w:start w:val="1"/>
      <w:numFmt w:val="lowerLetter"/>
      <w:lvlText w:val="%1)"/>
      <w:lvlJc w:val="left"/>
      <w:pPr>
        <w:ind w:left="720" w:hanging="360"/>
      </w:pPr>
    </w:lvl>
    <w:lvl w:ilvl="1" w:tplc="A2508066">
      <w:start w:val="1"/>
      <w:numFmt w:val="lowerLetter"/>
      <w:lvlText w:val="%2)"/>
      <w:lvlJc w:val="left"/>
      <w:pPr>
        <w:ind w:left="1440" w:hanging="360"/>
      </w:pPr>
    </w:lvl>
    <w:lvl w:ilvl="2" w:tplc="31781F4E" w:tentative="1">
      <w:start w:val="1"/>
      <w:numFmt w:val="lowerRoman"/>
      <w:lvlText w:val="%3."/>
      <w:lvlJc w:val="right"/>
      <w:pPr>
        <w:ind w:left="2160" w:hanging="180"/>
      </w:pPr>
    </w:lvl>
    <w:lvl w:ilvl="3" w:tplc="73CE1646" w:tentative="1">
      <w:start w:val="1"/>
      <w:numFmt w:val="decimal"/>
      <w:lvlText w:val="%4."/>
      <w:lvlJc w:val="left"/>
      <w:pPr>
        <w:ind w:left="2880" w:hanging="360"/>
      </w:pPr>
    </w:lvl>
    <w:lvl w:ilvl="4" w:tplc="EEFCC3E8" w:tentative="1">
      <w:start w:val="1"/>
      <w:numFmt w:val="lowerLetter"/>
      <w:lvlText w:val="%5."/>
      <w:lvlJc w:val="left"/>
      <w:pPr>
        <w:ind w:left="3600" w:hanging="360"/>
      </w:pPr>
    </w:lvl>
    <w:lvl w:ilvl="5" w:tplc="2108930E" w:tentative="1">
      <w:start w:val="1"/>
      <w:numFmt w:val="lowerRoman"/>
      <w:lvlText w:val="%6."/>
      <w:lvlJc w:val="right"/>
      <w:pPr>
        <w:ind w:left="4320" w:hanging="180"/>
      </w:pPr>
    </w:lvl>
    <w:lvl w:ilvl="6" w:tplc="E2767DC4" w:tentative="1">
      <w:start w:val="1"/>
      <w:numFmt w:val="decimal"/>
      <w:lvlText w:val="%7."/>
      <w:lvlJc w:val="left"/>
      <w:pPr>
        <w:ind w:left="5040" w:hanging="360"/>
      </w:pPr>
    </w:lvl>
    <w:lvl w:ilvl="7" w:tplc="3B4A18F6" w:tentative="1">
      <w:start w:val="1"/>
      <w:numFmt w:val="lowerLetter"/>
      <w:lvlText w:val="%8."/>
      <w:lvlJc w:val="left"/>
      <w:pPr>
        <w:ind w:left="5760" w:hanging="360"/>
      </w:pPr>
    </w:lvl>
    <w:lvl w:ilvl="8" w:tplc="EA4AC014" w:tentative="1">
      <w:start w:val="1"/>
      <w:numFmt w:val="lowerRoman"/>
      <w:lvlText w:val="%9."/>
      <w:lvlJc w:val="right"/>
      <w:pPr>
        <w:ind w:left="6480" w:hanging="180"/>
      </w:pPr>
    </w:lvl>
  </w:abstractNum>
  <w:abstractNum w:abstractNumId="37" w15:restartNumberingAfterBreak="1">
    <w:nsid w:val="6AF21BC9"/>
    <w:multiLevelType w:val="hybridMultilevel"/>
    <w:tmpl w:val="8C504632"/>
    <w:lvl w:ilvl="0" w:tplc="6E46FC58">
      <w:start w:val="1"/>
      <w:numFmt w:val="lowerLetter"/>
      <w:lvlText w:val="%1)"/>
      <w:lvlJc w:val="left"/>
      <w:pPr>
        <w:ind w:left="720" w:hanging="360"/>
      </w:pPr>
      <w:rPr>
        <w:rFonts w:hint="default"/>
      </w:rPr>
    </w:lvl>
    <w:lvl w:ilvl="1" w:tplc="459AAC3C" w:tentative="1">
      <w:start w:val="1"/>
      <w:numFmt w:val="lowerLetter"/>
      <w:lvlText w:val="%2."/>
      <w:lvlJc w:val="left"/>
      <w:pPr>
        <w:ind w:left="1440" w:hanging="360"/>
      </w:pPr>
    </w:lvl>
    <w:lvl w:ilvl="2" w:tplc="1EBC9AF4" w:tentative="1">
      <w:start w:val="1"/>
      <w:numFmt w:val="lowerRoman"/>
      <w:lvlText w:val="%3."/>
      <w:lvlJc w:val="right"/>
      <w:pPr>
        <w:ind w:left="2160" w:hanging="180"/>
      </w:pPr>
    </w:lvl>
    <w:lvl w:ilvl="3" w:tplc="13AAA81E" w:tentative="1">
      <w:start w:val="1"/>
      <w:numFmt w:val="decimal"/>
      <w:lvlText w:val="%4."/>
      <w:lvlJc w:val="left"/>
      <w:pPr>
        <w:ind w:left="2880" w:hanging="360"/>
      </w:pPr>
    </w:lvl>
    <w:lvl w:ilvl="4" w:tplc="071E5106" w:tentative="1">
      <w:start w:val="1"/>
      <w:numFmt w:val="lowerLetter"/>
      <w:lvlText w:val="%5."/>
      <w:lvlJc w:val="left"/>
      <w:pPr>
        <w:ind w:left="3600" w:hanging="360"/>
      </w:pPr>
    </w:lvl>
    <w:lvl w:ilvl="5" w:tplc="A328ABD6" w:tentative="1">
      <w:start w:val="1"/>
      <w:numFmt w:val="lowerRoman"/>
      <w:lvlText w:val="%6."/>
      <w:lvlJc w:val="right"/>
      <w:pPr>
        <w:ind w:left="4320" w:hanging="180"/>
      </w:pPr>
    </w:lvl>
    <w:lvl w:ilvl="6" w:tplc="B72A4EF0" w:tentative="1">
      <w:start w:val="1"/>
      <w:numFmt w:val="decimal"/>
      <w:lvlText w:val="%7."/>
      <w:lvlJc w:val="left"/>
      <w:pPr>
        <w:ind w:left="5040" w:hanging="360"/>
      </w:pPr>
    </w:lvl>
    <w:lvl w:ilvl="7" w:tplc="CA0A8ADC" w:tentative="1">
      <w:start w:val="1"/>
      <w:numFmt w:val="lowerLetter"/>
      <w:lvlText w:val="%8."/>
      <w:lvlJc w:val="left"/>
      <w:pPr>
        <w:ind w:left="5760" w:hanging="360"/>
      </w:pPr>
    </w:lvl>
    <w:lvl w:ilvl="8" w:tplc="B28E7E52" w:tentative="1">
      <w:start w:val="1"/>
      <w:numFmt w:val="lowerRoman"/>
      <w:lvlText w:val="%9."/>
      <w:lvlJc w:val="right"/>
      <w:pPr>
        <w:ind w:left="6480" w:hanging="180"/>
      </w:pPr>
    </w:lvl>
  </w:abstractNum>
  <w:abstractNum w:abstractNumId="38" w15:restartNumberingAfterBreak="1">
    <w:nsid w:val="6B974300"/>
    <w:multiLevelType w:val="hybridMultilevel"/>
    <w:tmpl w:val="41B66D14"/>
    <w:lvl w:ilvl="0" w:tplc="8DA20FFC">
      <w:start w:val="1"/>
      <w:numFmt w:val="decimal"/>
      <w:lvlText w:val="%1)"/>
      <w:lvlJc w:val="left"/>
      <w:pPr>
        <w:ind w:left="720" w:hanging="360"/>
      </w:pPr>
    </w:lvl>
    <w:lvl w:ilvl="1" w:tplc="A434F458">
      <w:start w:val="1"/>
      <w:numFmt w:val="lowerLetter"/>
      <w:lvlText w:val="%2)"/>
      <w:lvlJc w:val="left"/>
      <w:pPr>
        <w:ind w:left="1440" w:hanging="360"/>
      </w:pPr>
    </w:lvl>
    <w:lvl w:ilvl="2" w:tplc="93661FC0" w:tentative="1">
      <w:start w:val="1"/>
      <w:numFmt w:val="lowerRoman"/>
      <w:lvlText w:val="%3."/>
      <w:lvlJc w:val="right"/>
      <w:pPr>
        <w:ind w:left="2160" w:hanging="180"/>
      </w:pPr>
    </w:lvl>
    <w:lvl w:ilvl="3" w:tplc="5D5266CE" w:tentative="1">
      <w:start w:val="1"/>
      <w:numFmt w:val="decimal"/>
      <w:lvlText w:val="%4."/>
      <w:lvlJc w:val="left"/>
      <w:pPr>
        <w:ind w:left="2880" w:hanging="360"/>
      </w:pPr>
    </w:lvl>
    <w:lvl w:ilvl="4" w:tplc="5758421C" w:tentative="1">
      <w:start w:val="1"/>
      <w:numFmt w:val="lowerLetter"/>
      <w:lvlText w:val="%5."/>
      <w:lvlJc w:val="left"/>
      <w:pPr>
        <w:ind w:left="3600" w:hanging="360"/>
      </w:pPr>
    </w:lvl>
    <w:lvl w:ilvl="5" w:tplc="B2AE37D2" w:tentative="1">
      <w:start w:val="1"/>
      <w:numFmt w:val="lowerRoman"/>
      <w:lvlText w:val="%6."/>
      <w:lvlJc w:val="right"/>
      <w:pPr>
        <w:ind w:left="4320" w:hanging="180"/>
      </w:pPr>
    </w:lvl>
    <w:lvl w:ilvl="6" w:tplc="E3249D16" w:tentative="1">
      <w:start w:val="1"/>
      <w:numFmt w:val="decimal"/>
      <w:lvlText w:val="%7."/>
      <w:lvlJc w:val="left"/>
      <w:pPr>
        <w:ind w:left="5040" w:hanging="360"/>
      </w:pPr>
    </w:lvl>
    <w:lvl w:ilvl="7" w:tplc="EF401FF4" w:tentative="1">
      <w:start w:val="1"/>
      <w:numFmt w:val="lowerLetter"/>
      <w:lvlText w:val="%8."/>
      <w:lvlJc w:val="left"/>
      <w:pPr>
        <w:ind w:left="5760" w:hanging="360"/>
      </w:pPr>
    </w:lvl>
    <w:lvl w:ilvl="8" w:tplc="2EC0E96A" w:tentative="1">
      <w:start w:val="1"/>
      <w:numFmt w:val="lowerRoman"/>
      <w:lvlText w:val="%9."/>
      <w:lvlJc w:val="right"/>
      <w:pPr>
        <w:ind w:left="6480" w:hanging="180"/>
      </w:pPr>
    </w:lvl>
  </w:abstractNum>
  <w:abstractNum w:abstractNumId="39" w15:restartNumberingAfterBreak="1">
    <w:nsid w:val="6D7C76B4"/>
    <w:multiLevelType w:val="hybridMultilevel"/>
    <w:tmpl w:val="EBFCA06C"/>
    <w:lvl w:ilvl="0" w:tplc="30102C42">
      <w:start w:val="1"/>
      <w:numFmt w:val="bullet"/>
      <w:lvlText w:val=""/>
      <w:lvlJc w:val="left"/>
      <w:pPr>
        <w:ind w:left="720" w:hanging="360"/>
      </w:pPr>
      <w:rPr>
        <w:rFonts w:ascii="Symbol" w:hAnsi="Symbol" w:hint="default"/>
      </w:rPr>
    </w:lvl>
    <w:lvl w:ilvl="1" w:tplc="2DFEE892">
      <w:start w:val="1"/>
      <w:numFmt w:val="bullet"/>
      <w:lvlText w:val="o"/>
      <w:lvlJc w:val="left"/>
      <w:pPr>
        <w:ind w:left="1440" w:hanging="360"/>
      </w:pPr>
      <w:rPr>
        <w:rFonts w:ascii="Courier New" w:hAnsi="Courier New" w:cs="Courier New" w:hint="default"/>
      </w:rPr>
    </w:lvl>
    <w:lvl w:ilvl="2" w:tplc="EAB85A9E">
      <w:start w:val="1"/>
      <w:numFmt w:val="bullet"/>
      <w:lvlText w:val=""/>
      <w:lvlJc w:val="left"/>
      <w:pPr>
        <w:ind w:left="2160" w:hanging="360"/>
      </w:pPr>
      <w:rPr>
        <w:rFonts w:ascii="Wingdings" w:hAnsi="Wingdings" w:hint="default"/>
      </w:rPr>
    </w:lvl>
    <w:lvl w:ilvl="3" w:tplc="C554CF68">
      <w:start w:val="1"/>
      <w:numFmt w:val="bullet"/>
      <w:lvlText w:val=""/>
      <w:lvlJc w:val="left"/>
      <w:pPr>
        <w:ind w:left="2880" w:hanging="360"/>
      </w:pPr>
      <w:rPr>
        <w:rFonts w:ascii="Symbol" w:hAnsi="Symbol" w:hint="default"/>
      </w:rPr>
    </w:lvl>
    <w:lvl w:ilvl="4" w:tplc="4C584514">
      <w:start w:val="1"/>
      <w:numFmt w:val="bullet"/>
      <w:lvlText w:val="o"/>
      <w:lvlJc w:val="left"/>
      <w:pPr>
        <w:ind w:left="3600" w:hanging="360"/>
      </w:pPr>
      <w:rPr>
        <w:rFonts w:ascii="Courier New" w:hAnsi="Courier New" w:cs="Courier New" w:hint="default"/>
      </w:rPr>
    </w:lvl>
    <w:lvl w:ilvl="5" w:tplc="9BAA351C">
      <w:start w:val="1"/>
      <w:numFmt w:val="bullet"/>
      <w:lvlText w:val=""/>
      <w:lvlJc w:val="left"/>
      <w:pPr>
        <w:ind w:left="4320" w:hanging="360"/>
      </w:pPr>
      <w:rPr>
        <w:rFonts w:ascii="Wingdings" w:hAnsi="Wingdings" w:hint="default"/>
      </w:rPr>
    </w:lvl>
    <w:lvl w:ilvl="6" w:tplc="F41C6B9E">
      <w:start w:val="1"/>
      <w:numFmt w:val="bullet"/>
      <w:lvlText w:val=""/>
      <w:lvlJc w:val="left"/>
      <w:pPr>
        <w:ind w:left="5040" w:hanging="360"/>
      </w:pPr>
      <w:rPr>
        <w:rFonts w:ascii="Symbol" w:hAnsi="Symbol" w:hint="default"/>
      </w:rPr>
    </w:lvl>
    <w:lvl w:ilvl="7" w:tplc="083AEBBE">
      <w:start w:val="1"/>
      <w:numFmt w:val="bullet"/>
      <w:lvlText w:val="o"/>
      <w:lvlJc w:val="left"/>
      <w:pPr>
        <w:ind w:left="5760" w:hanging="360"/>
      </w:pPr>
      <w:rPr>
        <w:rFonts w:ascii="Courier New" w:hAnsi="Courier New" w:cs="Courier New" w:hint="default"/>
      </w:rPr>
    </w:lvl>
    <w:lvl w:ilvl="8" w:tplc="57EA377E">
      <w:start w:val="1"/>
      <w:numFmt w:val="bullet"/>
      <w:lvlText w:val=""/>
      <w:lvlJc w:val="left"/>
      <w:pPr>
        <w:ind w:left="6480" w:hanging="360"/>
      </w:pPr>
      <w:rPr>
        <w:rFonts w:ascii="Wingdings" w:hAnsi="Wingdings" w:hint="default"/>
      </w:rPr>
    </w:lvl>
  </w:abstractNum>
  <w:abstractNum w:abstractNumId="40" w15:restartNumberingAfterBreak="1">
    <w:nsid w:val="74984DDC"/>
    <w:multiLevelType w:val="hybridMultilevel"/>
    <w:tmpl w:val="242037F6"/>
    <w:lvl w:ilvl="0" w:tplc="B380D48E">
      <w:start w:val="1"/>
      <w:numFmt w:val="decimal"/>
      <w:lvlText w:val="%1."/>
      <w:lvlJc w:val="left"/>
      <w:pPr>
        <w:ind w:left="2880" w:hanging="360"/>
      </w:pPr>
      <w:rPr>
        <w:rFonts w:hint="default"/>
      </w:rPr>
    </w:lvl>
    <w:lvl w:ilvl="1" w:tplc="C78E2A1E">
      <w:start w:val="1"/>
      <w:numFmt w:val="lowerLetter"/>
      <w:lvlText w:val="%2)"/>
      <w:lvlJc w:val="left"/>
      <w:pPr>
        <w:ind w:left="1440" w:hanging="360"/>
      </w:pPr>
      <w:rPr>
        <w:rFonts w:hint="default"/>
      </w:rPr>
    </w:lvl>
    <w:lvl w:ilvl="2" w:tplc="2E3C0EEE" w:tentative="1">
      <w:start w:val="1"/>
      <w:numFmt w:val="lowerRoman"/>
      <w:lvlText w:val="%3."/>
      <w:lvlJc w:val="right"/>
      <w:pPr>
        <w:ind w:left="2160" w:hanging="180"/>
      </w:pPr>
    </w:lvl>
    <w:lvl w:ilvl="3" w:tplc="25F6D738" w:tentative="1">
      <w:start w:val="1"/>
      <w:numFmt w:val="decimal"/>
      <w:lvlText w:val="%4."/>
      <w:lvlJc w:val="left"/>
      <w:pPr>
        <w:ind w:left="2880" w:hanging="360"/>
      </w:pPr>
    </w:lvl>
    <w:lvl w:ilvl="4" w:tplc="297E372C" w:tentative="1">
      <w:start w:val="1"/>
      <w:numFmt w:val="lowerLetter"/>
      <w:lvlText w:val="%5."/>
      <w:lvlJc w:val="left"/>
      <w:pPr>
        <w:ind w:left="3600" w:hanging="360"/>
      </w:pPr>
    </w:lvl>
    <w:lvl w:ilvl="5" w:tplc="EEDE5B10" w:tentative="1">
      <w:start w:val="1"/>
      <w:numFmt w:val="lowerRoman"/>
      <w:lvlText w:val="%6."/>
      <w:lvlJc w:val="right"/>
      <w:pPr>
        <w:ind w:left="4320" w:hanging="180"/>
      </w:pPr>
    </w:lvl>
    <w:lvl w:ilvl="6" w:tplc="F27AD482" w:tentative="1">
      <w:start w:val="1"/>
      <w:numFmt w:val="decimal"/>
      <w:lvlText w:val="%7."/>
      <w:lvlJc w:val="left"/>
      <w:pPr>
        <w:ind w:left="5040" w:hanging="360"/>
      </w:pPr>
    </w:lvl>
    <w:lvl w:ilvl="7" w:tplc="1A26AC58" w:tentative="1">
      <w:start w:val="1"/>
      <w:numFmt w:val="lowerLetter"/>
      <w:lvlText w:val="%8."/>
      <w:lvlJc w:val="left"/>
      <w:pPr>
        <w:ind w:left="5760" w:hanging="360"/>
      </w:pPr>
    </w:lvl>
    <w:lvl w:ilvl="8" w:tplc="1E96A3EE" w:tentative="1">
      <w:start w:val="1"/>
      <w:numFmt w:val="lowerRoman"/>
      <w:lvlText w:val="%9."/>
      <w:lvlJc w:val="right"/>
      <w:pPr>
        <w:ind w:left="6480" w:hanging="180"/>
      </w:pPr>
    </w:lvl>
  </w:abstractNum>
  <w:abstractNum w:abstractNumId="41" w15:restartNumberingAfterBreak="1">
    <w:nsid w:val="76EF6F04"/>
    <w:multiLevelType w:val="hybridMultilevel"/>
    <w:tmpl w:val="7EEA69B2"/>
    <w:lvl w:ilvl="0" w:tplc="F7147FD8">
      <w:start w:val="1"/>
      <w:numFmt w:val="decimal"/>
      <w:lvlText w:val="%1."/>
      <w:lvlJc w:val="left"/>
      <w:pPr>
        <w:ind w:left="720" w:hanging="360"/>
      </w:pPr>
    </w:lvl>
    <w:lvl w:ilvl="1" w:tplc="08D8ACF6" w:tentative="1">
      <w:start w:val="1"/>
      <w:numFmt w:val="lowerLetter"/>
      <w:lvlText w:val="%2."/>
      <w:lvlJc w:val="left"/>
      <w:pPr>
        <w:ind w:left="1440" w:hanging="360"/>
      </w:pPr>
    </w:lvl>
    <w:lvl w:ilvl="2" w:tplc="EEF84B26" w:tentative="1">
      <w:start w:val="1"/>
      <w:numFmt w:val="lowerRoman"/>
      <w:lvlText w:val="%3."/>
      <w:lvlJc w:val="right"/>
      <w:pPr>
        <w:ind w:left="2160" w:hanging="180"/>
      </w:pPr>
    </w:lvl>
    <w:lvl w:ilvl="3" w:tplc="46C2D31C" w:tentative="1">
      <w:start w:val="1"/>
      <w:numFmt w:val="decimal"/>
      <w:lvlText w:val="%4."/>
      <w:lvlJc w:val="left"/>
      <w:pPr>
        <w:ind w:left="2880" w:hanging="360"/>
      </w:pPr>
    </w:lvl>
    <w:lvl w:ilvl="4" w:tplc="891A135C" w:tentative="1">
      <w:start w:val="1"/>
      <w:numFmt w:val="lowerLetter"/>
      <w:lvlText w:val="%5."/>
      <w:lvlJc w:val="left"/>
      <w:pPr>
        <w:ind w:left="3600" w:hanging="360"/>
      </w:pPr>
    </w:lvl>
    <w:lvl w:ilvl="5" w:tplc="10A03368" w:tentative="1">
      <w:start w:val="1"/>
      <w:numFmt w:val="lowerRoman"/>
      <w:lvlText w:val="%6."/>
      <w:lvlJc w:val="right"/>
      <w:pPr>
        <w:ind w:left="4320" w:hanging="180"/>
      </w:pPr>
    </w:lvl>
    <w:lvl w:ilvl="6" w:tplc="A52C29D2" w:tentative="1">
      <w:start w:val="1"/>
      <w:numFmt w:val="decimal"/>
      <w:lvlText w:val="%7."/>
      <w:lvlJc w:val="left"/>
      <w:pPr>
        <w:ind w:left="5040" w:hanging="360"/>
      </w:pPr>
    </w:lvl>
    <w:lvl w:ilvl="7" w:tplc="E42C1E90" w:tentative="1">
      <w:start w:val="1"/>
      <w:numFmt w:val="lowerLetter"/>
      <w:lvlText w:val="%8."/>
      <w:lvlJc w:val="left"/>
      <w:pPr>
        <w:ind w:left="5760" w:hanging="360"/>
      </w:pPr>
    </w:lvl>
    <w:lvl w:ilvl="8" w:tplc="D862D50E" w:tentative="1">
      <w:start w:val="1"/>
      <w:numFmt w:val="lowerRoman"/>
      <w:lvlText w:val="%9."/>
      <w:lvlJc w:val="right"/>
      <w:pPr>
        <w:ind w:left="6480" w:hanging="180"/>
      </w:pPr>
    </w:lvl>
  </w:abstractNum>
  <w:abstractNum w:abstractNumId="42" w15:restartNumberingAfterBreak="1">
    <w:nsid w:val="778320B8"/>
    <w:multiLevelType w:val="hybridMultilevel"/>
    <w:tmpl w:val="08224654"/>
    <w:lvl w:ilvl="0" w:tplc="45F4260E">
      <w:start w:val="1"/>
      <w:numFmt w:val="lowerLetter"/>
      <w:lvlText w:val="%1)"/>
      <w:lvlJc w:val="left"/>
      <w:pPr>
        <w:ind w:left="720" w:hanging="360"/>
      </w:pPr>
    </w:lvl>
    <w:lvl w:ilvl="1" w:tplc="6D586362">
      <w:start w:val="1"/>
      <w:numFmt w:val="lowerLetter"/>
      <w:lvlText w:val="%2)"/>
      <w:lvlJc w:val="left"/>
      <w:pPr>
        <w:ind w:left="1440" w:hanging="360"/>
      </w:pPr>
    </w:lvl>
    <w:lvl w:ilvl="2" w:tplc="0E227EFE">
      <w:start w:val="1"/>
      <w:numFmt w:val="decimal"/>
      <w:lvlText w:val="%3."/>
      <w:lvlJc w:val="left"/>
      <w:pPr>
        <w:ind w:left="2340" w:hanging="360"/>
      </w:pPr>
      <w:rPr>
        <w:rFonts w:hint="default"/>
      </w:rPr>
    </w:lvl>
    <w:lvl w:ilvl="3" w:tplc="77440B74" w:tentative="1">
      <w:start w:val="1"/>
      <w:numFmt w:val="decimal"/>
      <w:lvlText w:val="%4."/>
      <w:lvlJc w:val="left"/>
      <w:pPr>
        <w:ind w:left="2880" w:hanging="360"/>
      </w:pPr>
    </w:lvl>
    <w:lvl w:ilvl="4" w:tplc="CA825C32" w:tentative="1">
      <w:start w:val="1"/>
      <w:numFmt w:val="lowerLetter"/>
      <w:lvlText w:val="%5."/>
      <w:lvlJc w:val="left"/>
      <w:pPr>
        <w:ind w:left="3600" w:hanging="360"/>
      </w:pPr>
    </w:lvl>
    <w:lvl w:ilvl="5" w:tplc="7F9285BE" w:tentative="1">
      <w:start w:val="1"/>
      <w:numFmt w:val="lowerRoman"/>
      <w:lvlText w:val="%6."/>
      <w:lvlJc w:val="right"/>
      <w:pPr>
        <w:ind w:left="4320" w:hanging="180"/>
      </w:pPr>
    </w:lvl>
    <w:lvl w:ilvl="6" w:tplc="72D4C13C" w:tentative="1">
      <w:start w:val="1"/>
      <w:numFmt w:val="decimal"/>
      <w:lvlText w:val="%7."/>
      <w:lvlJc w:val="left"/>
      <w:pPr>
        <w:ind w:left="5040" w:hanging="360"/>
      </w:pPr>
    </w:lvl>
    <w:lvl w:ilvl="7" w:tplc="AF0C14BE" w:tentative="1">
      <w:start w:val="1"/>
      <w:numFmt w:val="lowerLetter"/>
      <w:lvlText w:val="%8."/>
      <w:lvlJc w:val="left"/>
      <w:pPr>
        <w:ind w:left="5760" w:hanging="360"/>
      </w:pPr>
    </w:lvl>
    <w:lvl w:ilvl="8" w:tplc="089C98C4" w:tentative="1">
      <w:start w:val="1"/>
      <w:numFmt w:val="lowerRoman"/>
      <w:lvlText w:val="%9."/>
      <w:lvlJc w:val="right"/>
      <w:pPr>
        <w:ind w:left="6480" w:hanging="180"/>
      </w:pPr>
    </w:lvl>
  </w:abstractNum>
  <w:abstractNum w:abstractNumId="43" w15:restartNumberingAfterBreak="1">
    <w:nsid w:val="7B1C2359"/>
    <w:multiLevelType w:val="hybridMultilevel"/>
    <w:tmpl w:val="3BD4A6D8"/>
    <w:lvl w:ilvl="0" w:tplc="FF52A0B6">
      <w:start w:val="1"/>
      <w:numFmt w:val="lowerLetter"/>
      <w:lvlText w:val="%1)"/>
      <w:lvlJc w:val="left"/>
      <w:pPr>
        <w:ind w:left="720" w:hanging="360"/>
      </w:pPr>
    </w:lvl>
    <w:lvl w:ilvl="1" w:tplc="0AC69E98">
      <w:start w:val="1"/>
      <w:numFmt w:val="lowerLetter"/>
      <w:lvlText w:val="%2)"/>
      <w:lvlJc w:val="left"/>
      <w:pPr>
        <w:ind w:left="1440" w:hanging="360"/>
      </w:pPr>
    </w:lvl>
    <w:lvl w:ilvl="2" w:tplc="ACA0E248" w:tentative="1">
      <w:start w:val="1"/>
      <w:numFmt w:val="lowerRoman"/>
      <w:lvlText w:val="%3."/>
      <w:lvlJc w:val="right"/>
      <w:pPr>
        <w:ind w:left="2160" w:hanging="180"/>
      </w:pPr>
    </w:lvl>
    <w:lvl w:ilvl="3" w:tplc="97820010" w:tentative="1">
      <w:start w:val="1"/>
      <w:numFmt w:val="decimal"/>
      <w:lvlText w:val="%4."/>
      <w:lvlJc w:val="left"/>
      <w:pPr>
        <w:ind w:left="2880" w:hanging="360"/>
      </w:pPr>
    </w:lvl>
    <w:lvl w:ilvl="4" w:tplc="DD524EE6" w:tentative="1">
      <w:start w:val="1"/>
      <w:numFmt w:val="lowerLetter"/>
      <w:lvlText w:val="%5."/>
      <w:lvlJc w:val="left"/>
      <w:pPr>
        <w:ind w:left="3600" w:hanging="360"/>
      </w:pPr>
    </w:lvl>
    <w:lvl w:ilvl="5" w:tplc="38A0C002" w:tentative="1">
      <w:start w:val="1"/>
      <w:numFmt w:val="lowerRoman"/>
      <w:lvlText w:val="%6."/>
      <w:lvlJc w:val="right"/>
      <w:pPr>
        <w:ind w:left="4320" w:hanging="180"/>
      </w:pPr>
    </w:lvl>
    <w:lvl w:ilvl="6" w:tplc="97F62568" w:tentative="1">
      <w:start w:val="1"/>
      <w:numFmt w:val="decimal"/>
      <w:lvlText w:val="%7."/>
      <w:lvlJc w:val="left"/>
      <w:pPr>
        <w:ind w:left="5040" w:hanging="360"/>
      </w:pPr>
    </w:lvl>
    <w:lvl w:ilvl="7" w:tplc="86389FD2" w:tentative="1">
      <w:start w:val="1"/>
      <w:numFmt w:val="lowerLetter"/>
      <w:lvlText w:val="%8."/>
      <w:lvlJc w:val="left"/>
      <w:pPr>
        <w:ind w:left="5760" w:hanging="360"/>
      </w:pPr>
    </w:lvl>
    <w:lvl w:ilvl="8" w:tplc="CFB01C46" w:tentative="1">
      <w:start w:val="1"/>
      <w:numFmt w:val="lowerRoman"/>
      <w:lvlText w:val="%9."/>
      <w:lvlJc w:val="right"/>
      <w:pPr>
        <w:ind w:left="6480" w:hanging="180"/>
      </w:pPr>
    </w:lvl>
  </w:abstractNum>
  <w:abstractNum w:abstractNumId="44" w15:restartNumberingAfterBreak="1">
    <w:nsid w:val="7CCA35B6"/>
    <w:multiLevelType w:val="hybridMultilevel"/>
    <w:tmpl w:val="AC06EFAA"/>
    <w:lvl w:ilvl="0" w:tplc="3D1E2AD8">
      <w:start w:val="1"/>
      <w:numFmt w:val="lowerLetter"/>
      <w:lvlText w:val="%1)"/>
      <w:lvlJc w:val="left"/>
      <w:pPr>
        <w:ind w:left="1647" w:hanging="360"/>
      </w:pPr>
      <w:rPr>
        <w:rFonts w:hint="default"/>
      </w:rPr>
    </w:lvl>
    <w:lvl w:ilvl="1" w:tplc="FE7473E2">
      <w:start w:val="1"/>
      <w:numFmt w:val="decimal"/>
      <w:lvlText w:val="%2."/>
      <w:lvlJc w:val="left"/>
      <w:pPr>
        <w:ind w:left="1647" w:hanging="360"/>
      </w:pPr>
      <w:rPr>
        <w:rFonts w:hint="default"/>
      </w:rPr>
    </w:lvl>
    <w:lvl w:ilvl="2" w:tplc="3E34B0EA">
      <w:start w:val="1"/>
      <w:numFmt w:val="upperRoman"/>
      <w:lvlText w:val="%3."/>
      <w:lvlJc w:val="left"/>
      <w:pPr>
        <w:ind w:left="2907" w:hanging="720"/>
      </w:pPr>
      <w:rPr>
        <w:rFonts w:hint="default"/>
        <w:sz w:val="18"/>
        <w:szCs w:val="18"/>
      </w:rPr>
    </w:lvl>
    <w:lvl w:ilvl="3" w:tplc="78DC17F2" w:tentative="1">
      <w:start w:val="1"/>
      <w:numFmt w:val="decimal"/>
      <w:lvlText w:val="%4."/>
      <w:lvlJc w:val="left"/>
      <w:pPr>
        <w:ind w:left="3087" w:hanging="360"/>
      </w:pPr>
    </w:lvl>
    <w:lvl w:ilvl="4" w:tplc="FEB289AE" w:tentative="1">
      <w:start w:val="1"/>
      <w:numFmt w:val="lowerLetter"/>
      <w:lvlText w:val="%5."/>
      <w:lvlJc w:val="left"/>
      <w:pPr>
        <w:ind w:left="3807" w:hanging="360"/>
      </w:pPr>
    </w:lvl>
    <w:lvl w:ilvl="5" w:tplc="47ACEC1C" w:tentative="1">
      <w:start w:val="1"/>
      <w:numFmt w:val="lowerRoman"/>
      <w:lvlText w:val="%6."/>
      <w:lvlJc w:val="right"/>
      <w:pPr>
        <w:ind w:left="4527" w:hanging="180"/>
      </w:pPr>
    </w:lvl>
    <w:lvl w:ilvl="6" w:tplc="99EA540A" w:tentative="1">
      <w:start w:val="1"/>
      <w:numFmt w:val="decimal"/>
      <w:lvlText w:val="%7."/>
      <w:lvlJc w:val="left"/>
      <w:pPr>
        <w:ind w:left="5247" w:hanging="360"/>
      </w:pPr>
    </w:lvl>
    <w:lvl w:ilvl="7" w:tplc="69E4D496" w:tentative="1">
      <w:start w:val="1"/>
      <w:numFmt w:val="lowerLetter"/>
      <w:lvlText w:val="%8."/>
      <w:lvlJc w:val="left"/>
      <w:pPr>
        <w:ind w:left="5967" w:hanging="360"/>
      </w:pPr>
    </w:lvl>
    <w:lvl w:ilvl="8" w:tplc="35BA745E" w:tentative="1">
      <w:start w:val="1"/>
      <w:numFmt w:val="lowerRoman"/>
      <w:lvlText w:val="%9."/>
      <w:lvlJc w:val="right"/>
      <w:pPr>
        <w:ind w:left="6687" w:hanging="180"/>
      </w:pPr>
    </w:lvl>
  </w:abstractNum>
  <w:abstractNum w:abstractNumId="45" w15:restartNumberingAfterBreak="1">
    <w:nsid w:val="7EDE64D7"/>
    <w:multiLevelType w:val="hybridMultilevel"/>
    <w:tmpl w:val="7B641A08"/>
    <w:lvl w:ilvl="0" w:tplc="5D502C52">
      <w:start w:val="1"/>
      <w:numFmt w:val="lowerLetter"/>
      <w:lvlText w:val="%1."/>
      <w:lvlJc w:val="left"/>
      <w:pPr>
        <w:ind w:left="675" w:hanging="675"/>
      </w:pPr>
      <w:rPr>
        <w:rFonts w:hint="default"/>
      </w:rPr>
    </w:lvl>
    <w:lvl w:ilvl="1" w:tplc="C3A89734" w:tentative="1">
      <w:start w:val="1"/>
      <w:numFmt w:val="lowerLetter"/>
      <w:lvlText w:val="%2."/>
      <w:lvlJc w:val="left"/>
      <w:pPr>
        <w:ind w:left="1080" w:hanging="360"/>
      </w:pPr>
    </w:lvl>
    <w:lvl w:ilvl="2" w:tplc="477CB5CA" w:tentative="1">
      <w:start w:val="1"/>
      <w:numFmt w:val="lowerRoman"/>
      <w:lvlText w:val="%3."/>
      <w:lvlJc w:val="right"/>
      <w:pPr>
        <w:ind w:left="1800" w:hanging="180"/>
      </w:pPr>
    </w:lvl>
    <w:lvl w:ilvl="3" w:tplc="B3E28648" w:tentative="1">
      <w:start w:val="1"/>
      <w:numFmt w:val="decimal"/>
      <w:lvlText w:val="%4."/>
      <w:lvlJc w:val="left"/>
      <w:pPr>
        <w:ind w:left="2520" w:hanging="360"/>
      </w:pPr>
    </w:lvl>
    <w:lvl w:ilvl="4" w:tplc="09C06C08" w:tentative="1">
      <w:start w:val="1"/>
      <w:numFmt w:val="lowerLetter"/>
      <w:lvlText w:val="%5."/>
      <w:lvlJc w:val="left"/>
      <w:pPr>
        <w:ind w:left="3240" w:hanging="360"/>
      </w:pPr>
    </w:lvl>
    <w:lvl w:ilvl="5" w:tplc="D5BE6B72" w:tentative="1">
      <w:start w:val="1"/>
      <w:numFmt w:val="lowerRoman"/>
      <w:lvlText w:val="%6."/>
      <w:lvlJc w:val="right"/>
      <w:pPr>
        <w:ind w:left="3960" w:hanging="180"/>
      </w:pPr>
    </w:lvl>
    <w:lvl w:ilvl="6" w:tplc="5E463C74" w:tentative="1">
      <w:start w:val="1"/>
      <w:numFmt w:val="decimal"/>
      <w:lvlText w:val="%7."/>
      <w:lvlJc w:val="left"/>
      <w:pPr>
        <w:ind w:left="4680" w:hanging="360"/>
      </w:pPr>
    </w:lvl>
    <w:lvl w:ilvl="7" w:tplc="BDE216DA" w:tentative="1">
      <w:start w:val="1"/>
      <w:numFmt w:val="lowerLetter"/>
      <w:lvlText w:val="%8."/>
      <w:lvlJc w:val="left"/>
      <w:pPr>
        <w:ind w:left="5400" w:hanging="360"/>
      </w:pPr>
    </w:lvl>
    <w:lvl w:ilvl="8" w:tplc="1AD23B70" w:tentative="1">
      <w:start w:val="1"/>
      <w:numFmt w:val="lowerRoman"/>
      <w:lvlText w:val="%9."/>
      <w:lvlJc w:val="right"/>
      <w:pPr>
        <w:ind w:left="6120" w:hanging="180"/>
      </w:pPr>
    </w:lvl>
  </w:abstractNum>
  <w:num w:numId="1">
    <w:abstractNumId w:val="20"/>
  </w:num>
  <w:num w:numId="2">
    <w:abstractNumId w:val="34"/>
  </w:num>
  <w:num w:numId="3">
    <w:abstractNumId w:val="17"/>
  </w:num>
  <w:num w:numId="4">
    <w:abstractNumId w:val="30"/>
  </w:num>
  <w:num w:numId="5">
    <w:abstractNumId w:val="0"/>
  </w:num>
  <w:num w:numId="6">
    <w:abstractNumId w:val="23"/>
  </w:num>
  <w:num w:numId="7">
    <w:abstractNumId w:val="36"/>
  </w:num>
  <w:num w:numId="8">
    <w:abstractNumId w:val="13"/>
  </w:num>
  <w:num w:numId="9">
    <w:abstractNumId w:val="6"/>
  </w:num>
  <w:num w:numId="10">
    <w:abstractNumId w:val="35"/>
  </w:num>
  <w:num w:numId="11">
    <w:abstractNumId w:val="4"/>
  </w:num>
  <w:num w:numId="12">
    <w:abstractNumId w:val="38"/>
  </w:num>
  <w:num w:numId="13">
    <w:abstractNumId w:val="29"/>
  </w:num>
  <w:num w:numId="14">
    <w:abstractNumId w:val="9"/>
  </w:num>
  <w:num w:numId="15">
    <w:abstractNumId w:val="32"/>
  </w:num>
  <w:num w:numId="16">
    <w:abstractNumId w:val="3"/>
  </w:num>
  <w:num w:numId="17">
    <w:abstractNumId w:val="42"/>
  </w:num>
  <w:num w:numId="18">
    <w:abstractNumId w:val="12"/>
  </w:num>
  <w:num w:numId="19">
    <w:abstractNumId w:val="21"/>
  </w:num>
  <w:num w:numId="20">
    <w:abstractNumId w:val="22"/>
  </w:num>
  <w:num w:numId="21">
    <w:abstractNumId w:val="31"/>
  </w:num>
  <w:num w:numId="22">
    <w:abstractNumId w:val="28"/>
  </w:num>
  <w:num w:numId="23">
    <w:abstractNumId w:val="43"/>
  </w:num>
  <w:num w:numId="24">
    <w:abstractNumId w:val="44"/>
  </w:num>
  <w:num w:numId="25">
    <w:abstractNumId w:val="10"/>
  </w:num>
  <w:num w:numId="26">
    <w:abstractNumId w:val="26"/>
  </w:num>
  <w:num w:numId="27">
    <w:abstractNumId w:val="14"/>
  </w:num>
  <w:num w:numId="28">
    <w:abstractNumId w:val="40"/>
  </w:num>
  <w:num w:numId="29">
    <w:abstractNumId w:val="7"/>
  </w:num>
  <w:num w:numId="30">
    <w:abstractNumId w:val="2"/>
  </w:num>
  <w:num w:numId="31">
    <w:abstractNumId w:val="33"/>
  </w:num>
  <w:num w:numId="32">
    <w:abstractNumId w:val="8"/>
  </w:num>
  <w:num w:numId="33">
    <w:abstractNumId w:val="24"/>
  </w:num>
  <w:num w:numId="34">
    <w:abstractNumId w:val="37"/>
  </w:num>
  <w:num w:numId="35">
    <w:abstractNumId w:val="25"/>
  </w:num>
  <w:num w:numId="36">
    <w:abstractNumId w:val="41"/>
  </w:num>
  <w:num w:numId="37">
    <w:abstractNumId w:val="18"/>
  </w:num>
  <w:num w:numId="38">
    <w:abstractNumId w:val="27"/>
  </w:num>
  <w:num w:numId="39">
    <w:abstractNumId w:val="11"/>
  </w:num>
  <w:num w:numId="40">
    <w:abstractNumId w:val="5"/>
  </w:num>
  <w:num w:numId="41">
    <w:abstractNumId w:val="16"/>
  </w:num>
  <w:num w:numId="42">
    <w:abstractNumId w:val="1"/>
  </w:num>
  <w:num w:numId="43">
    <w:abstractNumId w:val="45"/>
  </w:num>
  <w:num w:numId="44">
    <w:abstractNumId w:val="15"/>
  </w:num>
  <w:num w:numId="45">
    <w:abstractNumId w:val="1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attachedTemplate r:id="rId1"/>
  <w:linkStyle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686"/>
  <w:autoHyphenation/>
  <w:consecutiveHyphenLimit w:val="3"/>
  <w:hyphenationZone w:val="460"/>
  <w:doNotHyphenateCaps/>
  <w:clickAndTypeStyle w:val="Absatz"/>
  <w:evenAndOddHeaders/>
  <w:displayHorizontalDrawingGridEvery w:val="0"/>
  <w:displayVerticalDrawingGridEvery w:val="0"/>
  <w:doNotUseMarginsForDrawingGridOrigin/>
  <w:doNotShadeFormData/>
  <w:noPunctuationKerning/>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5C2AACFD-12B3-4CC9-B69D-FEDA4271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link w:val="berschrift1Zchn"/>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link w:val="berschrift2Zchn"/>
    <w:qFormat/>
    <w:pPr>
      <w:outlineLvl w:val="1"/>
    </w:pPr>
  </w:style>
  <w:style w:type="paragraph" w:styleId="berschrift3">
    <w:name w:val="heading 3"/>
    <w:basedOn w:val="berschrift1"/>
    <w:link w:val="berschrift3Zchn"/>
    <w:qFormat/>
    <w:pPr>
      <w:outlineLvl w:val="2"/>
    </w:pPr>
  </w:style>
  <w:style w:type="paragraph" w:styleId="berschrift4">
    <w:name w:val="heading 4"/>
    <w:basedOn w:val="berschrift1"/>
    <w:link w:val="berschrift4Zchn"/>
    <w:qFormat/>
    <w:pPr>
      <w:outlineLvl w:val="3"/>
    </w:pPr>
  </w:style>
  <w:style w:type="paragraph" w:styleId="berschrift5">
    <w:name w:val="heading 5"/>
    <w:link w:val="berschrift5Zchn"/>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link w:val="berschrift6Zchn"/>
    <w:qFormat/>
    <w:pPr>
      <w:framePr w:wrap="around"/>
      <w:outlineLvl w:val="5"/>
    </w:pPr>
  </w:style>
  <w:style w:type="paragraph" w:styleId="berschrift7">
    <w:name w:val="heading 7"/>
    <w:basedOn w:val="berschrift5"/>
    <w:link w:val="berschrift7Zchn"/>
    <w:qFormat/>
    <w:pPr>
      <w:framePr w:wrap="around"/>
      <w:outlineLvl w:val="6"/>
    </w:pPr>
  </w:style>
  <w:style w:type="paragraph" w:styleId="berschrift8">
    <w:name w:val="heading 8"/>
    <w:basedOn w:val="berschrift5"/>
    <w:link w:val="berschrift8Zchn"/>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character" w:customStyle="1" w:styleId="berschrift1Zchn">
    <w:name w:val="Überschrift 1 Zchn"/>
    <w:link w:val="berschrift1"/>
    <w:rPr>
      <w:b/>
      <w:lang w:eastAsia="de-DE"/>
    </w:rPr>
  </w:style>
  <w:style w:type="character" w:customStyle="1" w:styleId="berschrift2Zchn">
    <w:name w:val="Überschrift 2 Zchn"/>
    <w:link w:val="berschrift2"/>
    <w:rPr>
      <w:b/>
      <w:lang w:eastAsia="de-DE"/>
    </w:rPr>
  </w:style>
  <w:style w:type="character" w:customStyle="1" w:styleId="berschrift3Zchn">
    <w:name w:val="Überschrift 3 Zchn"/>
    <w:link w:val="berschrift3"/>
    <w:rPr>
      <w:b/>
      <w:lang w:eastAsia="de-DE"/>
    </w:rPr>
  </w:style>
  <w:style w:type="character" w:customStyle="1" w:styleId="berschrift4Zchn">
    <w:name w:val="Überschrift 4 Zchn"/>
    <w:link w:val="berschrift4"/>
    <w:rPr>
      <w:b/>
      <w:lang w:eastAsia="de-DE"/>
    </w:rPr>
  </w:style>
  <w:style w:type="character" w:customStyle="1" w:styleId="berschrift5Zchn">
    <w:name w:val="Überschrift 5 Zchn"/>
    <w:link w:val="berschrift5"/>
    <w:rPr>
      <w:sz w:val="13"/>
      <w:lang w:eastAsia="de-DE"/>
    </w:rPr>
  </w:style>
  <w:style w:type="character" w:customStyle="1" w:styleId="berschrift6Zchn">
    <w:name w:val="Überschrift 6 Zchn"/>
    <w:link w:val="berschrift6"/>
    <w:rPr>
      <w:sz w:val="13"/>
      <w:lang w:eastAsia="de-DE"/>
    </w:rPr>
  </w:style>
  <w:style w:type="character" w:customStyle="1" w:styleId="berschrift7Zchn">
    <w:name w:val="Überschrift 7 Zchn"/>
    <w:link w:val="berschrift7"/>
    <w:rPr>
      <w:sz w:val="13"/>
      <w:lang w:eastAsia="de-DE"/>
    </w:rPr>
  </w:style>
  <w:style w:type="character" w:customStyle="1" w:styleId="berschrift8Zchn">
    <w:name w:val="Überschrift 8 Zchn"/>
    <w:link w:val="berschrift8"/>
    <w:rPr>
      <w:sz w:val="13"/>
      <w:lang w:eastAsia="de-DE"/>
    </w:rPr>
  </w:style>
  <w:style w:type="character" w:customStyle="1" w:styleId="berschrift9Zchn">
    <w:name w:val="Überschrift 9 Zchn"/>
    <w:link w:val="berschrift9"/>
    <w:rPr>
      <w:sz w:val="18"/>
      <w:lang w:eastAsia="de-DE"/>
    </w:rPr>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styleId="Fuzeile">
    <w:name w:val="footer"/>
    <w:link w:val="FuzeileZchn"/>
    <w:pPr>
      <w:spacing w:before="260" w:line="200" w:lineRule="exact"/>
    </w:pPr>
    <w:rPr>
      <w:sz w:val="18"/>
      <w:lang w:eastAsia="de-DE"/>
    </w:rPr>
  </w:style>
  <w:style w:type="character" w:customStyle="1" w:styleId="FuzeileZchn">
    <w:name w:val="Fußzeile Zchn"/>
    <w:link w:val="Fuzeile"/>
    <w:rPr>
      <w:sz w:val="18"/>
      <w:lang w:eastAsia="de-DE"/>
    </w:rPr>
  </w:style>
  <w:style w:type="paragraph" w:styleId="Kopfzeile">
    <w:name w:val="header"/>
    <w:link w:val="KopfzeileZchn"/>
    <w:pPr>
      <w:pBdr>
        <w:bottom w:val="single" w:sz="6" w:space="5" w:color="auto"/>
      </w:pBdr>
      <w:suppressAutoHyphens/>
      <w:spacing w:after="320" w:line="180" w:lineRule="exact"/>
    </w:pPr>
    <w:rPr>
      <w:sz w:val="16"/>
      <w:lang w:eastAsia="de-DE"/>
    </w:rPr>
  </w:style>
  <w:style w:type="character" w:customStyle="1" w:styleId="KopfzeileZchn">
    <w:name w:val="Kopfzeile Zchn"/>
    <w:link w:val="Kopfzeile"/>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character" w:customStyle="1" w:styleId="FunotentextZchn">
    <w:name w:val="Fußnotentext Zchn"/>
    <w:link w:val="Funotentext"/>
    <w:rPr>
      <w:sz w:val="16"/>
      <w:lang w:eastAsia="de-DE"/>
    </w:rPr>
  </w:style>
  <w:style w:type="paragraph" w:customStyle="1" w:styleId="Absatz">
    <w:name w:val="Absatz"/>
    <w:pPr>
      <w:spacing w:before="80" w:line="200" w:lineRule="exact"/>
      <w:jc w:val="both"/>
    </w:pPr>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Struktur1">
    <w:name w:val="Struktur 1"/>
    <w:pPr>
      <w:tabs>
        <w:tab w:val="left" w:pos="567"/>
      </w:tabs>
      <w:spacing w:before="80" w:line="200" w:lineRule="exact"/>
      <w:ind w:left="567" w:hanging="357"/>
      <w:jc w:val="both"/>
    </w:pPr>
    <w:rPr>
      <w:sz w:val="18"/>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08pt">
    <w:name w:val="Tabkörper 0/8pt"/>
    <w:pPr>
      <w:spacing w:line="160" w:lineRule="exact"/>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Absatz8pt">
    <w:name w:val="Absatz /8pt"/>
    <w:pPr>
      <w:spacing w:before="60" w:line="160" w:lineRule="exact"/>
      <w:jc w:val="both"/>
    </w:pPr>
    <w:rPr>
      <w:sz w:val="16"/>
      <w:lang w:eastAsia="de-DE"/>
    </w:rPr>
  </w:style>
  <w:style w:type="paragraph" w:customStyle="1" w:styleId="FussnotentextMarg">
    <w:name w:val="Fussnotentext Marg"/>
    <w:pPr>
      <w:keepNext/>
      <w:keepLines/>
      <w:tabs>
        <w:tab w:val="left" w:pos="-980"/>
      </w:tabs>
      <w:spacing w:line="160" w:lineRule="exact"/>
      <w:ind w:left="-697" w:hanging="335"/>
    </w:pPr>
    <w:rPr>
      <w:sz w:val="16"/>
      <w:lang w:eastAsia="de-DE"/>
    </w:rPr>
  </w:style>
  <w:style w:type="paragraph" w:customStyle="1" w:styleId="Zyan-Feld">
    <w:name w:val="Zyan-Feld"/>
    <w:pPr>
      <w:spacing w:line="180" w:lineRule="exact"/>
    </w:pPr>
    <w:rPr>
      <w:vanish/>
      <w:color w:val="00FFFF"/>
      <w:sz w:val="18"/>
      <w:lang w:eastAsia="de-DE"/>
    </w:rPr>
  </w:style>
  <w:style w:type="paragraph" w:customStyle="1" w:styleId="UnterschriftenFI1">
    <w:name w:val="UnterschriftenFI 1"/>
    <w:basedOn w:val="UnterschriftenFI"/>
    <w:pPr>
      <w:spacing w:before="480"/>
    </w:p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DatumAend">
    <w:name w:val="Erlass Datum Aend"/>
    <w:next w:val="ErlassLinie"/>
    <w:pPr>
      <w:keepNext/>
      <w:keepLines/>
    </w:pPr>
    <w:rPr>
      <w:b/>
      <w:lang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Tabkrper08pt-kurs">
    <w:name w:val="Tabkörper 0/8pt-kurs"/>
    <w:basedOn w:val="Tabkrper08pt"/>
    <w:rPr>
      <w:i/>
    </w:rPr>
  </w:style>
  <w:style w:type="paragraph" w:customStyle="1" w:styleId="Tab-Struktur208pt">
    <w:name w:val="Tab-Struktur 2 0/8pt"/>
    <w:basedOn w:val="Tab-Struktur108pt"/>
    <w:pPr>
      <w:tabs>
        <w:tab w:val="left" w:pos="454"/>
      </w:tabs>
      <w:ind w:left="454"/>
    </w:p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character" w:customStyle="1" w:styleId="MakrotextZchn">
    <w:name w:val="Makrotext Zchn"/>
    <w:link w:val="Makrotext"/>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character" w:customStyle="1" w:styleId="VerborgenKommentar">
    <w:name w:val="Verborgen (Kommentar)"/>
    <w:rPr>
      <w:rFonts w:ascii="Courier New" w:hAnsi="Courier New"/>
      <w:vanish/>
      <w:color w:val="FF00FF"/>
      <w:sz w:val="14"/>
    </w:rPr>
  </w:style>
  <w:style w:type="paragraph" w:customStyle="1" w:styleId="Tab-Struktur308pt">
    <w:name w:val="Tab-Struktur 3 0/8pt"/>
    <w:basedOn w:val="Tab-Struktur208pt"/>
    <w:pPr>
      <w:tabs>
        <w:tab w:val="left" w:pos="680"/>
      </w:tabs>
      <w:ind w:left="681"/>
    </w:p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Tab-Struktur138pt">
    <w:name w:val="Tab-Struktur 1 3/8pt"/>
    <w:basedOn w:val="Tab-Struktur108pt"/>
    <w:pPr>
      <w:spacing w:before="60"/>
    </w:pPr>
  </w:style>
  <w:style w:type="paragraph" w:customStyle="1" w:styleId="Abstand4pt">
    <w:name w:val="Abstand /4pt"/>
    <w:basedOn w:val="Abstand18pt"/>
    <w:pPr>
      <w:spacing w:before="60"/>
    </w:pPr>
    <w:rPr>
      <w:color w:val="00FF00"/>
    </w:r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2">
    <w:name w:val="toc 2"/>
    <w:basedOn w:val="Verzeichnis1"/>
    <w:next w:val="Absatz"/>
    <w:pPr>
      <w:spacing w:before="120"/>
      <w:ind w:left="142"/>
    </w:pPr>
  </w:style>
  <w:style w:type="paragraph" w:styleId="Verzeichnis3">
    <w:name w:val="toc 3"/>
    <w:basedOn w:val="Verzeichnis2"/>
    <w:next w:val="Absatz"/>
    <w:pPr>
      <w:spacing w:before="100"/>
      <w:ind w:left="284"/>
    </w:pPr>
    <w:rPr>
      <w:bCs/>
      <w:sz w:val="20"/>
    </w:rPr>
  </w:style>
  <w:style w:type="paragraph" w:styleId="Verzeichnis4">
    <w:name w:val="toc 4"/>
    <w:basedOn w:val="Verzeichnis3"/>
    <w:next w:val="Absatz"/>
    <w:pPr>
      <w:spacing w:before="80"/>
      <w:ind w:left="425"/>
    </w:pPr>
    <w:rPr>
      <w:bCs w:val="0"/>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6">
    <w:name w:val="toc 6"/>
    <w:basedOn w:val="Verzeichnis5"/>
    <w:next w:val="Absatz"/>
    <w:pPr>
      <w:spacing w:before="40"/>
      <w:ind w:left="709"/>
    </w:pPr>
    <w:rPr>
      <w:bCs w:val="0"/>
      <w:sz w:val="18"/>
    </w:rPr>
  </w:style>
  <w:style w:type="paragraph" w:styleId="Verzeichnis7">
    <w:name w:val="toc 7"/>
    <w:basedOn w:val="Verzeichnis6"/>
    <w:next w:val="Absatz"/>
    <w:pPr>
      <w:ind w:left="851"/>
    </w:pPr>
  </w:style>
  <w:style w:type="paragraph" w:styleId="Verzeichnis8">
    <w:name w:val="toc 8"/>
    <w:basedOn w:val="Verzeichnis7"/>
    <w:next w:val="Absatz"/>
    <w:pPr>
      <w:ind w:left="993"/>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ror">
    <w:name w:val="Error"/>
    <w:rPr>
      <w:rFonts w:ascii="Arial" w:hAnsi="Arial"/>
      <w:i/>
      <w:color w:val="FF0000"/>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
    <w:name w:val="UnterschriftenFI"/>
    <w:basedOn w:val="Absatz"/>
    <w:pPr>
      <w:tabs>
        <w:tab w:val="left" w:pos="1701"/>
      </w:tabs>
      <w:spacing w:before="120"/>
      <w:jc w:val="left"/>
    </w:p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paragraph" w:customStyle="1" w:styleId="a">
    <w:pPr>
      <w:spacing w:line="200" w:lineRule="exact"/>
      <w:jc w:val="both"/>
    </w:pPr>
    <w:rPr>
      <w:sz w:val="18"/>
      <w:szCs w:val="18"/>
    </w:rPr>
  </w:style>
  <w:style w:type="paragraph" w:styleId="berarbeitung">
    <w:name w:val="Revision"/>
    <w:hidden/>
    <w:uiPriority w:val="99"/>
    <w:semiHidden/>
    <w:rPr>
      <w:color w:val="FF00FF"/>
      <w:sz w:val="18"/>
      <w:lang w:eastAsia="de-DE"/>
    </w:rPr>
  </w:style>
  <w:style w:type="paragraph" w:customStyle="1" w:styleId="a0">
    <w:pPr>
      <w:spacing w:line="200" w:lineRule="exact"/>
      <w:jc w:val="both"/>
    </w:pPr>
    <w:rPr>
      <w:sz w:val="18"/>
      <w:szCs w:val="18"/>
    </w:rPr>
  </w:style>
  <w:style w:type="paragraph" w:customStyle="1" w:styleId="a1">
    <w:pPr>
      <w:spacing w:line="200" w:lineRule="exact"/>
      <w:jc w:val="both"/>
    </w:pPr>
    <w:rPr>
      <w:sz w:val="18"/>
      <w:szCs w:val="18"/>
    </w:r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edlex.data.admin.ch/eli/oc/2022/435" TargetMode="External"/><Relationship Id="rId2" Type="http://schemas.openxmlformats.org/officeDocument/2006/relationships/hyperlink" Target="http://www.nuclearsuppliersgroup.org/de/" TargetMode="External"/><Relationship Id="rId1" Type="http://schemas.openxmlformats.org/officeDocument/2006/relationships/hyperlink" Target="https://www.admin.ch/opc/de/official-compilation/2004/4929.pdf" TargetMode="External"/><Relationship Id="rId5" Type="http://schemas.openxmlformats.org/officeDocument/2006/relationships/hyperlink" Target="https://fedlex.data.admin.ch/eli/oc/2022/435" TargetMode="External"/><Relationship Id="rId4" Type="http://schemas.openxmlformats.org/officeDocument/2006/relationships/hyperlink" Target="https://fedlex.data.admin.ch/eli/oc/2023/2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7063\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SR-Vorl.dotm</Template>
  <TotalTime>0</TotalTime>
  <Pages>42</Pages>
  <Words>8561</Words>
  <Characters>58913</Characters>
  <Application>Microsoft Office Word</Application>
  <DocSecurity>0</DocSecurity>
  <Lines>1624</Lines>
  <Paragraphs>782</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946.231.143.6</vt:lpstr>
      <vt:lpstr>946.231.143.6</vt:lpstr>
      <vt:lpstr>Dokumentvorlage SR für Word XP</vt:lpstr>
      <vt:lpstr>Dokumentvorlage SR für Word XP</vt:lpstr>
    </vt:vector>
  </TitlesOfParts>
  <Manager>Bernhard Moll, lic. jur., Stv. Leiter KAV, Schweizerische Bundeskanzlei (BK)</Manager>
  <Company>Autor Makros und Vorlagen: Stoupa &amp; Partners AG im Auftrag von K A V</Company>
  <LinksUpToDate>false</LinksUpToDate>
  <CharactersWithSpaces>66993</CharactersWithSpaces>
  <SharedDoc>false</SharedDoc>
  <HLinks>
    <vt:vector size="30" baseType="variant">
      <vt:variant>
        <vt:i4>5898267</vt:i4>
      </vt:variant>
      <vt:variant>
        <vt:i4>12</vt:i4>
      </vt:variant>
      <vt:variant>
        <vt:i4>0</vt:i4>
      </vt:variant>
      <vt:variant>
        <vt:i4>5</vt:i4>
      </vt:variant>
      <vt:variant>
        <vt:lpwstr>https://fedlex.data.admin.ch/eli/oc/2022/435</vt:lpwstr>
      </vt:variant>
      <vt:variant>
        <vt:lpwstr/>
      </vt:variant>
      <vt:variant>
        <vt:i4>5898267</vt:i4>
      </vt:variant>
      <vt:variant>
        <vt:i4>9</vt:i4>
      </vt:variant>
      <vt:variant>
        <vt:i4>0</vt:i4>
      </vt:variant>
      <vt:variant>
        <vt:i4>5</vt:i4>
      </vt:variant>
      <vt:variant>
        <vt:lpwstr>https://fedlex.data.admin.ch/eli/oc/2022/435</vt:lpwstr>
      </vt:variant>
      <vt:variant>
        <vt:lpwstr/>
      </vt:variant>
      <vt:variant>
        <vt:i4>5898267</vt:i4>
      </vt:variant>
      <vt:variant>
        <vt:i4>6</vt:i4>
      </vt:variant>
      <vt:variant>
        <vt:i4>0</vt:i4>
      </vt:variant>
      <vt:variant>
        <vt:i4>5</vt:i4>
      </vt:variant>
      <vt:variant>
        <vt:lpwstr>https://fedlex.data.admin.ch/eli/oc/2022/435</vt:lpwstr>
      </vt:variant>
      <vt:variant>
        <vt:lpwstr/>
      </vt:variant>
      <vt:variant>
        <vt:i4>1310784</vt:i4>
      </vt:variant>
      <vt:variant>
        <vt:i4>3</vt:i4>
      </vt:variant>
      <vt:variant>
        <vt:i4>0</vt:i4>
      </vt:variant>
      <vt:variant>
        <vt:i4>5</vt:i4>
      </vt:variant>
      <vt:variant>
        <vt:lpwstr>http://www.nuclearsuppliersgroup.org/de/</vt:lpwstr>
      </vt:variant>
      <vt:variant>
        <vt:lpwstr/>
      </vt:variant>
      <vt:variant>
        <vt:i4>7602301</vt:i4>
      </vt:variant>
      <vt:variant>
        <vt:i4>0</vt:i4>
      </vt:variant>
      <vt:variant>
        <vt:i4>0</vt:i4>
      </vt:variant>
      <vt:variant>
        <vt:i4>5</vt:i4>
      </vt:variant>
      <vt:variant>
        <vt:lpwstr>https://www.admin.ch/opc/de/official-compilation/2004/4929.pdf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946.231.143.6</dc:title>
  <dc:subject>Verordnung  über Massnahmen gegenüber der  Islamischen Republik Iran</dc:subject>
  <dc:creator>KAV - Kompetenzzentrum Amtliche Veröffentlichungen, BK</dc:creator>
  <cp:keywords>Rechtstext Formatvorlage DfV</cp:keywords>
  <dc:description>Dokumentvorlage AS / SR - Diverse Makros
Stoupa &amp; Partners AG; Bernstr. 24; 3110 Münsingen
031 / 721 95 85                          Fax: 031 /721 95 86
E-Mail: Stoupa@Stoupa.com      Internet: www.stoupa.ch</dc:description>
  <cp:lastModifiedBy>Gabi Daniel BK</cp:lastModifiedBy>
  <cp:revision>2</cp:revision>
  <cp:lastPrinted>2023-05-11T13:11:00Z</cp:lastPrinted>
  <dcterms:created xsi:type="dcterms:W3CDTF">2023-05-11T13:17:00Z</dcterms:created>
  <dcterms:modified xsi:type="dcterms:W3CDTF">2023-05-11T13:17:00Z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44426</vt:i4>
  </property>
  <property fmtid="{D5CDD505-2E9C-101B-9397-08002B2CF9AE}" pid="3" name="MesserliAktiv">
    <vt:bool>true</vt:bool>
  </property>
  <property fmtid="{D5CDD505-2E9C-101B-9397-08002B2CF9AE}" pid="4" name="MesserliCheck">
    <vt:i4>45057</vt:i4>
  </property>
  <property fmtid="{D5CDD505-2E9C-101B-9397-08002B2CF9AE}" pid="5" name="Originalvorlage">
    <vt:lpwstr>Source ls</vt:lpwstr>
  </property>
  <property fmtid="{D5CDD505-2E9C-101B-9397-08002B2CF9AE}" pid="6" name="Tage06Check">
    <vt:i4>44776</vt:i4>
  </property>
  <property fmtid="{D5CDD505-2E9C-101B-9397-08002B2CF9AE}" pid="7" name="Tage90Check">
    <vt:i4>44706</vt:i4>
  </property>
  <property fmtid="{D5CDD505-2E9C-101B-9397-08002B2CF9AE}" pid="8" name="VersionCheck">
    <vt:i4>39777</vt:i4>
  </property>
  <property fmtid="{D5CDD505-2E9C-101B-9397-08002B2CF9AE}" pid="9" name="WordInitAktiv">
    <vt:bool>false</vt:bool>
  </property>
</Properties>
</file>