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E70B8D" w14:textId="77777777" w:rsidR="00AD2AC3" w:rsidRDefault="00000000">
      <w:pPr>
        <w:pStyle w:val="Heading1"/>
        <w:spacing w:before="120" w:after="100"/>
      </w:pPr>
      <w:proofErr w:type="spellStart"/>
      <w:r>
        <w:rPr>
          <w:b/>
          <w:bCs/>
          <w:color w:val="1F3864"/>
        </w:rPr>
        <w:t>ShopSmart</w:t>
      </w:r>
      <w:proofErr w:type="spellEnd"/>
      <w:r>
        <w:rPr>
          <w:b/>
          <w:bCs/>
          <w:color w:val="1F3864"/>
        </w:rPr>
        <w:t xml:space="preserve"> Retail Ltd — Sales Performance Review, 2025</w:t>
      </w:r>
    </w:p>
    <w:p w14:paraId="51B2D486" w14:textId="77777777" w:rsidR="00AD2AC3" w:rsidRDefault="00000000">
      <w:pPr>
        <w:spacing w:before="60" w:after="80"/>
      </w:pPr>
      <w:r>
        <w:rPr>
          <w:i/>
          <w:iCs/>
          <w:color w:val="595959"/>
          <w:sz w:val="15"/>
          <w:szCs w:val="15"/>
        </w:rPr>
        <w:t xml:space="preserve">Prepared by </w:t>
      </w:r>
      <w:proofErr w:type="spellStart"/>
      <w:r>
        <w:rPr>
          <w:i/>
          <w:iCs/>
          <w:color w:val="595959"/>
          <w:sz w:val="15"/>
          <w:szCs w:val="15"/>
        </w:rPr>
        <w:t>Kgothatso</w:t>
      </w:r>
      <w:proofErr w:type="spellEnd"/>
      <w:r>
        <w:rPr>
          <w:i/>
          <w:iCs/>
          <w:color w:val="595959"/>
          <w:sz w:val="15"/>
          <w:szCs w:val="15"/>
        </w:rPr>
        <w:t xml:space="preserve"> Molete, Junior Data Analyst, </w:t>
      </w:r>
      <w:proofErr w:type="spellStart"/>
      <w:r>
        <w:rPr>
          <w:i/>
          <w:iCs/>
          <w:color w:val="595959"/>
          <w:sz w:val="15"/>
          <w:szCs w:val="15"/>
        </w:rPr>
        <w:t>AnalystLab</w:t>
      </w:r>
      <w:proofErr w:type="spellEnd"/>
      <w:r>
        <w:rPr>
          <w:i/>
          <w:iCs/>
          <w:color w:val="595959"/>
          <w:sz w:val="15"/>
          <w:szCs w:val="15"/>
        </w:rPr>
        <w:t xml:space="preserve"> Africa · Source: 50,000 orders, 5,000 customers, 500 products, 25 stores · Currency assumed ₦</w:t>
      </w:r>
    </w:p>
    <w:tbl>
      <w:tblPr>
        <w:tblW w:w="98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44"/>
        <w:gridCol w:w="1644"/>
        <w:gridCol w:w="1644"/>
        <w:gridCol w:w="1644"/>
        <w:gridCol w:w="1644"/>
        <w:gridCol w:w="1644"/>
      </w:tblGrid>
      <w:tr w:rsidR="00AD2AC3" w14:paraId="7B1C363E" w14:textId="77777777">
        <w:tblPrEx>
          <w:tblCellMar>
            <w:top w:w="0" w:type="dxa"/>
            <w:bottom w:w="0" w:type="dxa"/>
          </w:tblCellMar>
        </w:tblPrEx>
        <w:tc>
          <w:tcPr>
            <w:tcW w:w="1644" w:type="dxa"/>
            <w:tcBorders>
              <w:top w:val="single" w:sz="12" w:space="0" w:color="2E75B6"/>
              <w:left w:val="none" w:sz="0" w:space="0" w:color="FFFFFF"/>
              <w:bottom w:val="none" w:sz="0" w:space="0" w:color="FFFFFF"/>
              <w:right w:val="none" w:sz="0" w:space="0" w:color="FFFFFF"/>
            </w:tcBorders>
            <w:shd w:val="clear" w:color="auto" w:fill="F2F6FB"/>
            <w:tcMar>
              <w:top w:w="60" w:type="dxa"/>
              <w:left w:w="60" w:type="dxa"/>
              <w:bottom w:w="60" w:type="dxa"/>
              <w:right w:w="60" w:type="dxa"/>
            </w:tcMar>
          </w:tcPr>
          <w:p w14:paraId="548FEA47" w14:textId="77777777" w:rsidR="00AD2AC3" w:rsidRDefault="00000000">
            <w:pPr>
              <w:jc w:val="center"/>
            </w:pPr>
            <w:r>
              <w:rPr>
                <w:b/>
                <w:bCs/>
                <w:color w:val="1F3864"/>
                <w:sz w:val="26"/>
                <w:szCs w:val="26"/>
              </w:rPr>
              <w:t>₦7.58bn</w:t>
            </w:r>
          </w:p>
        </w:tc>
        <w:tc>
          <w:tcPr>
            <w:tcW w:w="1644" w:type="dxa"/>
            <w:tcBorders>
              <w:top w:val="single" w:sz="12" w:space="0" w:color="2E75B6"/>
              <w:left w:val="none" w:sz="0" w:space="0" w:color="FFFFFF"/>
              <w:bottom w:val="none" w:sz="0" w:space="0" w:color="FFFFFF"/>
              <w:right w:val="none" w:sz="0" w:space="0" w:color="FFFFFF"/>
            </w:tcBorders>
            <w:shd w:val="clear" w:color="auto" w:fill="F2F6FB"/>
            <w:tcMar>
              <w:top w:w="60" w:type="dxa"/>
              <w:left w:w="60" w:type="dxa"/>
              <w:bottom w:w="60" w:type="dxa"/>
              <w:right w:w="60" w:type="dxa"/>
            </w:tcMar>
          </w:tcPr>
          <w:p w14:paraId="301B7837" w14:textId="77777777" w:rsidR="00AD2AC3" w:rsidRDefault="00000000">
            <w:pPr>
              <w:jc w:val="center"/>
            </w:pPr>
            <w:r>
              <w:rPr>
                <w:b/>
                <w:bCs/>
                <w:color w:val="1F3864"/>
                <w:sz w:val="26"/>
                <w:szCs w:val="26"/>
              </w:rPr>
              <w:t>50,000</w:t>
            </w:r>
          </w:p>
        </w:tc>
        <w:tc>
          <w:tcPr>
            <w:tcW w:w="1644" w:type="dxa"/>
            <w:tcBorders>
              <w:top w:val="single" w:sz="12" w:space="0" w:color="2E75B6"/>
              <w:left w:val="none" w:sz="0" w:space="0" w:color="FFFFFF"/>
              <w:bottom w:val="none" w:sz="0" w:space="0" w:color="FFFFFF"/>
              <w:right w:val="none" w:sz="0" w:space="0" w:color="FFFFFF"/>
            </w:tcBorders>
            <w:shd w:val="clear" w:color="auto" w:fill="F2F6FB"/>
            <w:tcMar>
              <w:top w:w="60" w:type="dxa"/>
              <w:left w:w="60" w:type="dxa"/>
              <w:bottom w:w="60" w:type="dxa"/>
              <w:right w:w="60" w:type="dxa"/>
            </w:tcMar>
          </w:tcPr>
          <w:p w14:paraId="28DFA854" w14:textId="77777777" w:rsidR="00AD2AC3" w:rsidRDefault="00000000">
            <w:pPr>
              <w:jc w:val="center"/>
            </w:pPr>
            <w:r>
              <w:rPr>
                <w:b/>
                <w:bCs/>
                <w:color w:val="1F3864"/>
                <w:sz w:val="26"/>
                <w:szCs w:val="26"/>
              </w:rPr>
              <w:t>5,000</w:t>
            </w:r>
          </w:p>
        </w:tc>
        <w:tc>
          <w:tcPr>
            <w:tcW w:w="1644" w:type="dxa"/>
            <w:tcBorders>
              <w:top w:val="single" w:sz="12" w:space="0" w:color="2E75B6"/>
              <w:left w:val="none" w:sz="0" w:space="0" w:color="FFFFFF"/>
              <w:bottom w:val="none" w:sz="0" w:space="0" w:color="FFFFFF"/>
              <w:right w:val="none" w:sz="0" w:space="0" w:color="FFFFFF"/>
            </w:tcBorders>
            <w:shd w:val="clear" w:color="auto" w:fill="F2F6FB"/>
            <w:tcMar>
              <w:top w:w="60" w:type="dxa"/>
              <w:left w:w="60" w:type="dxa"/>
              <w:bottom w:w="60" w:type="dxa"/>
              <w:right w:w="60" w:type="dxa"/>
            </w:tcMar>
          </w:tcPr>
          <w:p w14:paraId="274969E5" w14:textId="77777777" w:rsidR="00AD2AC3" w:rsidRDefault="00000000">
            <w:pPr>
              <w:jc w:val="center"/>
            </w:pPr>
            <w:r>
              <w:rPr>
                <w:b/>
                <w:bCs/>
                <w:color w:val="1F3864"/>
                <w:sz w:val="26"/>
                <w:szCs w:val="26"/>
              </w:rPr>
              <w:t>₦151.5K</w:t>
            </w:r>
          </w:p>
        </w:tc>
        <w:tc>
          <w:tcPr>
            <w:tcW w:w="1644" w:type="dxa"/>
            <w:tcBorders>
              <w:top w:val="single" w:sz="12" w:space="0" w:color="2E75B6"/>
              <w:left w:val="none" w:sz="0" w:space="0" w:color="FFFFFF"/>
              <w:bottom w:val="none" w:sz="0" w:space="0" w:color="FFFFFF"/>
              <w:right w:val="none" w:sz="0" w:space="0" w:color="FFFFFF"/>
            </w:tcBorders>
            <w:shd w:val="clear" w:color="auto" w:fill="F2F6FB"/>
            <w:tcMar>
              <w:top w:w="60" w:type="dxa"/>
              <w:left w:w="60" w:type="dxa"/>
              <w:bottom w:w="60" w:type="dxa"/>
              <w:right w:w="60" w:type="dxa"/>
            </w:tcMar>
          </w:tcPr>
          <w:p w14:paraId="467045B1" w14:textId="77777777" w:rsidR="00AD2AC3" w:rsidRDefault="00000000">
            <w:pPr>
              <w:jc w:val="center"/>
            </w:pPr>
            <w:r>
              <w:rPr>
                <w:b/>
                <w:bCs/>
                <w:color w:val="C00000"/>
                <w:sz w:val="26"/>
                <w:szCs w:val="26"/>
              </w:rPr>
              <w:t>4.9%</w:t>
            </w:r>
          </w:p>
        </w:tc>
        <w:tc>
          <w:tcPr>
            <w:tcW w:w="1644" w:type="dxa"/>
            <w:tcBorders>
              <w:top w:val="single" w:sz="12" w:space="0" w:color="2E75B6"/>
              <w:left w:val="none" w:sz="0" w:space="0" w:color="FFFFFF"/>
              <w:bottom w:val="none" w:sz="0" w:space="0" w:color="FFFFFF"/>
              <w:right w:val="none" w:sz="0" w:space="0" w:color="FFFFFF"/>
            </w:tcBorders>
            <w:shd w:val="clear" w:color="auto" w:fill="F2F6FB"/>
            <w:tcMar>
              <w:top w:w="60" w:type="dxa"/>
              <w:left w:w="60" w:type="dxa"/>
              <w:bottom w:w="60" w:type="dxa"/>
              <w:right w:w="60" w:type="dxa"/>
            </w:tcMar>
          </w:tcPr>
          <w:p w14:paraId="5C2E666C" w14:textId="77777777" w:rsidR="00AD2AC3" w:rsidRDefault="00000000">
            <w:pPr>
              <w:jc w:val="center"/>
            </w:pPr>
            <w:r>
              <w:rPr>
                <w:b/>
                <w:bCs/>
                <w:color w:val="1F3864"/>
                <w:sz w:val="26"/>
                <w:szCs w:val="26"/>
              </w:rPr>
              <w:t>₦3.17bn</w:t>
            </w:r>
          </w:p>
        </w:tc>
      </w:tr>
      <w:tr w:rsidR="00AD2AC3" w14:paraId="2B68DEAE" w14:textId="77777777">
        <w:tblPrEx>
          <w:tblCellMar>
            <w:top w:w="0" w:type="dxa"/>
            <w:bottom w:w="0" w:type="dxa"/>
          </w:tblCellMar>
        </w:tblPrEx>
        <w:tc>
          <w:tcPr>
            <w:tcW w:w="1644" w:type="dxa"/>
            <w:tcBorders>
              <w:top w:val="none" w:sz="0" w:space="0" w:color="FFFFFF"/>
              <w:left w:val="none" w:sz="0" w:space="0" w:color="FFFFFF"/>
              <w:bottom w:val="none" w:sz="0" w:space="0" w:color="FFFFFF"/>
              <w:right w:val="none" w:sz="0" w:space="0" w:color="FFFFFF"/>
            </w:tcBorders>
            <w:shd w:val="clear" w:color="auto" w:fill="F2F6FB"/>
            <w:tcMar>
              <w:top w:w="60" w:type="dxa"/>
              <w:left w:w="60" w:type="dxa"/>
              <w:bottom w:w="60" w:type="dxa"/>
              <w:right w:w="60" w:type="dxa"/>
            </w:tcMar>
          </w:tcPr>
          <w:p w14:paraId="0459CFC7" w14:textId="77777777" w:rsidR="00AD2AC3" w:rsidRDefault="00000000">
            <w:pPr>
              <w:jc w:val="center"/>
            </w:pPr>
            <w:r>
              <w:rPr>
                <w:color w:val="7F7F7F"/>
                <w:sz w:val="15"/>
                <w:szCs w:val="15"/>
              </w:rPr>
              <w:t>order value</w:t>
            </w:r>
          </w:p>
        </w:tc>
        <w:tc>
          <w:tcPr>
            <w:tcW w:w="1644" w:type="dxa"/>
            <w:tcBorders>
              <w:top w:val="none" w:sz="0" w:space="0" w:color="FFFFFF"/>
              <w:left w:val="none" w:sz="0" w:space="0" w:color="FFFFFF"/>
              <w:bottom w:val="none" w:sz="0" w:space="0" w:color="FFFFFF"/>
              <w:right w:val="none" w:sz="0" w:space="0" w:color="FFFFFF"/>
            </w:tcBorders>
            <w:shd w:val="clear" w:color="auto" w:fill="F2F6FB"/>
            <w:tcMar>
              <w:top w:w="60" w:type="dxa"/>
              <w:left w:w="60" w:type="dxa"/>
              <w:bottom w:w="60" w:type="dxa"/>
              <w:right w:w="60" w:type="dxa"/>
            </w:tcMar>
          </w:tcPr>
          <w:p w14:paraId="0484C476" w14:textId="77777777" w:rsidR="00AD2AC3" w:rsidRDefault="00000000">
            <w:pPr>
              <w:jc w:val="center"/>
            </w:pPr>
            <w:r>
              <w:rPr>
                <w:color w:val="7F7F7F"/>
                <w:sz w:val="15"/>
                <w:szCs w:val="15"/>
              </w:rPr>
              <w:t>orders</w:t>
            </w:r>
          </w:p>
        </w:tc>
        <w:tc>
          <w:tcPr>
            <w:tcW w:w="1644" w:type="dxa"/>
            <w:tcBorders>
              <w:top w:val="none" w:sz="0" w:space="0" w:color="FFFFFF"/>
              <w:left w:val="none" w:sz="0" w:space="0" w:color="FFFFFF"/>
              <w:bottom w:val="none" w:sz="0" w:space="0" w:color="FFFFFF"/>
              <w:right w:val="none" w:sz="0" w:space="0" w:color="FFFFFF"/>
            </w:tcBorders>
            <w:shd w:val="clear" w:color="auto" w:fill="F2F6FB"/>
            <w:tcMar>
              <w:top w:w="60" w:type="dxa"/>
              <w:left w:w="60" w:type="dxa"/>
              <w:bottom w:w="60" w:type="dxa"/>
              <w:right w:w="60" w:type="dxa"/>
            </w:tcMar>
          </w:tcPr>
          <w:p w14:paraId="74719B0F" w14:textId="77777777" w:rsidR="00AD2AC3" w:rsidRDefault="00000000">
            <w:pPr>
              <w:jc w:val="center"/>
            </w:pPr>
            <w:r>
              <w:rPr>
                <w:color w:val="7F7F7F"/>
                <w:sz w:val="15"/>
                <w:szCs w:val="15"/>
              </w:rPr>
              <w:t>customers</w:t>
            </w:r>
          </w:p>
        </w:tc>
        <w:tc>
          <w:tcPr>
            <w:tcW w:w="1644" w:type="dxa"/>
            <w:tcBorders>
              <w:top w:val="none" w:sz="0" w:space="0" w:color="FFFFFF"/>
              <w:left w:val="none" w:sz="0" w:space="0" w:color="FFFFFF"/>
              <w:bottom w:val="none" w:sz="0" w:space="0" w:color="FFFFFF"/>
              <w:right w:val="none" w:sz="0" w:space="0" w:color="FFFFFF"/>
            </w:tcBorders>
            <w:shd w:val="clear" w:color="auto" w:fill="F2F6FB"/>
            <w:tcMar>
              <w:top w:w="60" w:type="dxa"/>
              <w:left w:w="60" w:type="dxa"/>
              <w:bottom w:w="60" w:type="dxa"/>
              <w:right w:w="60" w:type="dxa"/>
            </w:tcMar>
          </w:tcPr>
          <w:p w14:paraId="4556977E" w14:textId="77777777" w:rsidR="00AD2AC3" w:rsidRDefault="00000000">
            <w:pPr>
              <w:jc w:val="center"/>
            </w:pPr>
            <w:r>
              <w:rPr>
                <w:color w:val="7F7F7F"/>
                <w:sz w:val="15"/>
                <w:szCs w:val="15"/>
              </w:rPr>
              <w:t>avg order</w:t>
            </w:r>
          </w:p>
        </w:tc>
        <w:tc>
          <w:tcPr>
            <w:tcW w:w="1644" w:type="dxa"/>
            <w:tcBorders>
              <w:top w:val="none" w:sz="0" w:space="0" w:color="FFFFFF"/>
              <w:left w:val="none" w:sz="0" w:space="0" w:color="FFFFFF"/>
              <w:bottom w:val="none" w:sz="0" w:space="0" w:color="FFFFFF"/>
              <w:right w:val="none" w:sz="0" w:space="0" w:color="FFFFFF"/>
            </w:tcBorders>
            <w:shd w:val="clear" w:color="auto" w:fill="F2F6FB"/>
            <w:tcMar>
              <w:top w:w="60" w:type="dxa"/>
              <w:left w:w="60" w:type="dxa"/>
              <w:bottom w:w="60" w:type="dxa"/>
              <w:right w:w="60" w:type="dxa"/>
            </w:tcMar>
          </w:tcPr>
          <w:p w14:paraId="25FE9F28" w14:textId="77777777" w:rsidR="00AD2AC3" w:rsidRDefault="00000000">
            <w:pPr>
              <w:jc w:val="center"/>
            </w:pPr>
            <w:r>
              <w:rPr>
                <w:color w:val="7F7F7F"/>
                <w:sz w:val="15"/>
                <w:szCs w:val="15"/>
              </w:rPr>
              <w:t>return rate</w:t>
            </w:r>
          </w:p>
        </w:tc>
        <w:tc>
          <w:tcPr>
            <w:tcW w:w="1644" w:type="dxa"/>
            <w:tcBorders>
              <w:top w:val="none" w:sz="0" w:space="0" w:color="FFFFFF"/>
              <w:left w:val="none" w:sz="0" w:space="0" w:color="FFFFFF"/>
              <w:bottom w:val="none" w:sz="0" w:space="0" w:color="FFFFFF"/>
              <w:right w:val="none" w:sz="0" w:space="0" w:color="FFFFFF"/>
            </w:tcBorders>
            <w:shd w:val="clear" w:color="auto" w:fill="F2F6FB"/>
            <w:tcMar>
              <w:top w:w="60" w:type="dxa"/>
              <w:left w:w="60" w:type="dxa"/>
              <w:bottom w:w="60" w:type="dxa"/>
              <w:right w:w="60" w:type="dxa"/>
            </w:tcMar>
          </w:tcPr>
          <w:p w14:paraId="342C87F7" w14:textId="77777777" w:rsidR="00AD2AC3" w:rsidRDefault="00000000">
            <w:pPr>
              <w:jc w:val="center"/>
            </w:pPr>
            <w:r>
              <w:rPr>
                <w:color w:val="7F7F7F"/>
                <w:sz w:val="15"/>
                <w:szCs w:val="15"/>
              </w:rPr>
              <w:t>inventory (cost)</w:t>
            </w:r>
          </w:p>
        </w:tc>
      </w:tr>
    </w:tbl>
    <w:p w14:paraId="71338BC7" w14:textId="77777777" w:rsidR="00AD2AC3" w:rsidRDefault="00AD2AC3">
      <w:pPr>
        <w:spacing w:after="60"/>
      </w:pPr>
    </w:p>
    <w:p w14:paraId="618657F0" w14:textId="77777777" w:rsidR="00AD2AC3" w:rsidRDefault="00000000">
      <w:pPr>
        <w:pStyle w:val="Heading2"/>
        <w:keepNext/>
        <w:spacing w:before="160" w:after="60"/>
      </w:pPr>
      <w:r>
        <w:rPr>
          <w:b/>
          <w:bCs/>
          <w:color w:val="2E75B6"/>
          <w:sz w:val="23"/>
          <w:szCs w:val="23"/>
        </w:rPr>
        <w:t>Three key findings</w:t>
      </w:r>
    </w:p>
    <w:p w14:paraId="79E87BC2" w14:textId="77777777" w:rsidR="00AD2AC3" w:rsidRDefault="00000000">
      <w:pPr>
        <w:spacing w:after="80" w:line="276" w:lineRule="auto"/>
      </w:pPr>
      <w:r>
        <w:rPr>
          <w:b/>
          <w:bCs/>
        </w:rPr>
        <w:t>1. Only a third of order value is completed.</w:t>
      </w:r>
      <w:r>
        <w:t xml:space="preserve"> Completed orders are 33.0% of value (₦2.50bn), Pending 33.3% (₦2.53bn) and Cancelled 33.7% (₦2.55bn). The ₦7.58bn headline counts all three, so cash </w:t>
      </w:r>
      <w:proofErr w:type="gramStart"/>
      <w:r>
        <w:t>actually secured</w:t>
      </w:r>
      <w:proofErr w:type="gramEnd"/>
      <w:r>
        <w:t xml:space="preserve"> is much lower.</w:t>
      </w:r>
    </w:p>
    <w:p w14:paraId="66E0BF0E" w14:textId="77777777" w:rsidR="00AD2AC3" w:rsidRDefault="00000000">
      <w:pPr>
        <w:spacing w:after="80" w:line="276" w:lineRule="auto"/>
      </w:pPr>
      <w:r>
        <w:rPr>
          <w:b/>
          <w:bCs/>
        </w:rPr>
        <w:t>2. Performance is remarkably even, so "best" is mostly about size.</w:t>
      </w:r>
      <w:r>
        <w:t xml:space="preserve"> All 25 stores sit within 6% of each other (₦294M–₦312M; best: </w:t>
      </w:r>
      <w:proofErr w:type="spellStart"/>
      <w:r>
        <w:t>ShopSmart</w:t>
      </w:r>
      <w:proofErr w:type="spellEnd"/>
      <w:r>
        <w:t xml:space="preserve"> Lagos STR015). Every region earns ₦300–305M per store, so South leads (₦2.42bn, 32%) only because it has 8 of the 25 stores. Monthly sales range ₦567M (Feb) to ₦661M (Dec) with no growth trend.</w:t>
      </w:r>
    </w:p>
    <w:p w14:paraId="570E6668" w14:textId="78556F20" w:rsidR="00AD2AC3" w:rsidRDefault="00000000">
      <w:pPr>
        <w:spacing w:after="80" w:line="276" w:lineRule="auto"/>
      </w:pPr>
      <w:r>
        <w:rPr>
          <w:b/>
          <w:bCs/>
        </w:rPr>
        <w:t>3. Beauty leads but also drives the most returns.</w:t>
      </w:r>
      <w:r>
        <w:t xml:space="preserve"> Beauty is the top category (₦1.76bn, 23.3%, most units and orders). It also has the most returns (600; 5.1% vs a 4.9% average). Late Delivery (26.0%) and Wrong Item (25.2%) cause half of all returns both are operational.</w:t>
      </w:r>
    </w:p>
    <w:p w14:paraId="5E7B9A51" w14:textId="77777777" w:rsidR="00AD2AC3" w:rsidRDefault="00000000">
      <w:pPr>
        <w:pStyle w:val="Heading2"/>
        <w:keepNext/>
        <w:spacing w:before="160" w:after="60"/>
      </w:pPr>
      <w:r>
        <w:rPr>
          <w:b/>
          <w:bCs/>
          <w:color w:val="2E75B6"/>
          <w:sz w:val="23"/>
          <w:szCs w:val="23"/>
        </w:rPr>
        <w:t>Three recommendations</w:t>
      </w:r>
    </w:p>
    <w:p w14:paraId="46DBFCE7" w14:textId="77777777" w:rsidR="00AD2AC3" w:rsidRDefault="00000000">
      <w:pPr>
        <w:spacing w:after="80" w:line="276" w:lineRule="auto"/>
      </w:pPr>
      <w:r>
        <w:rPr>
          <w:b/>
          <w:bCs/>
        </w:rPr>
        <w:t>1. Cut cancellations and clear the pending backlog.</w:t>
      </w:r>
      <w:r>
        <w:t xml:space="preserve"> Find out why a third of orders are cancelled and a third are still pending (payment failures, stock-outs, delivery?). Every 10</w:t>
      </w:r>
      <w:proofErr w:type="gramStart"/>
      <w:r>
        <w:t>% of</w:t>
      </w:r>
      <w:proofErr w:type="gramEnd"/>
      <w:r>
        <w:t xml:space="preserve"> cancelled value recovered is worth about ₦255M.</w:t>
      </w:r>
    </w:p>
    <w:p w14:paraId="0081FDD8" w14:textId="77777777" w:rsidR="00AD2AC3" w:rsidRDefault="00000000">
      <w:pPr>
        <w:spacing w:after="80" w:line="276" w:lineRule="auto"/>
      </w:pPr>
      <w:r>
        <w:rPr>
          <w:b/>
          <w:bCs/>
        </w:rPr>
        <w:t>2. Fix fulfilment errors to bring returns below 4%.</w:t>
      </w:r>
      <w:r>
        <w:t xml:space="preserve"> Target late delivery and wrong-item picking first, then the worst products (Home Item 263 at 11.6%, Beauty Item 262 at 11.4%, Beauty Item 443 at 10.9% return rates — about 2× the average).</w:t>
      </w:r>
    </w:p>
    <w:p w14:paraId="15F3E55E" w14:textId="77777777" w:rsidR="00AD2AC3" w:rsidRDefault="00000000">
      <w:pPr>
        <w:spacing w:after="80" w:line="276" w:lineRule="auto"/>
      </w:pPr>
      <w:r>
        <w:rPr>
          <w:b/>
          <w:bCs/>
        </w:rPr>
        <w:t>3. Invest in Beauty and Groceries, backed by tight replenishment.</w:t>
      </w:r>
      <w:r>
        <w:t xml:space="preserve"> Replenish the 21 SKUs at or below reorder level, starting with Port Harcourt (STR014) and Kaduna (STR006) and Home Item 212 (0.29× its reorder level). Since revenue per store is flat, growth will come from adding stores or lifting basket size rather than fixing individual stores.</w:t>
      </w:r>
    </w:p>
    <w:p w14:paraId="48B30CD5" w14:textId="77777777" w:rsidR="00AD2AC3" w:rsidRDefault="00000000">
      <w:pPr>
        <w:pStyle w:val="Heading2"/>
        <w:keepNext/>
        <w:spacing w:before="160" w:after="60"/>
      </w:pPr>
      <w:r>
        <w:rPr>
          <w:b/>
          <w:bCs/>
          <w:color w:val="2E75B6"/>
          <w:sz w:val="23"/>
          <w:szCs w:val="23"/>
        </w:rPr>
        <w:t>Risk identified</w:t>
      </w:r>
    </w:p>
    <w:p w14:paraId="180029E0" w14:textId="77777777" w:rsidR="00AD2AC3" w:rsidRDefault="00000000">
      <w:pPr>
        <w:spacing w:after="80" w:line="276" w:lineRule="auto"/>
      </w:pPr>
      <w:r>
        <w:rPr>
          <w:b/>
          <w:bCs/>
        </w:rPr>
        <w:t xml:space="preserve">The numbers management </w:t>
      </w:r>
      <w:proofErr w:type="gramStart"/>
      <w:r>
        <w:rPr>
          <w:b/>
          <w:bCs/>
        </w:rPr>
        <w:t>sees</w:t>
      </w:r>
      <w:proofErr w:type="gramEnd"/>
      <w:r>
        <w:rPr>
          <w:b/>
          <w:bCs/>
        </w:rPr>
        <w:t xml:space="preserve"> may be overstated and are built on weak records.</w:t>
      </w:r>
      <w:r>
        <w:t xml:space="preserve"> Discount (0–20) is subtracted as a flat ₦ amount; if it is a percentage, revenue is overstated by about ₦756M (≈10%). On top of that, 1,252 returns are dated before their order, and inventory is recorded for only one store per product while each product sells in about 25 stores. Targets or stock decisions based on these fields could be wrong until data capture is fixed.</w:t>
      </w:r>
    </w:p>
    <w:p w14:paraId="5953341D" w14:textId="77777777" w:rsidR="00AD2AC3" w:rsidRDefault="00000000">
      <w:pPr>
        <w:pStyle w:val="Heading2"/>
        <w:keepNext/>
        <w:spacing w:before="160" w:after="60"/>
      </w:pPr>
      <w:r>
        <w:rPr>
          <w:b/>
          <w:bCs/>
          <w:color w:val="2E75B6"/>
          <w:sz w:val="23"/>
          <w:szCs w:val="23"/>
        </w:rPr>
        <w:t>Opportunity identified</w:t>
      </w:r>
    </w:p>
    <w:p w14:paraId="68033026" w14:textId="77777777" w:rsidR="00AD2AC3" w:rsidRDefault="00000000">
      <w:pPr>
        <w:spacing w:after="80" w:line="276" w:lineRule="auto"/>
      </w:pPr>
      <w:r>
        <w:rPr>
          <w:b/>
          <w:bCs/>
        </w:rPr>
        <w:t xml:space="preserve">Loyalty tiers are not changing </w:t>
      </w:r>
      <w:proofErr w:type="spellStart"/>
      <w:r>
        <w:rPr>
          <w:b/>
          <w:bCs/>
        </w:rPr>
        <w:t>behaviour</w:t>
      </w:r>
      <w:proofErr w:type="spellEnd"/>
      <w:r>
        <w:rPr>
          <w:b/>
          <w:bCs/>
        </w:rPr>
        <w:t>.</w:t>
      </w:r>
      <w:r>
        <w:t xml:space="preserve"> Gold customers generate ₦2.57bn versus Bronze ₦2.46bn, a gap of only 4%, and the top 10 customers account for just 0.5% of revenue. Redesigning the </w:t>
      </w:r>
      <w:proofErr w:type="spellStart"/>
      <w:r>
        <w:t>programme</w:t>
      </w:r>
      <w:proofErr w:type="spellEnd"/>
      <w:r>
        <w:t xml:space="preserve"> to reward higher basket value and visit frequency (for example, spend-based thresholds and Beauty/Groceries bundles) is an untapped lever across a base of 5,000 customers who already order about 10 times a year.</w:t>
      </w:r>
    </w:p>
    <w:p w14:paraId="5D5B060F" w14:textId="00951671" w:rsidR="00AD2AC3" w:rsidRDefault="00AD2AC3">
      <w:pPr>
        <w:spacing w:before="60" w:after="80"/>
      </w:pPr>
    </w:p>
    <w:sectPr w:rsidR="00AD2AC3">
      <w:footerReference w:type="default" r:id="rId7"/>
      <w:pgSz w:w="11906" w:h="16838"/>
      <w:pgMar w:top="850" w:right="907" w:bottom="850" w:left="907"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CE115D" w14:textId="77777777" w:rsidR="00F121AF" w:rsidRDefault="00F121AF">
      <w:r>
        <w:separator/>
      </w:r>
    </w:p>
  </w:endnote>
  <w:endnote w:type="continuationSeparator" w:id="0">
    <w:p w14:paraId="3747FE3B" w14:textId="77777777" w:rsidR="00F121AF" w:rsidRDefault="00F121A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AB745E" w14:textId="77777777" w:rsidR="00AD2AC3" w:rsidRDefault="00000000">
    <w:pPr>
      <w:jc w:val="right"/>
    </w:pPr>
    <w:proofErr w:type="spellStart"/>
    <w:r>
      <w:rPr>
        <w:color w:val="595959"/>
        <w:sz w:val="14"/>
        <w:szCs w:val="14"/>
      </w:rPr>
      <w:t>ShopSmart</w:t>
    </w:r>
    <w:proofErr w:type="spellEnd"/>
    <w:r>
      <w:rPr>
        <w:color w:val="595959"/>
        <w:sz w:val="14"/>
        <w:szCs w:val="14"/>
      </w:rPr>
      <w:t xml:space="preserve"> Business </w:t>
    </w:r>
    <w:proofErr w:type="gramStart"/>
    <w:r>
      <w:rPr>
        <w:color w:val="595959"/>
        <w:sz w:val="14"/>
        <w:szCs w:val="14"/>
      </w:rPr>
      <w:t>Report  ·</w:t>
    </w:r>
    <w:proofErr w:type="gramEnd"/>
    <w:r>
      <w:rPr>
        <w:color w:val="595959"/>
        <w:sz w:val="14"/>
        <w:szCs w:val="14"/>
      </w:rPr>
      <w:t xml:space="preserve">  Page </w:t>
    </w:r>
    <w:r>
      <w:rPr>
        <w:color w:val="595959"/>
        <w:sz w:val="14"/>
        <w:szCs w:val="14"/>
      </w:rPr>
      <w:fldChar w:fldCharType="begin"/>
    </w:r>
    <w:r>
      <w:rPr>
        <w:color w:val="595959"/>
        <w:sz w:val="14"/>
        <w:szCs w:val="14"/>
      </w:rPr>
      <w:instrText>PAGE</w:instrText>
    </w:r>
    <w:r>
      <w:rPr>
        <w:color w:val="595959"/>
        <w:sz w:val="14"/>
        <w:szCs w:val="14"/>
      </w:rPr>
      <w:fldChar w:fldCharType="separate"/>
    </w:r>
    <w:r w:rsidR="002E1476">
      <w:rPr>
        <w:noProof/>
        <w:color w:val="595959"/>
        <w:sz w:val="14"/>
        <w:szCs w:val="14"/>
      </w:rPr>
      <w:t>1</w:t>
    </w:r>
    <w:r>
      <w:rPr>
        <w:color w:val="595959"/>
        <w:sz w:val="14"/>
        <w:szCs w:val="1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0E2BDB" w14:textId="77777777" w:rsidR="00F121AF" w:rsidRDefault="00F121AF">
      <w:r>
        <w:separator/>
      </w:r>
    </w:p>
  </w:footnote>
  <w:footnote w:type="continuationSeparator" w:id="0">
    <w:p w14:paraId="049A32B3" w14:textId="77777777" w:rsidR="00F121AF" w:rsidRDefault="00F121A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B67E19"/>
    <w:multiLevelType w:val="hybridMultilevel"/>
    <w:tmpl w:val="B25CEB50"/>
    <w:lvl w:ilvl="0" w:tplc="1E005E1E">
      <w:start w:val="1"/>
      <w:numFmt w:val="bullet"/>
      <w:lvlText w:val="•"/>
      <w:lvlJc w:val="left"/>
      <w:pPr>
        <w:ind w:left="360" w:hanging="220"/>
      </w:pPr>
    </w:lvl>
    <w:lvl w:ilvl="1" w:tplc="343C3A0A">
      <w:numFmt w:val="decimal"/>
      <w:lvlText w:val=""/>
      <w:lvlJc w:val="left"/>
    </w:lvl>
    <w:lvl w:ilvl="2" w:tplc="F9B2AF2C">
      <w:numFmt w:val="decimal"/>
      <w:lvlText w:val=""/>
      <w:lvlJc w:val="left"/>
    </w:lvl>
    <w:lvl w:ilvl="3" w:tplc="9D0AFE50">
      <w:numFmt w:val="decimal"/>
      <w:lvlText w:val=""/>
      <w:lvlJc w:val="left"/>
    </w:lvl>
    <w:lvl w:ilvl="4" w:tplc="E424C9CE">
      <w:numFmt w:val="decimal"/>
      <w:lvlText w:val=""/>
      <w:lvlJc w:val="left"/>
    </w:lvl>
    <w:lvl w:ilvl="5" w:tplc="A1C44CC2">
      <w:numFmt w:val="decimal"/>
      <w:lvlText w:val=""/>
      <w:lvlJc w:val="left"/>
    </w:lvl>
    <w:lvl w:ilvl="6" w:tplc="02C0FBD2">
      <w:numFmt w:val="decimal"/>
      <w:lvlText w:val=""/>
      <w:lvlJc w:val="left"/>
    </w:lvl>
    <w:lvl w:ilvl="7" w:tplc="3CE47F6E">
      <w:numFmt w:val="decimal"/>
      <w:lvlText w:val=""/>
      <w:lvlJc w:val="left"/>
    </w:lvl>
    <w:lvl w:ilvl="8" w:tplc="20ACBB60">
      <w:numFmt w:val="decimal"/>
      <w:lvlText w:val=""/>
      <w:lvlJc w:val="left"/>
    </w:lvl>
  </w:abstractNum>
  <w:abstractNum w:abstractNumId="1" w15:restartNumberingAfterBreak="0">
    <w:nsid w:val="2EEB30FE"/>
    <w:multiLevelType w:val="hybridMultilevel"/>
    <w:tmpl w:val="D9448C48"/>
    <w:lvl w:ilvl="0" w:tplc="129408C6">
      <w:start w:val="1"/>
      <w:numFmt w:val="bullet"/>
      <w:lvlText w:val="●"/>
      <w:lvlJc w:val="left"/>
      <w:pPr>
        <w:ind w:left="720" w:hanging="360"/>
      </w:pPr>
    </w:lvl>
    <w:lvl w:ilvl="1" w:tplc="10025968">
      <w:start w:val="1"/>
      <w:numFmt w:val="bullet"/>
      <w:lvlText w:val="○"/>
      <w:lvlJc w:val="left"/>
      <w:pPr>
        <w:ind w:left="1440" w:hanging="360"/>
      </w:pPr>
    </w:lvl>
    <w:lvl w:ilvl="2" w:tplc="7ED6745A">
      <w:start w:val="1"/>
      <w:numFmt w:val="bullet"/>
      <w:lvlText w:val="■"/>
      <w:lvlJc w:val="left"/>
      <w:pPr>
        <w:ind w:left="2160" w:hanging="360"/>
      </w:pPr>
    </w:lvl>
    <w:lvl w:ilvl="3" w:tplc="0F5A46DE">
      <w:start w:val="1"/>
      <w:numFmt w:val="bullet"/>
      <w:lvlText w:val="●"/>
      <w:lvlJc w:val="left"/>
      <w:pPr>
        <w:ind w:left="2880" w:hanging="360"/>
      </w:pPr>
    </w:lvl>
    <w:lvl w:ilvl="4" w:tplc="0694B2C0">
      <w:start w:val="1"/>
      <w:numFmt w:val="bullet"/>
      <w:lvlText w:val="○"/>
      <w:lvlJc w:val="left"/>
      <w:pPr>
        <w:ind w:left="3600" w:hanging="360"/>
      </w:pPr>
    </w:lvl>
    <w:lvl w:ilvl="5" w:tplc="E126ECFC">
      <w:start w:val="1"/>
      <w:numFmt w:val="bullet"/>
      <w:lvlText w:val="■"/>
      <w:lvlJc w:val="left"/>
      <w:pPr>
        <w:ind w:left="4320" w:hanging="360"/>
      </w:pPr>
    </w:lvl>
    <w:lvl w:ilvl="6" w:tplc="179AAEC6">
      <w:start w:val="1"/>
      <w:numFmt w:val="bullet"/>
      <w:lvlText w:val="●"/>
      <w:lvlJc w:val="left"/>
      <w:pPr>
        <w:ind w:left="5040" w:hanging="360"/>
      </w:pPr>
    </w:lvl>
    <w:lvl w:ilvl="7" w:tplc="6D92DC34">
      <w:start w:val="1"/>
      <w:numFmt w:val="bullet"/>
      <w:lvlText w:val="●"/>
      <w:lvlJc w:val="left"/>
      <w:pPr>
        <w:ind w:left="5760" w:hanging="360"/>
      </w:pPr>
    </w:lvl>
    <w:lvl w:ilvl="8" w:tplc="3F60AD88">
      <w:start w:val="1"/>
      <w:numFmt w:val="bullet"/>
      <w:lvlText w:val="●"/>
      <w:lvlJc w:val="left"/>
      <w:pPr>
        <w:ind w:left="6480" w:hanging="360"/>
      </w:pPr>
    </w:lvl>
  </w:abstractNum>
  <w:num w:numId="1" w16cid:durableId="202423570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2AC3"/>
    <w:rsid w:val="002E1476"/>
    <w:rsid w:val="00AD2AC3"/>
    <w:rsid w:val="00D4220E"/>
    <w:rsid w:val="00F121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2D7CD3"/>
  <w15:docId w15:val="{DDB8B61C-7AE7-4612-8E3E-57F3559A7F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435</Words>
  <Characters>2480</Characters>
  <Application>Microsoft Office Word</Application>
  <DocSecurity>0</DocSecurity>
  <Lines>20</Lines>
  <Paragraphs>5</Paragraphs>
  <ScaleCrop>false</ScaleCrop>
  <Company/>
  <LinksUpToDate>false</LinksUpToDate>
  <CharactersWithSpaces>2910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ShopSmart Business Report</dc:title>
  <dc:creator>Kgothatso Molete</dc:creator>
  <cp:lastModifiedBy>Thatohatsi Molete</cp:lastModifiedBy>
  <cp:revision>2</cp:revision>
  <dcterms:created xsi:type="dcterms:W3CDTF">2026-10-19T20:53:00Z</dcterms:created>
  <dcterms:modified xsi:type="dcterms:W3CDTF">2026-10-20T16:51:00Z</dcterms:modified>
</cp:coreProperties>
</file>