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2E1A"/>
          <w:sz w:val="36"/>
          <w:szCs w:val="36"/>
        </w:rPr>
        <w:t xml:space="preserve">Booking Confirmation &amp; Payment Terms</w:t>
      </w:r>
    </w:p>
    <w:p>
      <w:pPr>
        <w:spacing w:after="400"/>
      </w:pPr>
      <w:r>
        <w:rPr>
          <w:rFonts w:ascii="Arial" w:cs="Arial" w:eastAsia="Arial" w:hAnsi="Arial"/>
          <w:color w:val="666666"/>
          <w:sz w:val="24"/>
          <w:szCs w:val="24"/>
        </w:rPr>
        <w:t xml:space="preserve">September 2026 Golf Itinerary — Mallorca</w:t>
      </w:r>
    </w:p>
    <w:p>
      <w:pPr>
        <w:pStyle w:val="Heading1"/>
      </w:pPr>
      <w:r>
        <w:rPr>
          <w:color w:val="1A2E1A"/>
        </w:rPr>
        <w:t xml:space="preserve">Your Itinerary</w:t>
      </w:r>
    </w:p>
    <w:p>
      <w:pPr>
        <w:spacing w:after="160"/>
      </w:pPr>
      <w:r>
        <w:t xml:space="preserve">Seven rounds across Mallorca's finest courses, all tee times booked directly with each club.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600"/>
        <w:gridCol w:w="1300"/>
        <w:gridCol w:w="1326"/>
      </w:tblGrid>
      <w:tr>
        <w:trPr>
          <w:tblHeader/>
        </w:trPr>
        <w:tc>
          <w:tcPr>
            <w:tcW w:type="dxa" w:w="1800"/>
            <w:tcBorders>
              <w:top w:val="single" w:color="CCCCCC" w:sz="1"/>
              <w:left w:val="single" w:color="CCCCCC" w:sz="1"/>
              <w:bottom w:val="single" w:color="CCCCCC" w:sz="1"/>
              <w:right w:val="single" w:color="CCCCCC" w:sz="1"/>
            </w:tcBorders>
            <w:shd w:fill="2E4A2E" w:val="clear"/>
            <w:tcMar>
              <w:top w:type="dxa" w:w="80"/>
              <w:left w:type="dxa" w:w="120"/>
              <w:bottom w:type="dxa" w:w="80"/>
              <w:right w:type="dxa" w:w="120"/>
            </w:tcMar>
            <w:vAlign w:val="center"/>
          </w:tcPr>
          <w:p>
            <w:pPr>
              <w:jc w:val="left"/>
            </w:pPr>
            <w:r>
              <w:rPr>
                <w:b/>
                <w:bCs/>
                <w:color w:val="FFFFFF"/>
                <w:sz w:val="20"/>
                <w:szCs w:val="20"/>
              </w:rPr>
              <w:t xml:space="preserve">Date</w:t>
            </w:r>
          </w:p>
        </w:tc>
        <w:tc>
          <w:tcPr>
            <w:tcW w:type="dxa" w:w="3000"/>
            <w:tcBorders>
              <w:top w:val="single" w:color="CCCCCC" w:sz="1"/>
              <w:left w:val="single" w:color="CCCCCC" w:sz="1"/>
              <w:bottom w:val="single" w:color="CCCCCC" w:sz="1"/>
              <w:right w:val="single" w:color="CCCCCC" w:sz="1"/>
            </w:tcBorders>
            <w:shd w:fill="2E4A2E" w:val="clear"/>
            <w:tcMar>
              <w:top w:type="dxa" w:w="80"/>
              <w:left w:type="dxa" w:w="120"/>
              <w:bottom w:type="dxa" w:w="80"/>
              <w:right w:type="dxa" w:w="120"/>
            </w:tcMar>
            <w:vAlign w:val="center"/>
          </w:tcPr>
          <w:p>
            <w:pPr>
              <w:jc w:val="left"/>
            </w:pPr>
            <w:r>
              <w:rPr>
                <w:b/>
                <w:bCs/>
                <w:color w:val="FFFFFF"/>
                <w:sz w:val="20"/>
                <w:szCs w:val="20"/>
              </w:rPr>
              <w:t xml:space="preserve">Course</w:t>
            </w:r>
          </w:p>
        </w:tc>
        <w:tc>
          <w:tcPr>
            <w:tcW w:type="dxa" w:w="1600"/>
            <w:tcBorders>
              <w:top w:val="single" w:color="CCCCCC" w:sz="1"/>
              <w:left w:val="single" w:color="CCCCCC" w:sz="1"/>
              <w:bottom w:val="single" w:color="CCCCCC" w:sz="1"/>
              <w:right w:val="single" w:color="CCCCCC" w:sz="1"/>
            </w:tcBorders>
            <w:shd w:fill="2E4A2E" w:val="clear"/>
            <w:tcMar>
              <w:top w:type="dxa" w:w="80"/>
              <w:left w:type="dxa" w:w="120"/>
              <w:bottom w:type="dxa" w:w="80"/>
              <w:right w:type="dxa" w:w="120"/>
            </w:tcMar>
            <w:vAlign w:val="center"/>
          </w:tcPr>
          <w:p>
            <w:pPr>
              <w:jc w:val="left"/>
            </w:pPr>
            <w:r>
              <w:rPr>
                <w:b/>
                <w:bCs/>
                <w:color w:val="FFFFFF"/>
                <w:sz w:val="20"/>
                <w:szCs w:val="20"/>
              </w:rPr>
              <w:t xml:space="preserve">Tee Time</w:t>
            </w:r>
          </w:p>
        </w:tc>
        <w:tc>
          <w:tcPr>
            <w:tcW w:type="dxa" w:w="1300"/>
            <w:tcBorders>
              <w:top w:val="single" w:color="CCCCCC" w:sz="1"/>
              <w:left w:val="single" w:color="CCCCCC" w:sz="1"/>
              <w:bottom w:val="single" w:color="CCCCCC" w:sz="1"/>
              <w:right w:val="single" w:color="CCCCCC" w:sz="1"/>
            </w:tcBorders>
            <w:shd w:fill="2E4A2E" w:val="clear"/>
            <w:tcMar>
              <w:top w:type="dxa" w:w="80"/>
              <w:left w:type="dxa" w:w="120"/>
              <w:bottom w:type="dxa" w:w="80"/>
              <w:right w:type="dxa" w:w="120"/>
            </w:tcMar>
            <w:vAlign w:val="center"/>
          </w:tcPr>
          <w:p>
            <w:pPr>
              <w:jc w:val="left"/>
            </w:pPr>
            <w:r>
              <w:rPr>
                <w:b/>
                <w:bCs/>
                <w:color w:val="FFFFFF"/>
                <w:sz w:val="20"/>
                <w:szCs w:val="20"/>
              </w:rPr>
              <w:t xml:space="preserve">Players</w:t>
            </w:r>
          </w:p>
        </w:tc>
        <w:tc>
          <w:tcPr>
            <w:tcW w:type="dxa" w:w="1326"/>
            <w:tcBorders>
              <w:top w:val="single" w:color="CCCCCC" w:sz="1"/>
              <w:left w:val="single" w:color="CCCCCC" w:sz="1"/>
              <w:bottom w:val="single" w:color="CCCCCC" w:sz="1"/>
              <w:right w:val="single" w:color="CCCCCC" w:sz="1"/>
            </w:tcBorders>
            <w:shd w:fill="2E4A2E" w:val="clear"/>
            <w:tcMar>
              <w:top w:type="dxa" w:w="80"/>
              <w:left w:type="dxa" w:w="120"/>
              <w:bottom w:type="dxa" w:w="80"/>
              <w:right w:type="dxa" w:w="120"/>
            </w:tcMar>
            <w:vAlign w:val="center"/>
          </w:tcPr>
          <w:p>
            <w:pPr>
              <w:jc w:val="left"/>
            </w:pPr>
            <w:r>
              <w:rPr>
                <w:b/>
                <w:bCs/>
                <w:color w:val="FFFFFF"/>
                <w:sz w:val="20"/>
                <w:szCs w:val="20"/>
              </w:rPr>
              <w:t xml:space="preserve">Buggies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Fri 26 Sep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Son Servera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09:10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r>
      <w:tr>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sz w:val="20"/>
                <w:szCs w:val="20"/>
              </w:rPr>
              <w:t xml:space="preserve">Sat 27 Sep</w:t>
            </w:r>
          </w:p>
        </w:tc>
        <w:tc>
          <w:tcPr>
            <w:tcW w:type="dxa" w:w="3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sz w:val="20"/>
                <w:szCs w:val="20"/>
              </w:rPr>
              <w:t xml:space="preserve">Pula Golf</w:t>
            </w:r>
          </w:p>
        </w:tc>
        <w:tc>
          <w:tcPr>
            <w:tcW w:type="dxa" w:w="16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sz w:val="20"/>
                <w:szCs w:val="20"/>
              </w:rPr>
              <w:t xml:space="preserve">09:33</w:t>
            </w:r>
          </w:p>
        </w:tc>
        <w:tc>
          <w:tcPr>
            <w:tcW w:type="dxa" w:w="13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sz w:val="20"/>
                <w:szCs w:val="20"/>
              </w:rPr>
              <w:t xml:space="preserve">3</w:t>
            </w:r>
          </w:p>
        </w:tc>
        <w:tc>
          <w:tcPr>
            <w:tcW w:type="dxa" w:w="1326"/>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sz w:val="20"/>
                <w:szCs w:val="20"/>
              </w:rPr>
              <w:t xml:space="preserve">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Sun 28 Sep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Capdepera Golf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09:45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r>
      <w:tr>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sz w:val="20"/>
                <w:szCs w:val="20"/>
              </w:rPr>
              <w:t xml:space="preserve">Mon 29 Sep</w:t>
            </w:r>
          </w:p>
        </w:tc>
        <w:tc>
          <w:tcPr>
            <w:tcW w:type="dxa" w:w="3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sz w:val="20"/>
                <w:szCs w:val="20"/>
              </w:rPr>
              <w:t xml:space="preserve">Son Gual</w:t>
            </w:r>
          </w:p>
        </w:tc>
        <w:tc>
          <w:tcPr>
            <w:tcW w:type="dxa" w:w="16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sz w:val="20"/>
                <w:szCs w:val="20"/>
              </w:rPr>
              <w:t xml:space="preserve">10:00</w:t>
            </w:r>
          </w:p>
        </w:tc>
        <w:tc>
          <w:tcPr>
            <w:tcW w:type="dxa" w:w="13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sz w:val="20"/>
                <w:szCs w:val="20"/>
              </w:rPr>
              <w:t xml:space="preserve">3</w:t>
            </w:r>
          </w:p>
        </w:tc>
        <w:tc>
          <w:tcPr>
            <w:tcW w:type="dxa" w:w="1326"/>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sz w:val="20"/>
                <w:szCs w:val="20"/>
              </w:rPr>
              <w:t xml:space="preserve">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Wed 1 Oct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Vall d'Or Golf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r>
      <w:tr>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sz w:val="20"/>
                <w:szCs w:val="20"/>
              </w:rPr>
              <w:t xml:space="preserve">Thu 2 Oct</w:t>
            </w:r>
          </w:p>
        </w:tc>
        <w:tc>
          <w:tcPr>
            <w:tcW w:type="dxa" w:w="3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sz w:val="20"/>
                <w:szCs w:val="20"/>
              </w:rPr>
              <w:t xml:space="preserve">Canyamel Golf</w:t>
            </w:r>
          </w:p>
        </w:tc>
        <w:tc>
          <w:tcPr>
            <w:tcW w:type="dxa" w:w="16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sz w:val="20"/>
                <w:szCs w:val="20"/>
              </w:rPr>
              <w:t xml:space="preserve">09:50</w:t>
            </w:r>
          </w:p>
        </w:tc>
        <w:tc>
          <w:tcPr>
            <w:tcW w:type="dxa" w:w="13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sz w:val="20"/>
                <w:szCs w:val="20"/>
              </w:rPr>
              <w:t xml:space="preserve">3</w:t>
            </w:r>
          </w:p>
        </w:tc>
        <w:tc>
          <w:tcPr>
            <w:tcW w:type="dxa" w:w="1326"/>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sz w:val="20"/>
                <w:szCs w:val="20"/>
              </w:rPr>
              <w:t xml:space="preserve">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Fri 3 Oct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Club de Golf Alcanada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10:12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r>
    </w:tbl>
    <w:p>
      <w:pPr>
        <w:spacing w:after="320"/>
      </w:pPr>
    </w:p>
    <w:p>
      <w:pPr>
        <w:pStyle w:val="Heading1"/>
      </w:pPr>
      <w:r>
        <w:rPr>
          <w:color w:val="1A2E1A"/>
        </w:rPr>
        <w:t xml:space="preserve">Pricing Summary</w:t>
      </w:r>
    </w:p>
    <w:p>
      <w:pPr>
        <w:spacing w:after="160"/>
      </w:pPr>
      <w:r>
        <w:t xml:space="preserve">The total below covers green fees at contracted rates, buggy hire across all seven rounds, compulsory course extras (insurance licences where applicable), and a 5% management fee for itinerary planning, direct booking, and on-trip coordination.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CCCCCC" w:sz="1"/>
              <w:left w:val="single" w:color="CCCCCC" w:sz="1"/>
              <w:bottom w:val="single" w:color="CCCCCC" w:sz="1"/>
              <w:right w:val="single" w:color="CCCCCC" w:sz="1"/>
            </w:tcBorders>
            <w:shd w:fill="2E4A2E" w:val="clear"/>
            <w:tcMar>
              <w:top w:type="dxa" w:w="80"/>
              <w:left w:type="dxa" w:w="120"/>
              <w:bottom w:type="dxa" w:w="80"/>
              <w:right w:type="dxa" w:w="120"/>
            </w:tcMar>
            <w:vAlign w:val="center"/>
          </w:tcPr>
          <w:p>
            <w:pPr>
              <w:jc w:val="left"/>
            </w:pPr>
            <w:r>
              <w:rPr>
                <w:b/>
                <w:bCs/>
                <w:color w:val="FFFFFF"/>
                <w:sz w:val="20"/>
                <w:szCs w:val="20"/>
              </w:rPr>
              <w:t xml:space="preserve">Item</w:t>
            </w:r>
          </w:p>
        </w:tc>
        <w:tc>
          <w:tcPr>
            <w:tcW w:type="dxa" w:w="3026"/>
            <w:tcBorders>
              <w:top w:val="single" w:color="CCCCCC" w:sz="1"/>
              <w:left w:val="single" w:color="CCCCCC" w:sz="1"/>
              <w:bottom w:val="single" w:color="CCCCCC" w:sz="1"/>
              <w:right w:val="single" w:color="CCCCCC" w:sz="1"/>
            </w:tcBorders>
            <w:shd w:fill="2E4A2E" w:val="clear"/>
            <w:tcMar>
              <w:top w:type="dxa" w:w="80"/>
              <w:left w:type="dxa" w:w="120"/>
              <w:bottom w:type="dxa" w:w="80"/>
              <w:right w:type="dxa" w:w="120"/>
            </w:tcMar>
            <w:vAlign w:val="center"/>
          </w:tcPr>
          <w:p>
            <w:pPr>
              <w:jc w:val="left"/>
            </w:pPr>
            <w:r>
              <w:rPr>
                <w:b/>
                <w:bCs/>
                <w:color w:val="FFFFFF"/>
                <w:sz w:val="20"/>
                <w:szCs w:val="20"/>
              </w:rPr>
              <w:t xml:space="preserve">Amount</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Green fees (7 rounds, 3 players, incl. buggies)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6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sz w:val="20"/>
                <w:szCs w:val="20"/>
              </w:rPr>
              <w:t xml:space="preserve">Compulsory extras (course insurance licences etc.)</w:t>
            </w:r>
          </w:p>
        </w:tc>
        <w:tc>
          <w:tcPr>
            <w:tcW w:type="dxa" w:w="3026"/>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sz w:val="20"/>
                <w:szCs w:val="20"/>
              </w:rPr>
              <w:t xml:space="preserve">At cost</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 Management fee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Included in total</w:t>
            </w:r>
          </w:p>
        </w:tc>
      </w:tr>
      <w:tr>
        <w:tc>
          <w:tcPr>
            <w:tcW w:type="dxa" w:w="6000"/>
            <w:tcBorders>
              <w:top w:val="single" w:color="CCCCCC" w:sz="1"/>
              <w:left w:val="single" w:color="CCCCCC" w:sz="1"/>
              <w:bottom w:val="single" w:color="CCCCCC" w:sz="1"/>
              <w:right w:val="single" w:color="CCCCCC" w:sz="1"/>
            </w:tcBorders>
            <w:shd w:fill="2E4A2E" w:val="clear"/>
            <w:tcMar>
              <w:top w:type="dxa" w:w="80"/>
              <w:left w:type="dxa" w:w="120"/>
              <w:bottom w:type="dxa" w:w="80"/>
              <w:right w:type="dxa" w:w="120"/>
            </w:tcMar>
          </w:tcPr>
          <w:p>
            <w:r>
              <w:rPr>
                <w:b/>
                <w:bCs/>
                <w:color w:val="FFFFFF"/>
                <w:sz w:val="22"/>
                <w:szCs w:val="22"/>
              </w:rPr>
              <w:t xml:space="preserve">Total (3 players, 7 rounds)</w:t>
            </w:r>
          </w:p>
        </w:tc>
        <w:tc>
          <w:tcPr>
            <w:tcW w:type="dxa" w:w="3026"/>
            <w:tcBorders>
              <w:top w:val="single" w:color="CCCCCC" w:sz="1"/>
              <w:left w:val="single" w:color="CCCCCC" w:sz="1"/>
              <w:bottom w:val="single" w:color="CCCCCC" w:sz="1"/>
              <w:right w:val="single" w:color="CCCCCC" w:sz="1"/>
            </w:tcBorders>
            <w:shd w:fill="2E4A2E" w:val="clear"/>
            <w:tcMar>
              <w:top w:type="dxa" w:w="80"/>
              <w:left w:type="dxa" w:w="120"/>
              <w:bottom w:type="dxa" w:w="80"/>
              <w:right w:type="dxa" w:w="120"/>
            </w:tcMar>
          </w:tcPr>
          <w:p>
            <w:r>
              <w:rPr>
                <w:b/>
                <w:bCs/>
                <w:color w:val="FFFFFF"/>
                <w:sz w:val="22"/>
                <w:szCs w:val="22"/>
              </w:rPr>
              <w:t xml:space="preserve">€4,000 (confirm on invoice)</w:t>
            </w:r>
          </w:p>
        </w:tc>
      </w:tr>
    </w:tbl>
    <w:p>
      <w:pPr>
        <w:spacing w:after="80"/>
      </w:pPr>
    </w:p>
    <w:p>
      <w:pPr>
        <w:spacing w:after="320"/>
      </w:pPr>
      <w:r>
        <w:rPr>
          <w:b/>
          <w:bCs/>
        </w:rPr>
        <w:t xml:space="preserve">Note: </w:t>
      </w:r>
      <w:r>
        <w:t xml:space="preserve">Final itemised invoice issued on confirmation. Green fee figure is confirmed once all course bookings are locked in.</w:t>
      </w:r>
    </w:p>
    <w:p>
      <w:pPr>
        <w:pStyle w:val="Heading1"/>
      </w:pPr>
      <w:r>
        <w:rPr>
          <w:color w:val="1A2E1A"/>
        </w:rPr>
        <w:t xml:space="preserve">Payment Schedule</w:t>
      </w:r>
    </w:p>
    <w:p>
      <w:pPr>
        <w:spacing w:after="160"/>
      </w:pPr>
      <w:r>
        <w:t xml:space="preserve">Tee times are held but not confirmed until the deposit is received. Nothing is secured until payment clears.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CCCCCC" w:sz="1"/>
              <w:left w:val="single" w:color="CCCCCC" w:sz="1"/>
              <w:bottom w:val="single" w:color="CCCCCC" w:sz="1"/>
              <w:right w:val="single" w:color="CCCCCC" w:sz="1"/>
            </w:tcBorders>
            <w:shd w:fill="2E4A2E" w:val="clear"/>
            <w:tcMar>
              <w:top w:type="dxa" w:w="80"/>
              <w:left w:type="dxa" w:w="120"/>
              <w:bottom w:type="dxa" w:w="80"/>
              <w:right w:type="dxa" w:w="120"/>
            </w:tcMar>
            <w:vAlign w:val="center"/>
          </w:tcPr>
          <w:p>
            <w:pPr>
              <w:jc w:val="left"/>
            </w:pPr>
            <w:r>
              <w:rPr>
                <w:b/>
                <w:bCs/>
                <w:color w:val="FFFFFF"/>
                <w:sz w:val="20"/>
                <w:szCs w:val="20"/>
              </w:rPr>
              <w:t xml:space="preserve">Payment</w:t>
            </w:r>
          </w:p>
        </w:tc>
        <w:tc>
          <w:tcPr>
            <w:tcW w:type="dxa" w:w="2800"/>
            <w:tcBorders>
              <w:top w:val="single" w:color="CCCCCC" w:sz="1"/>
              <w:left w:val="single" w:color="CCCCCC" w:sz="1"/>
              <w:bottom w:val="single" w:color="CCCCCC" w:sz="1"/>
              <w:right w:val="single" w:color="CCCCCC" w:sz="1"/>
            </w:tcBorders>
            <w:shd w:fill="2E4A2E" w:val="clear"/>
            <w:tcMar>
              <w:top w:type="dxa" w:w="80"/>
              <w:left w:type="dxa" w:w="120"/>
              <w:bottom w:type="dxa" w:w="80"/>
              <w:right w:type="dxa" w:w="120"/>
            </w:tcMar>
            <w:vAlign w:val="center"/>
          </w:tcPr>
          <w:p>
            <w:pPr>
              <w:jc w:val="left"/>
            </w:pPr>
            <w:r>
              <w:rPr>
                <w:b/>
                <w:bCs/>
                <w:color w:val="FFFFFF"/>
                <w:sz w:val="20"/>
                <w:szCs w:val="20"/>
              </w:rPr>
              <w:t xml:space="preserve">Amount</w:t>
            </w:r>
          </w:p>
        </w:tc>
        <w:tc>
          <w:tcPr>
            <w:tcW w:type="dxa" w:w="4026"/>
            <w:tcBorders>
              <w:top w:val="single" w:color="CCCCCC" w:sz="1"/>
              <w:left w:val="single" w:color="CCCCCC" w:sz="1"/>
              <w:bottom w:val="single" w:color="CCCCCC" w:sz="1"/>
              <w:right w:val="single" w:color="CCCCCC" w:sz="1"/>
            </w:tcBorders>
            <w:shd w:fill="2E4A2E" w:val="clear"/>
            <w:tcMar>
              <w:top w:type="dxa" w:w="80"/>
              <w:left w:type="dxa" w:w="120"/>
              <w:bottom w:type="dxa" w:w="80"/>
              <w:right w:type="dxa" w:w="120"/>
            </w:tcMar>
            <w:vAlign w:val="center"/>
          </w:tcPr>
          <w:p>
            <w:pPr>
              <w:jc w:val="left"/>
            </w:pPr>
            <w:r>
              <w:rPr>
                <w:b/>
                <w:bCs/>
                <w:color w:val="FFFFFF"/>
                <w:sz w:val="20"/>
                <w:szCs w:val="20"/>
              </w:rPr>
              <w:t xml:space="preserve">Due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Deposit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 confirmation of this booking</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sz w:val="20"/>
                <w:szCs w:val="20"/>
              </w:rPr>
              <w:t xml:space="preserve">Balance</w:t>
            </w:r>
          </w:p>
        </w:tc>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sz w:val="20"/>
                <w:szCs w:val="20"/>
              </w:rPr>
              <w:t xml:space="preserve">Remainder (~€3,500)</w:t>
            </w:r>
          </w:p>
        </w:tc>
        <w:tc>
          <w:tcPr>
            <w:tcW w:type="dxa" w:w="4026"/>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sz w:val="20"/>
                <w:szCs w:val="20"/>
              </w:rPr>
              <w:t xml:space="preserve">By 1 August 2026 (8 weeks before first round)</w:t>
            </w:r>
          </w:p>
        </w:tc>
      </w:tr>
    </w:tbl>
    <w:p>
      <w:pPr>
        <w:spacing w:after="160"/>
      </w:pPr>
    </w:p>
    <w:p>
      <w:pPr>
        <w:spacing w:after="320"/>
      </w:pPr>
      <w:r>
        <w:rPr>
          <w:b w:val="false"/>
          <w:bCs w:val="false"/>
        </w:rPr>
        <w:t xml:space="preserve">Payment by bank transfer. Invoice issued for each payment. </w:t>
      </w:r>
      <w:r>
        <w:rPr>
          <w:b w:val="false"/>
          <w:bCs w:val="false"/>
        </w:rPr>
        <w:t xml:space="preserve">Bank details will appear on each invoice. </w:t>
      </w:r>
    </w:p>
    <w:p>
      <w:pPr>
        <w:pStyle w:val="Heading1"/>
      </w:pPr>
      <w:r>
        <w:rPr>
          <w:color w:val="1A2E1A"/>
        </w:rPr>
        <w:t xml:space="preserve">Cancellation Policy</w:t>
      </w:r>
    </w:p>
    <w:p>
      <w:pPr>
        <w:spacing w:after="160"/>
      </w:pPr>
      <w:r>
        <w:t xml:space="preserve">Tee times are booked directly with each golf course under trade contracts. The courses' own cancellation terms apply and are passed on in full. Andy does not add any additional charge on top of what the courses impose. The table below reflects the strictest policy across your itinerary.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rPr>
          <w:tblHeader/>
        </w:trPr>
        <w:tc>
          <w:tcPr>
            <w:tcW w:type="dxa" w:w="3200"/>
            <w:tcBorders>
              <w:top w:val="single" w:color="CCCCCC" w:sz="1"/>
              <w:left w:val="single" w:color="CCCCCC" w:sz="1"/>
              <w:bottom w:val="single" w:color="CCCCCC" w:sz="1"/>
              <w:right w:val="single" w:color="CCCCCC" w:sz="1"/>
            </w:tcBorders>
            <w:shd w:fill="2E4A2E" w:val="clear"/>
            <w:tcMar>
              <w:top w:type="dxa" w:w="80"/>
              <w:left w:type="dxa" w:w="120"/>
              <w:bottom w:type="dxa" w:w="80"/>
              <w:right w:type="dxa" w:w="120"/>
            </w:tcMar>
            <w:vAlign w:val="center"/>
          </w:tcPr>
          <w:p>
            <w:pPr>
              <w:jc w:val="left"/>
            </w:pPr>
            <w:r>
              <w:rPr>
                <w:b/>
                <w:bCs/>
                <w:color w:val="FFFFFF"/>
                <w:sz w:val="20"/>
                <w:szCs w:val="20"/>
              </w:rPr>
              <w:t xml:space="preserve">Notice given before first round</w:t>
            </w:r>
          </w:p>
        </w:tc>
        <w:tc>
          <w:tcPr>
            <w:tcW w:type="dxa" w:w="2800"/>
            <w:tcBorders>
              <w:top w:val="single" w:color="CCCCCC" w:sz="1"/>
              <w:left w:val="single" w:color="CCCCCC" w:sz="1"/>
              <w:bottom w:val="single" w:color="CCCCCC" w:sz="1"/>
              <w:right w:val="single" w:color="CCCCCC" w:sz="1"/>
            </w:tcBorders>
            <w:shd w:fill="2E4A2E" w:val="clear"/>
            <w:tcMar>
              <w:top w:type="dxa" w:w="80"/>
              <w:left w:type="dxa" w:w="120"/>
              <w:bottom w:type="dxa" w:w="80"/>
              <w:right w:type="dxa" w:w="120"/>
            </w:tcMar>
            <w:vAlign w:val="center"/>
          </w:tcPr>
          <w:p>
            <w:pPr>
              <w:jc w:val="left"/>
            </w:pPr>
            <w:r>
              <w:rPr>
                <w:b/>
                <w:bCs/>
                <w:color w:val="FFFFFF"/>
                <w:sz w:val="20"/>
                <w:szCs w:val="20"/>
              </w:rPr>
              <w:t xml:space="preserve">Green fee charge</w:t>
            </w:r>
          </w:p>
        </w:tc>
        <w:tc>
          <w:tcPr>
            <w:tcW w:type="dxa" w:w="3026"/>
            <w:tcBorders>
              <w:top w:val="single" w:color="CCCCCC" w:sz="1"/>
              <w:left w:val="single" w:color="CCCCCC" w:sz="1"/>
              <w:bottom w:val="single" w:color="CCCCCC" w:sz="1"/>
              <w:right w:val="single" w:color="CCCCCC" w:sz="1"/>
            </w:tcBorders>
            <w:shd w:fill="2E4A2E" w:val="clear"/>
            <w:tcMar>
              <w:top w:type="dxa" w:w="80"/>
              <w:left w:type="dxa" w:w="120"/>
              <w:bottom w:type="dxa" w:w="80"/>
              <w:right w:type="dxa" w:w="120"/>
            </w:tcMar>
            <w:vAlign w:val="center"/>
          </w:tcPr>
          <w:p>
            <w:pPr>
              <w:jc w:val="left"/>
            </w:pPr>
            <w:r>
              <w:rPr>
                <w:b/>
                <w:bCs/>
                <w:color w:val="FFFFFF"/>
                <w:sz w:val="20"/>
                <w:szCs w:val="20"/>
              </w:rPr>
              <w:t xml:space="preserve">Management fee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 or more days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charge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charge</w:t>
            </w:r>
          </w:p>
        </w:tc>
      </w:tr>
      <w:tr>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sz w:val="20"/>
                <w:szCs w:val="20"/>
              </w:rPr>
              <w:t xml:space="preserve">3 to 6 days</w:t>
            </w:r>
          </w:p>
        </w:tc>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sz w:val="20"/>
                <w:szCs w:val="20"/>
              </w:rPr>
              <w:t xml:space="preserve">50% of total green fees</w:t>
            </w:r>
          </w:p>
        </w:tc>
        <w:tc>
          <w:tcPr>
            <w:tcW w:type="dxa" w:w="3026"/>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sz w:val="20"/>
                <w:szCs w:val="20"/>
              </w:rPr>
              <w:t xml:space="preserve">Non-refundable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 to 2 days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 of total green fees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Non-refundable</w:t>
            </w:r>
          </w:p>
        </w:tc>
      </w:tr>
      <w:tr>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sz w:val="20"/>
                <w:szCs w:val="20"/>
              </w:rPr>
              <w:t xml:space="preserve">No show</w:t>
            </w:r>
          </w:p>
        </w:tc>
        <w:tc>
          <w:tcPr>
            <w:tcW w:type="dxa" w:w="2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sz w:val="20"/>
                <w:szCs w:val="20"/>
              </w:rPr>
              <w:t xml:space="preserve">100% of total green fees</w:t>
            </w:r>
          </w:p>
        </w:tc>
        <w:tc>
          <w:tcPr>
            <w:tcW w:type="dxa" w:w="3026"/>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sz w:val="20"/>
                <w:szCs w:val="20"/>
              </w:rPr>
              <w:t xml:space="preserve">Non-refundable</w:t>
            </w:r>
          </w:p>
        </w:tc>
      </w:tr>
    </w:tbl>
    <w:p>
      <w:pPr>
        <w:spacing w:after="160"/>
      </w:pPr>
    </w:p>
    <w:p>
      <w:pPr>
        <w:spacing w:after="160"/>
      </w:pPr>
      <w:r>
        <w:t xml:space="preserve">Cancellations must be received in writing (email to andy@mrmallorcagolf.com) and are effective from the date and time the written notice is received.</w:t>
      </w:r>
    </w:p>
    <w:p>
      <w:pPr>
        <w:spacing w:after="160"/>
      </w:pPr>
      <w:r>
        <w:rPr>
          <w:b/>
          <w:bCs/>
        </w:rPr>
        <w:t xml:space="preserve">Individual round vs. full trip: </w:t>
      </w:r>
      <w:r>
        <w:t xml:space="preserve">The cancellation window is calculated from the date of each individual round, not the start of the trip. If you cancel a single round with less than 3 days notice, that round is charged in full regardless of the status of others.</w:t>
      </w:r>
    </w:p>
    <w:p>
      <w:pPr>
        <w:spacing w:after="320"/>
      </w:pPr>
      <w:r>
        <w:rPr>
          <w:b/>
          <w:bCs/>
        </w:rPr>
        <w:t xml:space="preserve">The 5% management fee </w:t>
      </w:r>
      <w:r>
        <w:t xml:space="preserve">is non-refundable in all cases once tee times have been booked, as it covers work already completed.</w:t>
      </w:r>
    </w:p>
    <w:p>
      <w:pPr>
        <w:pStyle w:val="Heading1"/>
      </w:pPr>
      <w:r>
        <w:rPr>
          <w:color w:val="1A2E1A"/>
        </w:rPr>
        <w:t xml:space="preserve">Travel Insurance</w:t>
      </w:r>
    </w:p>
    <w:p>
      <w:pPr>
        <w:spacing w:after="320"/>
      </w:pPr>
      <w:r>
        <w:t xml:space="preserve">Given the cancellation terms above, we strongly recommend that all players take out comprehensive travel insurance that includes golf-specific cancellation cover before confirming this booking. This protects you against unforeseen cancellations due to illness, injury, or travel disruption. Andy cannot absorb costs imposed directly by the golf courses.</w:t>
      </w:r>
    </w:p>
    <w:p>
      <w:pPr>
        <w:pStyle w:val="Heading1"/>
      </w:pPr>
      <w:r>
        <w:rPr>
          <w:color w:val="1A2E1A"/>
        </w:rPr>
        <w:t xml:space="preserve">How Tee Times Are Booked</w:t>
      </w:r>
    </w:p>
    <w:p>
      <w:pPr>
        <w:spacing w:after="160"/>
      </w:pPr>
      <w:r>
        <w:t xml:space="preserve">All tee times on this itinerary are booked directly with the golf courses. Andy has negotiated contracted rates as a PGA professional with direct trade access -- these are not third-party resale bookings made through apps like OnTee, Mallorca Golf, or Tee One.</w:t>
      </w:r>
    </w:p>
    <w:p>
      <w:pPr>
        <w:spacing w:after="320"/>
      </w:pPr>
      <w:r>
        <w:t xml:space="preserve">This means the cancellation policy is determined by each course individually, and Andy passes those terms on exactly as they stand. There is no intermediary, no markup on cancellation costs, and no additional layer of terms.</w:t>
      </w:r>
    </w:p>
    <w:p>
      <w:pPr>
        <w:pStyle w:val="Heading1"/>
      </w:pPr>
      <w:r>
        <w:rPr>
          <w:color w:val="1A2E1A"/>
        </w:rPr>
        <w:t xml:space="preserve">To Confirm Your Booking</w:t>
      </w:r>
    </w:p>
    <w:p>
      <w:pPr>
        <w:spacing w:after="80"/>
      </w:pPr>
      <w:r>
        <w:t xml:space="preserve">To secure your tee times, please:</w:t>
      </w:r>
    </w:p>
    <w:p>
      <w:pPr>
        <w:pStyle w:val="ListParagraph"/>
        <w:numPr>
          <w:ilvl w:val="0"/>
          <w:numId w:val="2"/>
        </w:numPr>
        <w:spacing w:after="80"/>
      </w:pPr>
      <w:r>
        <w:t xml:space="preserve">Reply to confirm you accept these terms.</w:t>
      </w:r>
    </w:p>
    <w:p>
      <w:pPr>
        <w:pStyle w:val="ListParagraph"/>
        <w:numPr>
          <w:ilvl w:val="0"/>
          <w:numId w:val="2"/>
        </w:numPr>
        <w:spacing w:after="80"/>
      </w:pPr>
      <w:r>
        <w:t xml:space="preserve">Transfer the €500 deposit by bank transfer (details on invoice).</w:t>
      </w:r>
    </w:p>
    <w:p>
      <w:pPr>
        <w:pStyle w:val="ListParagraph"/>
        <w:numPr>
          <w:ilvl w:val="0"/>
          <w:numId w:val="2"/>
        </w:numPr>
        <w:spacing w:after="80"/>
      </w:pPr>
      <w:r>
        <w:t xml:space="preserve">Pay the balance by 1 August 2026.</w:t>
      </w:r>
    </w:p>
    <w:p>
      <w:pPr>
        <w:spacing w:after="320"/>
      </w:pPr>
      <w:r>
        <w:t xml:space="preserve"/>
      </w:r>
    </w:p>
    <w:p>
      <w:pPr>
        <w:spacing w:after="80"/>
      </w:pPr>
      <w:r>
        <w:t xml:space="preserve">Any questions, get in touch directly: andy@mrmallorcagolf.com</w:t>
      </w:r>
    </w:p>
    <w:p>
      <w:pPr>
        <w:spacing w:after="80"/>
      </w:pPr>
      <w:r>
        <w:t xml:space="preserve"/>
      </w:r>
    </w:p>
    <w:p>
      <w:pPr>
        <w:spacing w:after="80"/>
      </w:pPr>
      <w:r>
        <w:t xml:space="preserve">Andy Griffiths</w:t>
      </w:r>
    </w:p>
    <w:p>
      <w:pPr>
        <w:spacing w:after="40"/>
      </w:pPr>
      <w:r>
        <w:rPr>
          <w:color w:val="666666"/>
        </w:rPr>
        <w:t xml:space="preserve">PGA Advanced Professional | Mr Mallorca Golf</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8"/>
        <w:szCs w:val="18"/>
      </w:rPr>
      <w:t xml:space="preserve">andy@mrmallorcagolf.com  |  mrmallorcagolf.com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4" w:space="1"/>
      </w:pBdr>
    </w:pPr>
    <w:r>
      <w:rPr>
        <w:rFonts w:ascii="Arial" w:cs="Arial" w:eastAsia="Arial" w:hAnsi="Arial"/>
        <w:b/>
        <w:bCs/>
        <w:color w:val="1A2E1A"/>
        <w:sz w:val="22"/>
        <w:szCs w:val="22"/>
      </w:rPr>
      <w:t xml:space="preserve">Mr Mallorca Golf</w:t>
    </w:r>
    <w:r>
      <w:rPr>
        <w:rFonts w:ascii="Arial" w:cs="Arial" w:eastAsia="Arial" w:hAnsi="Arial"/>
        <w:color w:val="666666"/>
        <w:sz w:val="20"/>
        <w:szCs w:val="20"/>
      </w:rPr>
      <w:t xml:space="preserve">   |   Andy Griffiths, PGA Advanced Professional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E1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2E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2026-05-01T17:15:21.233Z</dcterms:created>
  <dcterms:modified xsi:type="dcterms:W3CDTF">2026-05-01T17:15:21.234Z</dcterms:modified>
</cp:coreProperties>
</file>

<file path=docProps/custom.xml><?xml version="1.0" encoding="utf-8"?>
<Properties xmlns="http://schemas.openxmlformats.org/officeDocument/2006/custom-properties" xmlns:vt="http://schemas.openxmlformats.org/officeDocument/2006/docPropsVTypes"/>
</file>