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r>
        <w:br w:type="page"/>
      </w:r>
    </w:p>
    <w:p>
      <w:pPr>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في حين ظلّت الخبرة الذاتية للمراهق – أي الكيفية التي يدرك بها الممارسات الوالدية ويفسّرها – أقلّ تناولًا، خصوصًا في البيئة المغربية.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تتعلّق على التوالي بمظاهر إدراك التسلط، وبوصف المراهقين لأبعاد تقدير ذاتهم الخمسة، وبتفسيرهم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إلى تصنيف ديانا بومريند لأنماط المعاملة الوالدية، وإلى تطوير ماكوبي ومارتن له،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مفهوم تقدير الذات فاستند إلى تصوّرات روزنبرغ وكوبر سميث وهارتر وماسلو التي تُبرزه بناءً نفسيًا متعدّد الأبعاد، فاعتُمدت خمسة أبعاد هي: الشخصي والأسري والاجتماعي والأكاديمي والجسمي. وقد شكّلت هذه الأبعاد – مجتمعةً – الأساس الذي بُنيت عليه شبكة المقابلة وعملية الترميز والتحليل، بما حقّق الاتّساق بين الإطار النظري وأداة الدراسة وطريقة معالجة المعطيات.</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فعلى المستوى العربي بيّنت دراسة أيت مولود وإكردوشن بعلي (2018) ودراسة شكراوي (2025) وجود علاقة بين الأساليب الوالدية وتقدير الذات، إذ يرتبط الضبط والعقاب وضعف الدفء بانخفاض تقدير الذات. وعلى المستوى الغربي بيّنت دراسة لامبورن وزملائه (1991) – على نحو 4100 مراهق – أنّ المصنّفين لوالديهم ضمن النمط المتسلط يسجّلون أدنى مستويات تقدير الذات، بينما جاءت الدراسة النيبالية (2023) بنتيجة مغايرة (ارتباط إيجابي ضعيف) أرجعها أصحابها إلى خصوصية السياق الثقافي. وقد أبرز هذا التباين الحاجة إلى فهمٍ أعمق لا إلى دراسة كمّية إضافية.</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وجُمعت البيانات عبر المقابلة شبه الموجّهة المبنية على محورَي الدراسة، ثمّ عولجت باستخدام تحليل المضمون الموجَّه عبر مراحل التفريغ والقراءة المتكرّرة والترميز والتصنيف وحساب التكرارات واستخلاص الاتّجاه العام وتحديد الحالات الخاصّة.</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أمّا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فكان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وفي إثراء البحث الكيفي في البيئة المغربية، مع إقرارها بحدودها المنهجية المرتبطة بحجم العيّنة القصدية ووحدة السياق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 xml:space="preserve">الفصل الاول:  </w:t>
      </w:r>
      <w:proofErr w:type="spellStart"/>
      <w:r>
        <w:rPr>
          <w:rFonts w:asciiTheme="majorBidi" w:hAnsiTheme="majorBidi" w:cstheme="majorBidi" w:hint="cs" w:ascii="Traditional Arabic" w:hAnsi="Traditional Arabic" w:cs="Traditional Arabic"/>
          <w:b/>
          <w:bCs/>
          <w:color w:val="000000"/>
          <w:sz w:val="32"/>
          <w:szCs w:val="32"/>
          <w:u w:val="single"/>
          <w:rtl/>
        </w:rPr>
        <w:t>الاطارالنظري</w:t>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rsidR="00091CC4" w:rsidRPr="00091CC4" w:rsidRDefault="00F42930" w:rsidP="00023F16">
      <w:pPr>
        <w:bidi/>
        <w:spacing w:line="360" w:lineRule="auto" w:before="0" w:after="120"/>
        <w:ind w:firstLine="720"/>
        <w:jc w:val="both"/>
        <w:rPr>
          <w:rFonts w:asciiTheme="majorBidi" w:hAnsiTheme="majorBidi" w:cstheme="majorBidi"/>
          <w:sz w:val="28"/>
          <w:szCs w:val="28"/>
        </w:rPr>
      </w:pPr>
      <w:r>
        <w:rPr>
          <w:rFonts w:asciiTheme="majorBidi" w:hAnsiTheme="majorBidi" w:cstheme="majorBidi" w:hint="cs" w:ascii="Traditional Arabic" w:hAnsi="Traditional Arabic" w:cs="Traditional Arabic"/>
          <w:b w:val="0"/>
          <w:color w:val="000000"/>
          <w:sz w:val="28"/>
          <w:szCs w:val="28"/>
          <w:rtl/>
        </w:rPr>
        <w:t>ؤ</w:t>
      </w:r>
      <w:r w:rsidR="00091CC4" w:rsidRPr="00091CC4">
        <w:rPr>
          <w:rFonts w:asciiTheme="majorBidi" w:hAnsiTheme="majorBidi" w:cstheme="majorBidi" w:ascii="Traditional Arabic" w:hAnsi="Traditional Arabic" w:cs="Traditional Arabic"/>
          <w:b w:val="0"/>
          <w:color w:val="000000"/>
          <w:sz w:val="28"/>
          <w:szCs w:val="28"/>
          <w:rtl/>
        </w:rPr>
        <w:t xml:space="preserve"> </w:t>
      </w:r>
      <w:proofErr w:type="gramStart"/>
      <w:r w:rsidR="00091CC4" w:rsidRPr="00091CC4">
        <w:rPr>
          <w:rFonts w:asciiTheme="majorBidi" w:hAnsiTheme="majorBidi" w:cstheme="majorBidi" w:ascii="Traditional Arabic" w:hAnsi="Traditional Arabic" w:cs="Traditional Arabic"/>
          <w:b w:val="0"/>
          <w:color w:val="000000"/>
          <w:sz w:val="28"/>
          <w:szCs w:val="28"/>
          <w:rtl/>
        </w:rPr>
        <w:t>من</w:t>
      </w:r>
      <w:proofErr w:type="gramEnd"/>
      <w:r w:rsidR="00091CC4" w:rsidRPr="00091CC4">
        <w:rPr>
          <w:rFonts w:asciiTheme="majorBidi" w:hAnsiTheme="majorBidi" w:cstheme="majorBidi" w:ascii="Traditional Arabic" w:hAnsi="Traditional Arabic" w:cs="Traditional Arabic"/>
          <w:b w:val="0"/>
          <w:color w:val="000000"/>
          <w:sz w:val="28"/>
          <w:szCs w:val="28"/>
          <w:rtl/>
        </w:rPr>
        <w:t xml:space="preserve"> خلال الاقتراب من الخبرة كما يعيشها المراهق نفسه، وليس كما تعكسها المقاييس النفسية وحدها. كما يأمل أن يسهم في إثراء الدراسات الكيفية في هذا المجال، ولا سيما في البيئة المغربية، وأن يقدم معطيات يمكن أن تفيد المختصين في علم النفس والإرشاد الأسري في فهم تجارب المراهقين وتفسيرها في ضوء السياق الأسري الذي يعيشون فيه</w:t>
      </w:r>
      <w:r w:rsidR="00091CC4"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الف</w:t>
      </w:r>
      <w:r w:rsidR="002E1A3E">
        <w:rPr>
          <w:rFonts w:asciiTheme="majorBidi" w:hAnsiTheme="majorBidi" w:cstheme="majorBidi" w:ascii="Traditional Arabic" w:hAnsi="Traditional Arabic" w:cs="Traditional Arabic"/>
          <w:b/>
          <w:bCs/>
          <w:color w:val="000000"/>
          <w:sz w:val="32"/>
          <w:szCs w:val="32"/>
          <w:u w:val="single"/>
          <w:rtl/>
        </w:rPr>
        <w:t xml:space="preserve">صل الثالث: عرض النتائج </w:t>
      </w:r>
      <w:proofErr w:type="gramStart"/>
      <w:r w:rsidR="002E1A3E">
        <w:rPr>
          <w:rFonts w:asciiTheme="majorBidi" w:hAnsiTheme="majorBidi" w:cstheme="majorBidi" w:ascii="Traditional Arabic" w:hAnsi="Traditional Arabic" w:cs="Traditional Arabic"/>
          <w:b/>
          <w:bCs/>
          <w:color w:val="000000"/>
          <w:sz w:val="32"/>
          <w:szCs w:val="32"/>
          <w:u w:val="single"/>
          <w:rtl/>
        </w:rPr>
        <w:t>وتحليلها</w:t>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الفصل</w:t>
      </w:r>
    </w:p>
    <w:p w:rsidR="007C24EF" w:rsidRPr="007C24EF" w:rsidRDefault="007C24EF" w:rsidP="00D35A2D">
      <w:pPr>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bidi w:val="1"/>
        <w:spacing w:line="240" w:lineRule="auto" w:before="320" w:after="120"/>
        <w:jc w:val="center"/>
        <w:outlineLvl w:val="0"/>
      </w:pPr>
      <w:r>
        <w:rPr>
          <w:rFonts w:ascii="Traditional Arabic" w:hAnsi="Traditional Arabic" w:cs="Traditional Arabic"/>
          <w:b/>
          <w:color w:val="000000"/>
          <w:sz w:val="32"/>
          <w:szCs w:val="32"/>
          <w:rtl w:val="1"/>
        </w:rPr>
        <w:t>مناقشة النتائج وتفسيرها</w:t>
      </w:r>
    </w:p>
    <w:p>
      <w:pPr>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134" w:right="1418" w:bottom="1134" w:left="1134" w:header="709" w:footer="680" w:gutter="0"/>
          <w:cols w:space="708"/>
          <w:docGrid w:linePitch="360"/>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851" w:right="1417" w:bottom="1560"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