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243 tables · 20 schemas · 892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243 tables in 20 schemas; 892 foreign keys; 641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243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49</w:t>
            </w:r>
          </w:p>
        </w:tc>
        <w:tc>
          <w:tcPr>
            <w:tcW w:type="dxa" w:w="1701"/>
          </w:tcPr>
          <w:p>
            <w:pPr>
              <w:spacing w:after="0" w:before="0"/>
            </w:pPr>
            <w:r/>
            <w:r>
              <w:rPr>
                <w:rFonts w:ascii="Arial" w:hAnsi="Arial"/>
                <w:b w:val="0"/>
                <w:sz w:val="17"/>
              </w:rPr>
              <w:t>24</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13</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wfl</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acc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fin</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7</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ref</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91 diagrams cover 243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31</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35</w:t>
            </w:r>
          </w:p>
        </w:tc>
        <w:tc>
          <w:tcPr>
            <w:tcW w:type="dxa" w:w="2268"/>
          </w:tcPr>
          <w:p>
            <w:pPr>
              <w:spacing w:after="0" w:before="0"/>
            </w:pPr>
            <w:r/>
            <w:r>
              <w:rPr>
                <w:rFonts w:ascii="Arial" w:hAnsi="Arial"/>
                <w:b w:val="0"/>
                <w:sz w:val="17"/>
              </w:rPr>
              <w:t>85</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7463873"/>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7463873"/>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BaseCurrencyId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org.CompanyTaxRate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ParentDepartmentId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HeadUserId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HolderPartyId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IntermediatePartyId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411730" cy="5334915"/>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411730" cy="5334915"/>
                    </a:xfrm>
                    <a:prstGeom prst="rect"/>
                  </pic:spPr>
                </pic:pic>
              </a:graphicData>
            </a:graphic>
          </wp:inline>
        </w:drawing>
      </w:r>
    </w:p>
    <w:p>
      <w:pPr>
        <w:spacing w:after="120"/>
        <w:jc w:val="center"/>
      </w:pPr>
      <w:r>
        <w:rPr>
          <w:rFonts w:ascii="Arial" w:hAnsi="Arial"/>
          <w:b w:val="0"/>
          <w:i/>
          <w:color w:val="6B7280"/>
          <w:sz w:val="16"/>
        </w:rPr>
        <w:t>Figure 31  Global references (shared, read-only)  ·  5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ref.Industry</w:t>
            </w:r>
          </w:p>
        </w:tc>
        <w:tc>
          <w:tcPr>
            <w:tcW w:type="dxa" w:w="6690"/>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2948"/>
            <w:shd w:val="clear" w:color="auto" w:fill="E8EEF6"/>
          </w:tcPr>
          <w:p>
            <w:pPr>
              <w:spacing w:after="0" w:before="0"/>
            </w:pPr>
            <w:r/>
            <w:r>
              <w:rPr>
                <w:rFonts w:ascii="Arial" w:hAnsi="Arial"/>
                <w:b w:val="0"/>
                <w:sz w:val="15"/>
              </w:rPr>
              <w:t>IndustryId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ref.UcpArticle</w:t>
            </w:r>
          </w:p>
        </w:tc>
        <w:tc>
          <w:tcPr>
            <w:tcW w:type="dxa" w:w="6690"/>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tcPr>
          <w:p>
            <w:pPr>
              <w:spacing w:after="0" w:before="0"/>
            </w:pPr>
            <w:r/>
            <w:r>
              <w:rPr>
                <w:rFonts w:ascii="Arial" w:hAnsi="Arial"/>
                <w:b w:val="0"/>
                <w:sz w:val="15"/>
              </w:rPr>
              <w:t>UcpArticleId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ParentId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RootId, 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19)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19)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3532669"/>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3532669"/>
                    </a:xfrm>
                    <a:prstGeom prst="rect"/>
                  </pic:spPr>
                </pic:pic>
              </a:graphicData>
            </a:graphic>
          </wp:inline>
        </w:drawing>
      </w:r>
    </w:p>
    <w:p>
      <w:pPr>
        <w:spacing w:after="120"/>
        <w:jc w:val="center"/>
      </w:pPr>
      <w:r>
        <w:rPr>
          <w:rFonts w:ascii="Arial" w:hAnsi="Arial"/>
          <w:b w:val="0"/>
          <w:i/>
          <w:color w:val="6B7280"/>
          <w:sz w:val="16"/>
        </w:rPr>
        <w:t>Figure 50  Financial statements and balances (part 3 of 19)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fin.CompanyProductLine</w:t>
            </w:r>
          </w:p>
        </w:tc>
        <w:tc>
          <w:tcPr>
            <w:tcW w:type="dxa" w:w="6690"/>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2948"/>
          </w:tcPr>
          <w:p>
            <w:pPr>
              <w:spacing w:after="0" w:before="0"/>
            </w:pPr>
            <w:r/>
            <w:r>
              <w:rPr>
                <w:rFonts w:ascii="Arial" w:hAnsi="Arial"/>
                <w:b w:val="0"/>
                <w:sz w:val="15"/>
              </w:rPr>
              <w:t>CompanyProductLineId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fin.ConsolidationMember</w:t>
            </w:r>
          </w:p>
        </w:tc>
        <w:tc>
          <w:tcPr>
            <w:tcW w:type="dxa" w:w="6690"/>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shd w:val="clear" w:color="auto" w:fill="E8EEF6"/>
          </w:tcPr>
          <w:p>
            <w:pPr>
              <w:spacing w:after="0" w:before="0"/>
            </w:pPr>
            <w:r/>
            <w:r>
              <w:rPr>
                <w:rFonts w:ascii="Arial" w:hAnsi="Arial"/>
                <w:b w:val="0"/>
                <w:sz w:val="15"/>
              </w:rPr>
              <w:t>ConsolidationMemberId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fin.CompanyProductLine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fin.CompanyProductLine</w:t>
            </w:r>
          </w:p>
        </w:tc>
        <w:tc>
          <w:tcPr>
            <w:tcW w:type="dxa" w:w="2948"/>
            <w:shd w:val="clear" w:color="auto" w:fill="E8EEF6"/>
          </w:tcPr>
          <w:p>
            <w:pPr>
              <w:spacing w:after="0" w:before="0"/>
            </w:pPr>
            <w:r/>
            <w:r>
              <w:rPr>
                <w:rFonts w:ascii="Arial" w:hAnsi="Arial"/>
                <w:b w:val="0"/>
                <w:sz w:val="15"/>
              </w:rPr>
              <w:t>ProductCategoryId</w:t>
            </w:r>
          </w:p>
        </w:tc>
        <w:tc>
          <w:tcPr>
            <w:tcW w:type="dxa" w:w="2721"/>
            <w:shd w:val="clear" w:color="auto" w:fill="E8EEF6"/>
          </w:tcPr>
          <w:p>
            <w:pPr>
              <w:spacing w:after="0" w:before="0"/>
            </w:pPr>
            <w:r/>
            <w:r>
              <w:rPr>
                <w:rFonts w:ascii="Arial" w:hAnsi="Arial"/>
                <w:b w:val="0"/>
                <w:sz w:val="15"/>
              </w:rPr>
              <w:t>fin.ProductCategory</w:t>
            </w:r>
          </w:p>
        </w:tc>
        <w:tc>
          <w:tcPr>
            <w:tcW w:type="dxa" w:w="2948"/>
            <w:shd w:val="clear" w:color="auto" w:fill="E8EEF6"/>
          </w:tcPr>
          <w:p>
            <w:pPr>
              <w:spacing w:after="0" w:before="0"/>
            </w:pPr>
            <w:r/>
            <w:r>
              <w:rPr>
                <w:rFonts w:ascii="Arial" w:hAnsi="Arial"/>
                <w:b w:val="0"/>
                <w:sz w:val="15"/>
              </w:rPr>
              <w:t>ProductCategoryId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781408"/>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015990" cy="2781408"/>
                    </a:xfrm>
                    <a:prstGeom prst="rect"/>
                  </pic:spPr>
                </pic:pic>
              </a:graphicData>
            </a:graphic>
          </wp:inline>
        </w:drawing>
      </w:r>
    </w:p>
    <w:p>
      <w:pPr>
        <w:spacing w:after="120"/>
        <w:jc w:val="center"/>
      </w:pPr>
      <w:r>
        <w:rPr>
          <w:rFonts w:ascii="Arial" w:hAnsi="Arial"/>
          <w:b w:val="0"/>
          <w:i/>
          <w:color w:val="6B7280"/>
          <w:sz w:val="16"/>
        </w:rPr>
        <w:t>Figure 51  Financial statements and balances (part 4 of 19)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fin.CountryRegion</w:t>
            </w:r>
          </w:p>
        </w:tc>
        <w:tc>
          <w:tcPr>
            <w:tcW w:type="dxa" w:w="6690"/>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2948"/>
          </w:tcPr>
          <w:p>
            <w:pPr>
              <w:spacing w:after="0" w:before="0"/>
            </w:pPr>
            <w:r/>
            <w:r>
              <w:rPr>
                <w:rFonts w:ascii="Arial" w:hAnsi="Arial"/>
                <w:b w:val="0"/>
                <w:sz w:val="15"/>
              </w:rPr>
              <w:t>CountryRegionId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fin.CountryRiskProfile</w:t>
            </w:r>
          </w:p>
        </w:tc>
        <w:tc>
          <w:tcPr>
            <w:tcW w:type="dxa" w:w="6690"/>
            <w:shd w:val="clear" w:color="auto" w:fill="E8EEF6"/>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948"/>
            <w:shd w:val="clear" w:color="auto" w:fill="E8EEF6"/>
          </w:tcPr>
          <w:p>
            <w:pPr>
              <w:spacing w:after="0" w:before="0"/>
            </w:pPr>
            <w:r/>
            <w:r>
              <w:rPr>
                <w:rFonts w:ascii="Arial" w:hAnsi="Arial"/>
                <w:b w:val="0"/>
                <w:sz w:val="15"/>
              </w:rPr>
              <w:t>CountryRiskProfileId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fin.CountryRegion</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fin.CountryRiskProfile</w:t>
            </w:r>
          </w:p>
        </w:tc>
        <w:tc>
          <w:tcPr>
            <w:tcW w:type="dxa" w:w="2948"/>
          </w:tcPr>
          <w:p>
            <w:pPr>
              <w:spacing w:after="0" w:before="0"/>
            </w:pPr>
            <w:r/>
            <w:r>
              <w:rPr>
                <w:rFonts w:ascii="Arial" w:hAnsi="Arial"/>
                <w:b w:val="0"/>
                <w:sz w:val="15"/>
              </w:rPr>
              <w:t>SovereignRatingGradeId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fin.CountryRiskProfile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24270" cy="7217328"/>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6224270" cy="7217328"/>
                    </a:xfrm>
                    <a:prstGeom prst="rect"/>
                  </pic:spPr>
                </pic:pic>
              </a:graphicData>
            </a:graphic>
          </wp:inline>
        </w:drawing>
      </w:r>
    </w:p>
    <w:p>
      <w:pPr>
        <w:spacing w:after="120"/>
        <w:jc w:val="center"/>
      </w:pPr>
      <w:r>
        <w:rPr>
          <w:rFonts w:ascii="Arial" w:hAnsi="Arial"/>
          <w:b w:val="0"/>
          <w:i/>
          <w:color w:val="6B7280"/>
          <w:sz w:val="16"/>
        </w:rPr>
        <w:t>Figure 52  Financial statements and balances (part 5 of 19)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w:t>
            </w:r>
          </w:p>
        </w:tc>
        <w:tc>
          <w:tcPr>
            <w:tcW w:type="dxa" w:w="6690"/>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948"/>
          </w:tcPr>
          <w:p>
            <w:pPr>
              <w:spacing w:after="0" w:before="0"/>
            </w:pPr>
            <w:r/>
            <w:r>
              <w:rPr>
                <w:rFonts w:ascii="Arial" w:hAnsi="Arial"/>
                <w:b w:val="0"/>
                <w:sz w:val="15"/>
              </w:rPr>
              <w:t>CreditAssessmentId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CompanyId, 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CompanyId, 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CompanyId, UsedPriorStatementId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FinancialGradeId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IndicatedGradeId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CapGradeId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StandaloneGradeId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FinalGradeId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FacilityGradeId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IndustryId</w:t>
            </w:r>
          </w:p>
        </w:tc>
        <w:tc>
          <w:tcPr>
            <w:tcW w:type="dxa" w:w="2721"/>
            <w:shd w:val="clear" w:color="auto" w:fill="E8EEF6"/>
          </w:tcPr>
          <w:p>
            <w:pPr>
              <w:spacing w:after="0" w:before="0"/>
            </w:pPr>
            <w:r/>
            <w:r>
              <w:rPr>
                <w:rFonts w:ascii="Arial" w:hAnsi="Arial"/>
                <w:b w:val="0"/>
                <w:sz w:val="15"/>
              </w:rPr>
              <w:t>ref.Industry</w:t>
            </w:r>
          </w:p>
        </w:tc>
        <w:tc>
          <w:tcPr>
            <w:tcW w:type="dxa" w:w="2948"/>
            <w:shd w:val="clear" w:color="auto" w:fill="E8EEF6"/>
          </w:tcPr>
          <w:p>
            <w:pPr>
              <w:spacing w:after="0" w:before="0"/>
            </w:pPr>
            <w:r/>
            <w:r>
              <w:rPr>
                <w:rFonts w:ascii="Arial" w:hAnsi="Arial"/>
                <w:b w:val="0"/>
                <w:sz w:val="15"/>
              </w:rPr>
              <w:t>IndustryId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MarketCountryId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AnchorGradeId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CountryCeilingGradeId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6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88100" cy="7298311"/>
            <wp:docPr id="53" name="Picture 53"/>
            <wp:cNvGraphicFramePr>
              <a:graphicFrameLocks noChangeAspect="1"/>
            </wp:cNvGraphicFramePr>
            <a:graphic>
              <a:graphicData uri="http://schemas.openxmlformats.org/drawingml/2006/picture">
                <pic:pic>
                  <pic:nvPicPr>
                    <pic:cNvPr id="0" name="m5_financials_6.png"/>
                    <pic:cNvPicPr/>
                  </pic:nvPicPr>
                  <pic:blipFill>
                    <a:blip r:embed="rId63"/>
                    <a:stretch>
                      <a:fillRect/>
                    </a:stretch>
                  </pic:blipFill>
                  <pic:spPr>
                    <a:xfrm>
                      <a:off x="0" y="0"/>
                      <a:ext cx="6388100" cy="7298311"/>
                    </a:xfrm>
                    <a:prstGeom prst="rect"/>
                  </pic:spPr>
                </pic:pic>
              </a:graphicData>
            </a:graphic>
          </wp:inline>
        </w:drawing>
      </w:r>
    </w:p>
    <w:p>
      <w:pPr>
        <w:spacing w:after="120"/>
        <w:jc w:val="center"/>
      </w:pPr>
      <w:r>
        <w:rPr>
          <w:rFonts w:ascii="Arial" w:hAnsi="Arial"/>
          <w:b w:val="0"/>
          <w:i/>
          <w:color w:val="6B7280"/>
          <w:sz w:val="16"/>
        </w:rPr>
        <w:t>Figure 53  Financial statements and balances (part 6 of 19)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fin.CreditAssessmentBureau</w:t>
            </w:r>
          </w:p>
        </w:tc>
        <w:tc>
          <w:tcPr>
            <w:tcW w:type="dxa" w:w="6690"/>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2948"/>
          </w:tcPr>
          <w:p>
            <w:pPr>
              <w:spacing w:after="0" w:before="0"/>
            </w:pPr>
            <w:r/>
            <w:r>
              <w:rPr>
                <w:rFonts w:ascii="Arial" w:hAnsi="Arial"/>
                <w:b w:val="0"/>
                <w:sz w:val="15"/>
              </w:rPr>
              <w:t>CreditAssessmentBureauId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fin.CreditAssessmentFacility</w:t>
            </w:r>
          </w:p>
        </w:tc>
        <w:tc>
          <w:tcPr>
            <w:tcW w:type="dxa" w:w="6690"/>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2948"/>
            <w:shd w:val="clear" w:color="auto" w:fill="E8EEF6"/>
          </w:tcPr>
          <w:p>
            <w:pPr>
              <w:spacing w:after="0" w:before="0"/>
            </w:pPr>
            <w:r/>
            <w:r>
              <w:rPr>
                <w:rFonts w:ascii="Arial" w:hAnsi="Arial"/>
                <w:b w:val="0"/>
                <w:sz w:val="15"/>
              </w:rPr>
              <w:t>CreditAssessmentFacilityId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fin.CreditAssessmentFactor</w:t>
            </w:r>
          </w:p>
        </w:tc>
        <w:tc>
          <w:tcPr>
            <w:tcW w:type="dxa" w:w="6690"/>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2948"/>
          </w:tcPr>
          <w:p>
            <w:pPr>
              <w:spacing w:after="0" w:before="0"/>
            </w:pPr>
            <w:r/>
            <w:r>
              <w:rPr>
                <w:rFonts w:ascii="Arial" w:hAnsi="Arial"/>
                <w:b w:val="0"/>
                <w:sz w:val="15"/>
              </w:rPr>
              <w:t>CreditAssessmentFactorId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fin.CreditAssessmentFinding</w:t>
            </w:r>
          </w:p>
        </w:tc>
        <w:tc>
          <w:tcPr>
            <w:tcW w:type="dxa" w:w="6690"/>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948"/>
            <w:shd w:val="clear" w:color="auto" w:fill="E8EEF6"/>
          </w:tcPr>
          <w:p>
            <w:pPr>
              <w:spacing w:after="0" w:before="0"/>
            </w:pPr>
            <w:r/>
            <w:r>
              <w:rPr>
                <w:rFonts w:ascii="Arial" w:hAnsi="Arial"/>
                <w:b w:val="0"/>
                <w:sz w:val="15"/>
              </w:rPr>
              <w:t>CreditAssessmentFindingId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fin.CreditAssessmentBureau</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fin.CreditAssessmentBureau</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fin.CreditAssessmentFacility</w:t>
            </w:r>
          </w:p>
        </w:tc>
        <w:tc>
          <w:tcPr>
            <w:tcW w:type="dxa" w:w="2948"/>
          </w:tcPr>
          <w:p>
            <w:pPr>
              <w:spacing w:after="0" w:before="0"/>
            </w:pPr>
            <w:r/>
            <w:r>
              <w:rPr>
                <w:rFonts w:ascii="Arial" w:hAnsi="Arial"/>
                <w:b w:val="0"/>
                <w:sz w:val="15"/>
              </w:rPr>
              <w:t>LenderInstitutionId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fin.CreditAssessmentFacility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fin.CreditAssessmentFactor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fin.CreditAssessmentFactor</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fin.CreditAssessmentFinding</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7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512559" cy="2984057"/>
            <wp:docPr id="54" name="Picture 54"/>
            <wp:cNvGraphicFramePr>
              <a:graphicFrameLocks noChangeAspect="1"/>
            </wp:cNvGraphicFramePr>
            <a:graphic>
              <a:graphicData uri="http://schemas.openxmlformats.org/drawingml/2006/picture">
                <pic:pic>
                  <pic:nvPicPr>
                    <pic:cNvPr id="0" name="m5_financials_7.png"/>
                    <pic:cNvPicPr/>
                  </pic:nvPicPr>
                  <pic:blipFill>
                    <a:blip r:embed="rId64"/>
                    <a:stretch>
                      <a:fillRect/>
                    </a:stretch>
                  </pic:blipFill>
                  <pic:spPr>
                    <a:xfrm>
                      <a:off x="0" y="0"/>
                      <a:ext cx="6512559" cy="2984057"/>
                    </a:xfrm>
                    <a:prstGeom prst="rect"/>
                  </pic:spPr>
                </pic:pic>
              </a:graphicData>
            </a:graphic>
          </wp:inline>
        </w:drawing>
      </w:r>
    </w:p>
    <w:p>
      <w:pPr>
        <w:spacing w:after="120"/>
        <w:jc w:val="center"/>
      </w:pPr>
      <w:r>
        <w:rPr>
          <w:rFonts w:ascii="Arial" w:hAnsi="Arial"/>
          <w:b w:val="0"/>
          <w:i/>
          <w:color w:val="6B7280"/>
          <w:sz w:val="16"/>
        </w:rPr>
        <w:t>Figure 54  Financial statements and balances (part 7 of 19)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fin.CreditAssessmentGuarantor</w:t>
            </w:r>
          </w:p>
        </w:tc>
        <w:tc>
          <w:tcPr>
            <w:tcW w:type="dxa" w:w="6690"/>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2948"/>
          </w:tcPr>
          <w:p>
            <w:pPr>
              <w:spacing w:after="0" w:before="0"/>
            </w:pPr>
            <w:r/>
            <w:r>
              <w:rPr>
                <w:rFonts w:ascii="Arial" w:hAnsi="Arial"/>
                <w:b w:val="0"/>
                <w:sz w:val="15"/>
              </w:rPr>
              <w:t>CreditAssessmentGuarantorId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fin.CreditAssessmentGuarantor</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fin.CreditAssessmentGuarantor</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8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55080" cy="6650181"/>
            <wp:docPr id="55" name="Picture 55"/>
            <wp:cNvGraphicFramePr>
              <a:graphicFrameLocks noChangeAspect="1"/>
            </wp:cNvGraphicFramePr>
            <a:graphic>
              <a:graphicData uri="http://schemas.openxmlformats.org/drawingml/2006/picture">
                <pic:pic>
                  <pic:nvPicPr>
                    <pic:cNvPr id="0" name="m5_financials_8.png"/>
                    <pic:cNvPicPr/>
                  </pic:nvPicPr>
                  <pic:blipFill>
                    <a:blip r:embed="rId65"/>
                    <a:stretch>
                      <a:fillRect/>
                    </a:stretch>
                  </pic:blipFill>
                  <pic:spPr>
                    <a:xfrm>
                      <a:off x="0" y="0"/>
                      <a:ext cx="6355080" cy="6650181"/>
                    </a:xfrm>
                    <a:prstGeom prst="rect"/>
                  </pic:spPr>
                </pic:pic>
              </a:graphicData>
            </a:graphic>
          </wp:inline>
        </w:drawing>
      </w:r>
    </w:p>
    <w:p>
      <w:pPr>
        <w:spacing w:after="120"/>
        <w:jc w:val="center"/>
      </w:pPr>
      <w:r>
        <w:rPr>
          <w:rFonts w:ascii="Arial" w:hAnsi="Arial"/>
          <w:b w:val="0"/>
          <w:i/>
          <w:color w:val="6B7280"/>
          <w:sz w:val="16"/>
        </w:rPr>
        <w:t>Figure 55  Financial statements and balances (part 8 of 19)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fin.CreditAssessmentInput</w:t>
            </w:r>
          </w:p>
        </w:tc>
        <w:tc>
          <w:tcPr>
            <w:tcW w:type="dxa" w:w="6690"/>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2948"/>
          </w:tcPr>
          <w:p>
            <w:pPr>
              <w:spacing w:after="0" w:before="0"/>
            </w:pPr>
            <w:r/>
            <w:r>
              <w:rPr>
                <w:rFonts w:ascii="Arial" w:hAnsi="Arial"/>
                <w:b w:val="0"/>
                <w:sz w:val="15"/>
              </w:rPr>
              <w:t>CreditAssessmentInputId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SubfactorId</w:t>
            </w:r>
          </w:p>
        </w:tc>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ScorecardSubfactorId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ParentAssessmentId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fin.CreditAssessmentInput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fin.CreditAssessmentInput</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9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69990" cy="2983335"/>
            <wp:docPr id="56" name="Picture 56"/>
            <wp:cNvGraphicFramePr>
              <a:graphicFrameLocks noChangeAspect="1"/>
            </wp:cNvGraphicFramePr>
            <a:graphic>
              <a:graphicData uri="http://schemas.openxmlformats.org/drawingml/2006/picture">
                <pic:pic>
                  <pic:nvPicPr>
                    <pic:cNvPr id="0" name="m5_financials_9.png"/>
                    <pic:cNvPicPr/>
                  </pic:nvPicPr>
                  <pic:blipFill>
                    <a:blip r:embed="rId66"/>
                    <a:stretch>
                      <a:fillRect/>
                    </a:stretch>
                  </pic:blipFill>
                  <pic:spPr>
                    <a:xfrm>
                      <a:off x="0" y="0"/>
                      <a:ext cx="6269990" cy="2983335"/>
                    </a:xfrm>
                    <a:prstGeom prst="rect"/>
                  </pic:spPr>
                </pic:pic>
              </a:graphicData>
            </a:graphic>
          </wp:inline>
        </w:drawing>
      </w:r>
    </w:p>
    <w:p>
      <w:pPr>
        <w:spacing w:after="120"/>
        <w:jc w:val="center"/>
      </w:pPr>
      <w:r>
        <w:rPr>
          <w:rFonts w:ascii="Arial" w:hAnsi="Arial"/>
          <w:b w:val="0"/>
          <w:i/>
          <w:color w:val="6B7280"/>
          <w:sz w:val="16"/>
        </w:rPr>
        <w:t>Figure 56  Financial statements and balances (part 9 of 19)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w:t>
            </w:r>
          </w:p>
        </w:tc>
        <w:tc>
          <w:tcPr>
            <w:tcW w:type="dxa" w:w="6690"/>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2948"/>
          </w:tcPr>
          <w:p>
            <w:pPr>
              <w:spacing w:after="0" w:before="0"/>
            </w:pPr>
            <w:r/>
            <w:r>
              <w:rPr>
                <w:rFonts w:ascii="Arial" w:hAnsi="Arial"/>
                <w:b w:val="0"/>
                <w:sz w:val="15"/>
              </w:rPr>
              <w:t>CreditAssessmentPlanId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w:t>
            </w:r>
          </w:p>
        </w:tc>
        <w:tc>
          <w:tcPr>
            <w:tcW w:type="dxa" w:w="2948"/>
          </w:tcPr>
          <w:p>
            <w:pPr>
              <w:spacing w:after="0" w:before="0"/>
            </w:pPr>
            <w:r/>
            <w:r>
              <w:rPr>
                <w:rFonts w:ascii="Arial" w:hAnsi="Arial"/>
                <w:b w:val="0"/>
                <w:sz w:val="15"/>
              </w:rPr>
              <w:t>FinalGradeId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10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79540" cy="6026513"/>
            <wp:docPr id="57" name="Picture 57"/>
            <wp:cNvGraphicFramePr>
              <a:graphicFrameLocks noChangeAspect="1"/>
            </wp:cNvGraphicFramePr>
            <a:graphic>
              <a:graphicData uri="http://schemas.openxmlformats.org/drawingml/2006/picture">
                <pic:pic>
                  <pic:nvPicPr>
                    <pic:cNvPr id="0" name="m5_financials_10.png"/>
                    <pic:cNvPicPr/>
                  </pic:nvPicPr>
                  <pic:blipFill>
                    <a:blip r:embed="rId67"/>
                    <a:stretch>
                      <a:fillRect/>
                    </a:stretch>
                  </pic:blipFill>
                  <pic:spPr>
                    <a:xfrm>
                      <a:off x="0" y="0"/>
                      <a:ext cx="6479540" cy="6026513"/>
                    </a:xfrm>
                    <a:prstGeom prst="rect"/>
                  </pic:spPr>
                </pic:pic>
              </a:graphicData>
            </a:graphic>
          </wp:inline>
        </w:drawing>
      </w:r>
    </w:p>
    <w:p>
      <w:pPr>
        <w:spacing w:after="120"/>
        <w:jc w:val="center"/>
      </w:pPr>
      <w:r>
        <w:rPr>
          <w:rFonts w:ascii="Arial" w:hAnsi="Arial"/>
          <w:b w:val="0"/>
          <w:i/>
          <w:color w:val="6B7280"/>
          <w:sz w:val="16"/>
        </w:rPr>
        <w:t>Figure 57  Financial statements and balances (part 10 of 19)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fin.CreditAssessmentPlanStep</w:t>
            </w:r>
          </w:p>
        </w:tc>
        <w:tc>
          <w:tcPr>
            <w:tcW w:type="dxa" w:w="6690"/>
          </w:tcPr>
          <w:p>
            <w:pPr>
              <w:spacing w:after="0" w:before="0"/>
            </w:pPr>
            <w:r/>
            <w:r>
              <w:rPr>
                <w:rFonts w:ascii="Arial" w:hAnsi="Arial"/>
                <w:b w:val="0"/>
                <w:sz w:val="15"/>
              </w:rPr>
              <w:t>A step of a strengthening plan: the remedy applied, the amount it moved and the grade after it</w:t>
            </w:r>
          </w:p>
        </w:tc>
        <w:tc>
          <w:tcPr>
            <w:tcW w:type="dxa" w:w="2948"/>
          </w:tcPr>
          <w:p>
            <w:pPr>
              <w:spacing w:after="0" w:before="0"/>
            </w:pPr>
            <w:r/>
            <w:r>
              <w:rPr>
                <w:rFonts w:ascii="Arial" w:hAnsi="Arial"/>
                <w:b w:val="0"/>
                <w:sz w:val="15"/>
              </w:rPr>
              <w:t>CreditAssessmentPlanStepId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fin.CreditAssessmentReclass</w:t>
            </w:r>
          </w:p>
        </w:tc>
        <w:tc>
          <w:tcPr>
            <w:tcW w:type="dxa" w:w="6690"/>
            <w:shd w:val="clear" w:color="auto" w:fill="E8EEF6"/>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2948"/>
            <w:shd w:val="clear" w:color="auto" w:fill="E8EEF6"/>
          </w:tcPr>
          <w:p>
            <w:pPr>
              <w:spacing w:after="0" w:before="0"/>
            </w:pPr>
            <w:r/>
            <w:r>
              <w:rPr>
                <w:rFonts w:ascii="Arial" w:hAnsi="Arial"/>
                <w:b w:val="0"/>
                <w:sz w:val="15"/>
              </w:rPr>
              <w:t>CreditAssessmentReclassId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fin.CreditAssessmentRemedy</w:t>
            </w:r>
          </w:p>
        </w:tc>
        <w:tc>
          <w:tcPr>
            <w:tcW w:type="dxa" w:w="6690"/>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2948"/>
          </w:tcPr>
          <w:p>
            <w:pPr>
              <w:spacing w:after="0" w:before="0"/>
            </w:pPr>
            <w:r/>
            <w:r>
              <w:rPr>
                <w:rFonts w:ascii="Arial" w:hAnsi="Arial"/>
                <w:b w:val="0"/>
                <w:sz w:val="15"/>
              </w:rPr>
              <w:t>CreditAssessmentRemedyId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fin.CreditAssessmentScenario</w:t>
            </w:r>
          </w:p>
        </w:tc>
        <w:tc>
          <w:tcPr>
            <w:tcW w:type="dxa" w:w="6690"/>
            <w:shd w:val="clear" w:color="auto" w:fill="E8EEF6"/>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2948"/>
            <w:shd w:val="clear" w:color="auto" w:fill="E8EEF6"/>
          </w:tcPr>
          <w:p>
            <w:pPr>
              <w:spacing w:after="0" w:before="0"/>
            </w:pPr>
            <w:r/>
            <w:r>
              <w:rPr>
                <w:rFonts w:ascii="Arial" w:hAnsi="Arial"/>
                <w:b w:val="0"/>
                <w:sz w:val="15"/>
              </w:rPr>
              <w:t>CreditAssessmentScenarioId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PlanId</w:t>
            </w:r>
          </w:p>
        </w:tc>
        <w:tc>
          <w:tcPr>
            <w:tcW w:type="dxa" w:w="2721"/>
            <w:shd w:val="clear" w:color="auto" w:fill="E8EEF6"/>
          </w:tcPr>
          <w:p>
            <w:pPr>
              <w:spacing w:after="0" w:before="0"/>
            </w:pPr>
            <w:r/>
            <w:r>
              <w:rPr>
                <w:rFonts w:ascii="Arial" w:hAnsi="Arial"/>
                <w:b w:val="0"/>
                <w:sz w:val="15"/>
              </w:rPr>
              <w:t>fin.StrengtheningPlan</w:t>
            </w:r>
          </w:p>
        </w:tc>
        <w:tc>
          <w:tcPr>
            <w:tcW w:type="dxa" w:w="2948"/>
            <w:shd w:val="clear" w:color="auto" w:fill="E8EEF6"/>
          </w:tcPr>
          <w:p>
            <w:pPr>
              <w:spacing w:after="0" w:before="0"/>
            </w:pPr>
            <w:r/>
            <w:r>
              <w:rPr>
                <w:rFonts w:ascii="Arial" w:hAnsi="Arial"/>
                <w:b w:val="0"/>
                <w:sz w:val="15"/>
              </w:rPr>
              <w:t>StrengtheningPlanId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fin.CreditAssessmentPlanStep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fin.CreditAssessmentPlanStep</w:t>
            </w:r>
          </w:p>
        </w:tc>
        <w:tc>
          <w:tcPr>
            <w:tcW w:type="dxa" w:w="2948"/>
            <w:shd w:val="clear" w:color="auto" w:fill="E8EEF6"/>
          </w:tcPr>
          <w:p>
            <w:pPr>
              <w:spacing w:after="0" w:before="0"/>
            </w:pPr>
            <w:r/>
            <w:r>
              <w:rPr>
                <w:rFonts w:ascii="Arial" w:hAnsi="Arial"/>
                <w:b w:val="0"/>
                <w:sz w:val="15"/>
              </w:rPr>
              <w:t>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fin.CreditAssessmentReclass</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AssessmentId</w:t>
            </w:r>
          </w:p>
        </w:tc>
        <w:tc>
          <w:tcPr>
            <w:tcW w:type="dxa" w:w="2721"/>
            <w:shd w:val="clear" w:color="auto" w:fill="E8EEF6"/>
          </w:tcPr>
          <w:p>
            <w:pPr>
              <w:spacing w:after="0" w:before="0"/>
            </w:pPr>
            <w:r/>
            <w:r>
              <w:rPr>
                <w:rFonts w:ascii="Arial" w:hAnsi="Arial"/>
                <w:b w:val="0"/>
                <w:sz w:val="15"/>
              </w:rPr>
              <w:t>fin.CreditAssessment</w:t>
            </w:r>
          </w:p>
        </w:tc>
        <w:tc>
          <w:tcPr>
            <w:tcW w:type="dxa" w:w="2948"/>
            <w:shd w:val="clear" w:color="auto" w:fill="E8EEF6"/>
          </w:tcPr>
          <w:p>
            <w:pPr>
              <w:spacing w:after="0" w:before="0"/>
            </w:pPr>
            <w:r/>
            <w:r>
              <w:rPr>
                <w:rFonts w:ascii="Arial" w:hAnsi="Arial"/>
                <w:b w:val="0"/>
                <w:sz w:val="15"/>
              </w:rPr>
              <w:t>CreditAssessmentId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fin.CreditAssessmentRemedy</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fin.CreditAssessmentRemedy</w:t>
            </w:r>
          </w:p>
        </w:tc>
        <w:tc>
          <w:tcPr>
            <w:tcW w:type="dxa" w:w="2948"/>
            <w:shd w:val="clear" w:color="auto" w:fill="E8EEF6"/>
          </w:tcPr>
          <w:p>
            <w:pPr>
              <w:spacing w:after="0" w:before="0"/>
            </w:pPr>
            <w:r/>
            <w:r>
              <w:rPr>
                <w:rFonts w:ascii="Arial" w:hAnsi="Arial"/>
                <w:b w:val="0"/>
                <w:sz w:val="15"/>
              </w:rPr>
              <w:t>ProFormaGradeId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fin.CreditAssessmentScenario</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fin.CreditAssessmentScenario</w:t>
            </w:r>
          </w:p>
        </w:tc>
        <w:tc>
          <w:tcPr>
            <w:tcW w:type="dxa" w:w="2948"/>
          </w:tcPr>
          <w:p>
            <w:pPr>
              <w:spacing w:after="0" w:before="0"/>
            </w:pPr>
            <w:r/>
            <w:r>
              <w:rPr>
                <w:rFonts w:ascii="Arial" w:hAnsi="Arial"/>
                <w:b w:val="0"/>
                <w:sz w:val="15"/>
              </w:rPr>
              <w:t>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11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372860" cy="3288279"/>
            <wp:docPr id="58" name="Picture 58"/>
            <wp:cNvGraphicFramePr>
              <a:graphicFrameLocks noChangeAspect="1"/>
            </wp:cNvGraphicFramePr>
            <a:graphic>
              <a:graphicData uri="http://schemas.openxmlformats.org/drawingml/2006/picture">
                <pic:pic>
                  <pic:nvPicPr>
                    <pic:cNvPr id="0" name="m5_financials_11.png"/>
                    <pic:cNvPicPr/>
                  </pic:nvPicPr>
                  <pic:blipFill>
                    <a:blip r:embed="rId68"/>
                    <a:stretch>
                      <a:fillRect/>
                    </a:stretch>
                  </pic:blipFill>
                  <pic:spPr>
                    <a:xfrm>
                      <a:off x="0" y="0"/>
                      <a:ext cx="6372860" cy="3288279"/>
                    </a:xfrm>
                    <a:prstGeom prst="rect"/>
                  </pic:spPr>
                </pic:pic>
              </a:graphicData>
            </a:graphic>
          </wp:inline>
        </w:drawing>
      </w:r>
    </w:p>
    <w:p>
      <w:pPr>
        <w:spacing w:after="120"/>
        <w:jc w:val="center"/>
      </w:pPr>
      <w:r>
        <w:rPr>
          <w:rFonts w:ascii="Arial" w:hAnsi="Arial"/>
          <w:b w:val="0"/>
          <w:i/>
          <w:color w:val="6B7280"/>
          <w:sz w:val="16"/>
        </w:rPr>
        <w:t>Figure 58  Financial statements and balances (part 11 of 19)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fin.CreditAssessmentTrigger</w:t>
            </w:r>
          </w:p>
        </w:tc>
        <w:tc>
          <w:tcPr>
            <w:tcW w:type="dxa" w:w="6690"/>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2948"/>
          </w:tcPr>
          <w:p>
            <w:pPr>
              <w:spacing w:after="0" w:before="0"/>
            </w:pPr>
            <w:r/>
            <w:r>
              <w:rPr>
                <w:rFonts w:ascii="Arial" w:hAnsi="Arial"/>
                <w:b w:val="0"/>
                <w:sz w:val="15"/>
              </w:rPr>
              <w:t>CreditAssessmentTriggerId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fin.CreditMetric</w:t>
            </w:r>
          </w:p>
        </w:tc>
        <w:tc>
          <w:tcPr>
            <w:tcW w:type="dxa" w:w="6690"/>
            <w:shd w:val="clear" w:color="auto" w:fill="E8EEF6"/>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2948"/>
            <w:shd w:val="clear" w:color="auto" w:fill="E8EEF6"/>
          </w:tcPr>
          <w:p>
            <w:pPr>
              <w:spacing w:after="0" w:before="0"/>
            </w:pPr>
            <w:r/>
            <w:r>
              <w:rPr>
                <w:rFonts w:ascii="Arial" w:hAnsi="Arial"/>
                <w:b w:val="0"/>
                <w:sz w:val="15"/>
              </w:rPr>
              <w:t>CreditMetricId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fin.CreditRemedy</w:t>
            </w:r>
          </w:p>
        </w:tc>
        <w:tc>
          <w:tcPr>
            <w:tcW w:type="dxa" w:w="6690"/>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2948"/>
          </w:tcPr>
          <w:p>
            <w:pPr>
              <w:spacing w:after="0" w:before="0"/>
            </w:pPr>
            <w:r/>
            <w:r>
              <w:rPr>
                <w:rFonts w:ascii="Arial" w:hAnsi="Arial"/>
                <w:b w:val="0"/>
                <w:sz w:val="15"/>
              </w:rPr>
              <w:t>CreditRemedyId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fin.CreditAssessmentTrigger</w:t>
            </w:r>
          </w:p>
        </w:tc>
        <w:tc>
          <w:tcPr>
            <w:tcW w:type="dxa" w:w="2948"/>
          </w:tcPr>
          <w:p>
            <w:pPr>
              <w:spacing w:after="0" w:before="0"/>
            </w:pPr>
            <w:r/>
            <w:r>
              <w:rPr>
                <w:rFonts w:ascii="Arial" w:hAnsi="Arial"/>
                <w:b w:val="0"/>
                <w:sz w:val="15"/>
              </w:rPr>
              <w:t>AssessmentId</w:t>
            </w:r>
          </w:p>
        </w:tc>
        <w:tc>
          <w:tcPr>
            <w:tcW w:type="dxa" w:w="2721"/>
          </w:tcPr>
          <w:p>
            <w:pPr>
              <w:spacing w:after="0" w:before="0"/>
            </w:pPr>
            <w:r/>
            <w:r>
              <w:rPr>
                <w:rFonts w:ascii="Arial" w:hAnsi="Arial"/>
                <w:b w:val="0"/>
                <w:sz w:val="15"/>
              </w:rPr>
              <w:t>fin.CreditAssessment</w:t>
            </w:r>
          </w:p>
        </w:tc>
        <w:tc>
          <w:tcPr>
            <w:tcW w:type="dxa" w:w="2948"/>
          </w:tcPr>
          <w:p>
            <w:pPr>
              <w:spacing w:after="0" w:before="0"/>
            </w:pPr>
            <w:r/>
            <w:r>
              <w:rPr>
                <w:rFonts w:ascii="Arial" w:hAnsi="Arial"/>
                <w:b w:val="0"/>
                <w:sz w:val="15"/>
              </w:rPr>
              <w:t>CreditAssessmentId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fin.CreditAssessmentTrigger</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12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23610" cy="6410219"/>
            <wp:docPr id="59" name="Picture 59"/>
            <wp:cNvGraphicFramePr>
              <a:graphicFrameLocks noChangeAspect="1"/>
            </wp:cNvGraphicFramePr>
            <a:graphic>
              <a:graphicData uri="http://schemas.openxmlformats.org/drawingml/2006/picture">
                <pic:pic>
                  <pic:nvPicPr>
                    <pic:cNvPr id="0" name="m5_financials_12.png"/>
                    <pic:cNvPicPr/>
                  </pic:nvPicPr>
                  <pic:blipFill>
                    <a:blip r:embed="rId69"/>
                    <a:stretch>
                      <a:fillRect/>
                    </a:stretch>
                  </pic:blipFill>
                  <pic:spPr>
                    <a:xfrm>
                      <a:off x="0" y="0"/>
                      <a:ext cx="6023610" cy="6410219"/>
                    </a:xfrm>
                    <a:prstGeom prst="rect"/>
                  </pic:spPr>
                </pic:pic>
              </a:graphicData>
            </a:graphic>
          </wp:inline>
        </w:drawing>
      </w:r>
    </w:p>
    <w:p>
      <w:pPr>
        <w:spacing w:after="120"/>
        <w:jc w:val="center"/>
      </w:pPr>
      <w:r>
        <w:rPr>
          <w:rFonts w:ascii="Arial" w:hAnsi="Arial"/>
          <w:b w:val="0"/>
          <w:i/>
          <w:color w:val="6B7280"/>
          <w:sz w:val="16"/>
        </w:rPr>
        <w:t>Figure 59  Financial statements and balances (part 12 of 19)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fin.CreditRemedyStep</w:t>
            </w:r>
          </w:p>
        </w:tc>
        <w:tc>
          <w:tcPr>
            <w:tcW w:type="dxa" w:w="6690"/>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2948"/>
          </w:tcPr>
          <w:p>
            <w:pPr>
              <w:spacing w:after="0" w:before="0"/>
            </w:pPr>
            <w:r/>
            <w:r>
              <w:rPr>
                <w:rFonts w:ascii="Arial" w:hAnsi="Arial"/>
                <w:b w:val="0"/>
                <w:sz w:val="15"/>
              </w:rPr>
              <w:t>CreditRemedyStepId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fin.CreditRemedyTrigger</w:t>
            </w:r>
          </w:p>
        </w:tc>
        <w:tc>
          <w:tcPr>
            <w:tcW w:type="dxa" w:w="6690"/>
            <w:shd w:val="clear" w:color="auto" w:fill="E8EEF6"/>
          </w:tcPr>
          <w:p>
            <w:pPr>
              <w:spacing w:after="0" w:before="0"/>
            </w:pPr>
            <w:r/>
            <w:r>
              <w:rPr>
                <w:rFonts w:ascii="Arial" w:hAnsi="Arial"/>
                <w:b w:val="0"/>
                <w:sz w:val="15"/>
              </w:rPr>
              <w:t>A finding a remedy answers: a metric or an adjustment code</w:t>
            </w:r>
          </w:p>
        </w:tc>
        <w:tc>
          <w:tcPr>
            <w:tcW w:type="dxa" w:w="2948"/>
            <w:shd w:val="clear" w:color="auto" w:fill="E8EEF6"/>
          </w:tcPr>
          <w:p>
            <w:pPr>
              <w:spacing w:after="0" w:before="0"/>
            </w:pPr>
            <w:r/>
            <w:r>
              <w:rPr>
                <w:rFonts w:ascii="Arial" w:hAnsi="Arial"/>
                <w:b w:val="0"/>
                <w:sz w:val="15"/>
              </w:rPr>
              <w:t>CreditRemedyTriggerId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fin.CreditText</w:t>
            </w:r>
          </w:p>
        </w:tc>
        <w:tc>
          <w:tcPr>
            <w:tcW w:type="dxa" w:w="6690"/>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2948"/>
          </w:tcPr>
          <w:p>
            <w:pPr>
              <w:spacing w:after="0" w:before="0"/>
            </w:pPr>
            <w:r/>
            <w:r>
              <w:rPr>
                <w:rFonts w:ascii="Arial" w:hAnsi="Arial"/>
                <w:b w:val="0"/>
                <w:sz w:val="15"/>
              </w:rPr>
              <w:t>CreditTextId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fin.FinancialStatement</w:t>
            </w:r>
          </w:p>
        </w:tc>
        <w:tc>
          <w:tcPr>
            <w:tcW w:type="dxa" w:w="6690"/>
            <w:shd w:val="clear" w:color="auto" w:fill="E8EEF6"/>
          </w:tcPr>
          <w:p>
            <w:pPr>
              <w:spacing w:after="0" w:before="0"/>
            </w:pPr>
            <w:r/>
            <w:r>
              <w:rPr>
                <w:rFonts w:ascii="Arial" w:hAnsi="Arial"/>
                <w:b w:val="0"/>
                <w:sz w:val="15"/>
              </w:rPr>
              <w:t>Financial statement header; highly confidential (FR-FIN-002/005/006, BR-FIN-001..004, section 8)</w:t>
            </w:r>
          </w:p>
        </w:tc>
        <w:tc>
          <w:tcPr>
            <w:tcW w:type="dxa" w:w="2948"/>
            <w:shd w:val="clear" w:color="auto" w:fill="E8EEF6"/>
          </w:tcPr>
          <w:p>
            <w:pPr>
              <w:spacing w:after="0" w:before="0"/>
            </w:pPr>
            <w:r/>
            <w:r>
              <w:rPr>
                <w:rFonts w:ascii="Arial" w:hAnsi="Arial"/>
                <w:b w:val="0"/>
                <w:sz w:val="15"/>
              </w:rPr>
              <w:t>FinancialStatementId</w:t>
            </w:r>
          </w:p>
        </w:tc>
        <w:tc>
          <w:tcPr>
            <w:tcW w:type="dxa" w:w="794"/>
            <w:shd w:val="clear" w:color="auto" w:fill="E8EEF6"/>
          </w:tcPr>
          <w:p>
            <w:pPr>
              <w:spacing w:after="0" w:before="0"/>
            </w:pPr>
            <w:r/>
            <w:r>
              <w:rPr>
                <w:rFonts w:ascii="Arial" w:hAnsi="Arial"/>
                <w:b w:val="0"/>
                <w:sz w:val="15"/>
              </w:rPr>
              <w:t>8</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fin.CreditRemedyStep</w:t>
            </w:r>
          </w:p>
        </w:tc>
        <w:tc>
          <w:tcPr>
            <w:tcW w:type="dxa" w:w="2948"/>
          </w:tcPr>
          <w:p>
            <w:pPr>
              <w:spacing w:after="0" w:before="0"/>
            </w:pPr>
            <w:r/>
            <w:r>
              <w:rPr>
                <w:rFonts w:ascii="Arial" w:hAnsi="Arial"/>
                <w:b w:val="0"/>
                <w:sz w:val="15"/>
              </w:rPr>
              <w:t>RemedyId</w:t>
            </w:r>
          </w:p>
        </w:tc>
        <w:tc>
          <w:tcPr>
            <w:tcW w:type="dxa" w:w="2721"/>
          </w:tcPr>
          <w:p>
            <w:pPr>
              <w:spacing w:after="0" w:before="0"/>
            </w:pPr>
            <w:r/>
            <w:r>
              <w:rPr>
                <w:rFonts w:ascii="Arial" w:hAnsi="Arial"/>
                <w:b w:val="0"/>
                <w:sz w:val="15"/>
              </w:rPr>
              <w:t>fin.CreditRemedy</w:t>
            </w:r>
          </w:p>
        </w:tc>
        <w:tc>
          <w:tcPr>
            <w:tcW w:type="dxa" w:w="2948"/>
          </w:tcPr>
          <w:p>
            <w:pPr>
              <w:spacing w:after="0" w:before="0"/>
            </w:pPr>
            <w:r/>
            <w:r>
              <w:rPr>
                <w:rFonts w:ascii="Arial" w:hAnsi="Arial"/>
                <w:b w:val="0"/>
                <w:sz w:val="15"/>
              </w:rPr>
              <w:t>CreditRemedyId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fin.CreditRemedyTrigger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13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65190" cy="4194339"/>
            <wp:docPr id="60" name="Picture 60"/>
            <wp:cNvGraphicFramePr>
              <a:graphicFrameLocks noChangeAspect="1"/>
            </wp:cNvGraphicFramePr>
            <a:graphic>
              <a:graphicData uri="http://schemas.openxmlformats.org/drawingml/2006/picture">
                <pic:pic>
                  <pic:nvPicPr>
                    <pic:cNvPr id="0" name="m5_financials_13.png"/>
                    <pic:cNvPicPr/>
                  </pic:nvPicPr>
                  <pic:blipFill>
                    <a:blip r:embed="rId70"/>
                    <a:stretch>
                      <a:fillRect/>
                    </a:stretch>
                  </pic:blipFill>
                  <pic:spPr>
                    <a:xfrm>
                      <a:off x="0" y="0"/>
                      <a:ext cx="5965190" cy="4194339"/>
                    </a:xfrm>
                    <a:prstGeom prst="rect"/>
                  </pic:spPr>
                </pic:pic>
              </a:graphicData>
            </a:graphic>
          </wp:inline>
        </w:drawing>
      </w:r>
    </w:p>
    <w:p>
      <w:pPr>
        <w:spacing w:after="120"/>
        <w:jc w:val="center"/>
      </w:pPr>
      <w:r>
        <w:rPr>
          <w:rFonts w:ascii="Arial" w:hAnsi="Arial"/>
          <w:b w:val="0"/>
          <w:i/>
          <w:color w:val="6B7280"/>
          <w:sz w:val="16"/>
        </w:rPr>
        <w:t>Figure 60  Financial statements and balances (part 13 of 19)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fin.IndustryProfile</w:t>
            </w:r>
          </w:p>
        </w:tc>
        <w:tc>
          <w:tcPr>
            <w:tcW w:type="dxa" w:w="6690"/>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948"/>
          </w:tcPr>
          <w:p>
            <w:pPr>
              <w:spacing w:after="0" w:before="0"/>
            </w:pPr>
            <w:r/>
            <w:r>
              <w:rPr>
                <w:rFonts w:ascii="Arial" w:hAnsi="Arial"/>
                <w:b w:val="0"/>
                <w:sz w:val="15"/>
              </w:rPr>
              <w:t>IndustryProfileId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fin.IndustrySensitivity</w:t>
            </w:r>
          </w:p>
        </w:tc>
        <w:tc>
          <w:tcPr>
            <w:tcW w:type="dxa" w:w="6690"/>
            <w:shd w:val="clear" w:color="auto" w:fill="E8EEF6"/>
          </w:tcPr>
          <w:p>
            <w:pPr>
              <w:spacing w:after="0" w:before="0"/>
            </w:pPr>
            <w:r/>
            <w:r>
              <w:rPr>
                <w:rFonts w:ascii="Arial" w:hAnsi="Arial"/>
                <w:b w:val="0"/>
                <w:sz w:val="15"/>
              </w:rPr>
              <w:t>The sensitivity 0 (none) to 5 (extreme) of an activity to a driver of stress (docs/35 section 14)</w:t>
            </w:r>
          </w:p>
        </w:tc>
        <w:tc>
          <w:tcPr>
            <w:tcW w:type="dxa" w:w="2948"/>
            <w:shd w:val="clear" w:color="auto" w:fill="E8EEF6"/>
          </w:tcPr>
          <w:p>
            <w:pPr>
              <w:spacing w:after="0" w:before="0"/>
            </w:pPr>
            <w:r/>
            <w:r>
              <w:rPr>
                <w:rFonts w:ascii="Arial" w:hAnsi="Arial"/>
                <w:b w:val="0"/>
                <w:sz w:val="15"/>
              </w:rPr>
              <w:t>IndustrySensitivityId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fin.IndustryProfile</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fin.IndustryProfile</w:t>
            </w:r>
          </w:p>
        </w:tc>
        <w:tc>
          <w:tcPr>
            <w:tcW w:type="dxa" w:w="2948"/>
            <w:shd w:val="clear" w:color="auto" w:fill="E8EEF6"/>
          </w:tcPr>
          <w:p>
            <w:pPr>
              <w:spacing w:after="0" w:before="0"/>
            </w:pPr>
            <w:r/>
            <w:r>
              <w:rPr>
                <w:rFonts w:ascii="Arial" w:hAnsi="Arial"/>
                <w:b w:val="0"/>
                <w:sz w:val="15"/>
              </w:rPr>
              <w:t>CeilingGradeId</w:t>
            </w:r>
          </w:p>
        </w:tc>
        <w:tc>
          <w:tcPr>
            <w:tcW w:type="dxa" w:w="2721"/>
            <w:shd w:val="clear" w:color="auto" w:fill="E8EEF6"/>
          </w:tcPr>
          <w:p>
            <w:pPr>
              <w:spacing w:after="0" w:before="0"/>
            </w:pPr>
            <w:r/>
            <w:r>
              <w:rPr>
                <w:rFonts w:ascii="Arial" w:hAnsi="Arial"/>
                <w:b w:val="0"/>
                <w:sz w:val="15"/>
              </w:rPr>
              <w:t>fin.RatingGrade</w:t>
            </w:r>
          </w:p>
        </w:tc>
        <w:tc>
          <w:tcPr>
            <w:tcW w:type="dxa" w:w="2948"/>
            <w:shd w:val="clear" w:color="auto" w:fill="E8EEF6"/>
          </w:tcPr>
          <w:p>
            <w:pPr>
              <w:spacing w:after="0" w:before="0"/>
            </w:pPr>
            <w:r/>
            <w:r>
              <w:rPr>
                <w:rFonts w:ascii="Arial" w:hAnsi="Arial"/>
                <w:b w:val="0"/>
                <w:sz w:val="15"/>
              </w:rPr>
              <w:t>RatingGradeId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fin.IndustrySensitivity</w:t>
            </w:r>
          </w:p>
        </w:tc>
        <w:tc>
          <w:tcPr>
            <w:tcW w:type="dxa" w:w="2948"/>
          </w:tcPr>
          <w:p>
            <w:pPr>
              <w:spacing w:after="0" w:before="0"/>
            </w:pPr>
            <w:r/>
            <w:r>
              <w:rPr>
                <w:rFonts w:ascii="Arial" w:hAnsi="Arial"/>
                <w:b w:val="0"/>
                <w:sz w:val="15"/>
              </w:rPr>
              <w:t>IndustryId</w:t>
            </w:r>
          </w:p>
        </w:tc>
        <w:tc>
          <w:tcPr>
            <w:tcW w:type="dxa" w:w="2721"/>
          </w:tcPr>
          <w:p>
            <w:pPr>
              <w:spacing w:after="0" w:before="0"/>
            </w:pPr>
            <w:r/>
            <w:r>
              <w:rPr>
                <w:rFonts w:ascii="Arial" w:hAnsi="Arial"/>
                <w:b w:val="0"/>
                <w:sz w:val="15"/>
              </w:rPr>
              <w:t>ref.Industry</w:t>
            </w:r>
          </w:p>
        </w:tc>
        <w:tc>
          <w:tcPr>
            <w:tcW w:type="dxa" w:w="2948"/>
          </w:tcPr>
          <w:p>
            <w:pPr>
              <w:spacing w:after="0" w:before="0"/>
            </w:pPr>
            <w:r/>
            <w:r>
              <w:rPr>
                <w:rFonts w:ascii="Arial" w:hAnsi="Arial"/>
                <w:b w:val="0"/>
                <w:sz w:val="15"/>
              </w:rPr>
              <w:t>IndustryId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fin.IndustrySensitivity</w:t>
            </w:r>
          </w:p>
        </w:tc>
        <w:tc>
          <w:tcPr>
            <w:tcW w:type="dxa" w:w="2948"/>
            <w:shd w:val="clear" w:color="auto" w:fill="E8EEF6"/>
          </w:tcPr>
          <w:p>
            <w:pPr>
              <w:spacing w:after="0" w:before="0"/>
            </w:pPr>
            <w:r/>
            <w:r>
              <w:rPr>
                <w:rFonts w:ascii="Arial" w:hAnsi="Arial"/>
                <w:b w:val="0"/>
                <w:sz w:val="15"/>
              </w:rPr>
              <w:t>ShockDriverId</w:t>
            </w:r>
          </w:p>
        </w:tc>
        <w:tc>
          <w:tcPr>
            <w:tcW w:type="dxa" w:w="2721"/>
            <w:shd w:val="clear" w:color="auto" w:fill="E8EEF6"/>
          </w:tcPr>
          <w:p>
            <w:pPr>
              <w:spacing w:after="0" w:before="0"/>
            </w:pPr>
            <w:r/>
            <w:r>
              <w:rPr>
                <w:rFonts w:ascii="Arial" w:hAnsi="Arial"/>
                <w:b w:val="0"/>
                <w:sz w:val="15"/>
              </w:rPr>
              <w:t>fin.ShockDriver</w:t>
            </w:r>
          </w:p>
        </w:tc>
        <w:tc>
          <w:tcPr>
            <w:tcW w:type="dxa" w:w="2948"/>
            <w:shd w:val="clear" w:color="auto" w:fill="E8EEF6"/>
          </w:tcPr>
          <w:p>
            <w:pPr>
              <w:spacing w:after="0" w:before="0"/>
            </w:pPr>
            <w:r/>
            <w:r>
              <w:rPr>
                <w:rFonts w:ascii="Arial" w:hAnsi="Arial"/>
                <w:b w:val="0"/>
                <w:sz w:val="15"/>
              </w:rPr>
              <w:t>ShockDriverId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14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5051012"/>
            <wp:docPr id="61" name="Picture 61"/>
            <wp:cNvGraphicFramePr>
              <a:graphicFrameLocks noChangeAspect="1"/>
            </wp:cNvGraphicFramePr>
            <a:graphic>
              <a:graphicData uri="http://schemas.openxmlformats.org/drawingml/2006/picture">
                <pic:pic>
                  <pic:nvPicPr>
                    <pic:cNvPr id="0" name="m5_financials_14.png"/>
                    <pic:cNvPicPr/>
                  </pic:nvPicPr>
                  <pic:blipFill>
                    <a:blip r:embed="rId71"/>
                    <a:stretch>
                      <a:fillRect/>
                    </a:stretch>
                  </pic:blipFill>
                  <pic:spPr>
                    <a:xfrm>
                      <a:off x="0" y="0"/>
                      <a:ext cx="6219190" cy="5051012"/>
                    </a:xfrm>
                    <a:prstGeom prst="rect"/>
                  </pic:spPr>
                </pic:pic>
              </a:graphicData>
            </a:graphic>
          </wp:inline>
        </w:drawing>
      </w:r>
    </w:p>
    <w:p>
      <w:pPr>
        <w:spacing w:after="120"/>
        <w:jc w:val="center"/>
      </w:pPr>
      <w:r>
        <w:rPr>
          <w:rFonts w:ascii="Arial" w:hAnsi="Arial"/>
          <w:b w:val="0"/>
          <w:i/>
          <w:color w:val="6B7280"/>
          <w:sz w:val="16"/>
        </w:rPr>
        <w:t>Figure 61  Financial statements and balances (part 14 of 19)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fin.MacroScenario</w:t>
            </w:r>
          </w:p>
        </w:tc>
        <w:tc>
          <w:tcPr>
            <w:tcW w:type="dxa" w:w="6690"/>
            <w:shd w:val="clear" w:color="auto" w:fill="E8EEF6"/>
          </w:tcPr>
          <w:p>
            <w:pPr>
              <w:spacing w:after="0" w:before="0"/>
            </w:pPr>
            <w:r/>
            <w:r>
              <w:rPr>
                <w:rFonts w:ascii="Arial" w:hAnsi="Arial"/>
                <w:b w:val="0"/>
                <w:sz w:val="15"/>
              </w:rPr>
              <w:t>A macro stress scenario: the stagnant market, the financial crisis, a fiscal squeeze, a real estate correction, a regional conflict, an oil price collapse; the intensity of each driver and the financial conditions (docs/35 section 14, ADR 0019)</w:t>
            </w:r>
          </w:p>
        </w:tc>
        <w:tc>
          <w:tcPr>
            <w:tcW w:type="dxa" w:w="2948"/>
            <w:shd w:val="clear" w:color="auto" w:fill="E8EEF6"/>
          </w:tcPr>
          <w:p>
            <w:pPr>
              <w:spacing w:after="0" w:before="0"/>
            </w:pPr>
            <w:r/>
            <w:r>
              <w:rPr>
                <w:rFonts w:ascii="Arial" w:hAnsi="Arial"/>
                <w:b w:val="0"/>
                <w:sz w:val="15"/>
              </w:rPr>
              <w:t>MacroScenarioId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fin.MacroScenarioIntensity</w:t>
            </w:r>
          </w:p>
        </w:tc>
        <w:tc>
          <w:tcPr>
            <w:tcW w:type="dxa" w:w="6690"/>
          </w:tcPr>
          <w:p>
            <w:pPr>
              <w:spacing w:after="0" w:before="0"/>
            </w:pPr>
            <w:r/>
            <w:r>
              <w:rPr>
                <w:rFonts w:ascii="Arial" w:hAnsi="Arial"/>
                <w:b w:val="0"/>
                <w:sz w:val="15"/>
              </w:rPr>
              <w:t>The intensity 0 to 1 of a driver in a macro scenario (docs/35 section 14)</w:t>
            </w:r>
          </w:p>
        </w:tc>
        <w:tc>
          <w:tcPr>
            <w:tcW w:type="dxa" w:w="2948"/>
          </w:tcPr>
          <w:p>
            <w:pPr>
              <w:spacing w:after="0" w:before="0"/>
            </w:pPr>
            <w:r/>
            <w:r>
              <w:rPr>
                <w:rFonts w:ascii="Arial" w:hAnsi="Arial"/>
                <w:b w:val="0"/>
                <w:sz w:val="15"/>
              </w:rPr>
              <w:t>MacroScenarioIntensityId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fin.MacroScenarioIntensity</w:t>
            </w:r>
          </w:p>
        </w:tc>
        <w:tc>
          <w:tcPr>
            <w:tcW w:type="dxa" w:w="2948"/>
            <w:shd w:val="clear" w:color="auto" w:fill="E8EEF6"/>
          </w:tcPr>
          <w:p>
            <w:pPr>
              <w:spacing w:after="0" w:before="0"/>
            </w:pPr>
            <w:r/>
            <w:r>
              <w:rPr>
                <w:rFonts w:ascii="Arial" w:hAnsi="Arial"/>
                <w:b w:val="0"/>
                <w:sz w:val="15"/>
              </w:rPr>
              <w:t>MacroScenarioId</w:t>
            </w:r>
          </w:p>
        </w:tc>
        <w:tc>
          <w:tcPr>
            <w:tcW w:type="dxa" w:w="2721"/>
            <w:shd w:val="clear" w:color="auto" w:fill="E8EEF6"/>
          </w:tcPr>
          <w:p>
            <w:pPr>
              <w:spacing w:after="0" w:before="0"/>
            </w:pPr>
            <w:r/>
            <w:r>
              <w:rPr>
                <w:rFonts w:ascii="Arial" w:hAnsi="Arial"/>
                <w:b w:val="0"/>
                <w:sz w:val="15"/>
              </w:rPr>
              <w:t>fin.MacroScenario</w:t>
            </w:r>
          </w:p>
        </w:tc>
        <w:tc>
          <w:tcPr>
            <w:tcW w:type="dxa" w:w="2948"/>
            <w:shd w:val="clear" w:color="auto" w:fill="E8EEF6"/>
          </w:tcPr>
          <w:p>
            <w:pPr>
              <w:spacing w:after="0" w:before="0"/>
            </w:pPr>
            <w:r/>
            <w:r>
              <w:rPr>
                <w:rFonts w:ascii="Arial" w:hAnsi="Arial"/>
                <w:b w:val="0"/>
                <w:sz w:val="15"/>
              </w:rPr>
              <w:t>MacroScenarioId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fin.MacroScenarioIntensity</w:t>
            </w:r>
          </w:p>
        </w:tc>
        <w:tc>
          <w:tcPr>
            <w:tcW w:type="dxa" w:w="2948"/>
          </w:tcPr>
          <w:p>
            <w:pPr>
              <w:spacing w:after="0" w:before="0"/>
            </w:pPr>
            <w:r/>
            <w:r>
              <w:rPr>
                <w:rFonts w:ascii="Arial" w:hAnsi="Arial"/>
                <w:b w:val="0"/>
                <w:sz w:val="15"/>
              </w:rPr>
              <w:t>ShockDriverId</w:t>
            </w:r>
          </w:p>
        </w:tc>
        <w:tc>
          <w:tcPr>
            <w:tcW w:type="dxa" w:w="2721"/>
          </w:tcPr>
          <w:p>
            <w:pPr>
              <w:spacing w:after="0" w:before="0"/>
            </w:pPr>
            <w:r/>
            <w:r>
              <w:rPr>
                <w:rFonts w:ascii="Arial" w:hAnsi="Arial"/>
                <w:b w:val="0"/>
                <w:sz w:val="15"/>
              </w:rPr>
              <w:t>fin.ShockDriver</w:t>
            </w:r>
          </w:p>
        </w:tc>
        <w:tc>
          <w:tcPr>
            <w:tcW w:type="dxa" w:w="2948"/>
          </w:tcPr>
          <w:p>
            <w:pPr>
              <w:spacing w:after="0" w:before="0"/>
            </w:pPr>
            <w:r/>
            <w:r>
              <w:rPr>
                <w:rFonts w:ascii="Arial" w:hAnsi="Arial"/>
                <w:b w:val="0"/>
                <w:sz w:val="15"/>
              </w:rPr>
              <w:t>ShockDriverId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15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70270" cy="5912105"/>
            <wp:docPr id="62" name="Picture 62"/>
            <wp:cNvGraphicFramePr>
              <a:graphicFrameLocks noChangeAspect="1"/>
            </wp:cNvGraphicFramePr>
            <a:graphic>
              <a:graphicData uri="http://schemas.openxmlformats.org/drawingml/2006/picture">
                <pic:pic>
                  <pic:nvPicPr>
                    <pic:cNvPr id="0" name="m5_financials_15.png"/>
                    <pic:cNvPicPr/>
                  </pic:nvPicPr>
                  <pic:blipFill>
                    <a:blip r:embed="rId72"/>
                    <a:stretch>
                      <a:fillRect/>
                    </a:stretch>
                  </pic:blipFill>
                  <pic:spPr>
                    <a:xfrm>
                      <a:off x="0" y="0"/>
                      <a:ext cx="5970270" cy="5912105"/>
                    </a:xfrm>
                    <a:prstGeom prst="rect"/>
                  </pic:spPr>
                </pic:pic>
              </a:graphicData>
            </a:graphic>
          </wp:inline>
        </w:drawing>
      </w:r>
    </w:p>
    <w:p>
      <w:pPr>
        <w:spacing w:after="120"/>
        <w:jc w:val="center"/>
      </w:pPr>
      <w:r>
        <w:rPr>
          <w:rFonts w:ascii="Arial" w:hAnsi="Arial"/>
          <w:b w:val="0"/>
          <w:i/>
          <w:color w:val="6B7280"/>
          <w:sz w:val="16"/>
        </w:rPr>
        <w:t>Figure 62  Financial statements and balances (part 15 of 19)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fin.ProductCategory</w:t>
            </w:r>
          </w:p>
        </w:tc>
        <w:tc>
          <w:tcPr>
            <w:tcW w:type="dxa" w:w="6690"/>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fin.RatingGrade</w:t>
            </w:r>
          </w:p>
        </w:tc>
        <w:tc>
          <w:tcPr>
            <w:tcW w:type="dxa" w:w="6690"/>
            <w:shd w:val="clear" w:color="auto" w:fill="E8EEF6"/>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2948"/>
            <w:shd w:val="clear" w:color="auto" w:fill="E8EEF6"/>
          </w:tcPr>
          <w:p>
            <w:pPr>
              <w:spacing w:after="0" w:before="0"/>
            </w:pPr>
            <w:r/>
            <w:r>
              <w:rPr>
                <w:rFonts w:ascii="Arial" w:hAnsi="Arial"/>
                <w:b w:val="0"/>
                <w:sz w:val="15"/>
              </w:rPr>
              <w:t>RatingGradeId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fin.RevenueEstimate</w:t>
            </w:r>
          </w:p>
        </w:tc>
        <w:tc>
          <w:tcPr>
            <w:tcW w:type="dxa" w:w="6690"/>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tcPr>
          <w:p>
            <w:pPr>
              <w:spacing w:after="0" w:before="0"/>
            </w:pPr>
            <w:r/>
            <w:r>
              <w:rPr>
                <w:rFonts w:ascii="Arial" w:hAnsi="Arial"/>
                <w:b w:val="0"/>
                <w:sz w:val="15"/>
              </w:rPr>
              <w:t>RevenueEstimateId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PreparedBy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16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076690" cy="4305609"/>
            <wp:docPr id="63" name="Picture 63"/>
            <wp:cNvGraphicFramePr>
              <a:graphicFrameLocks noChangeAspect="1"/>
            </wp:cNvGraphicFramePr>
            <a:graphic>
              <a:graphicData uri="http://schemas.openxmlformats.org/drawingml/2006/picture">
                <pic:pic>
                  <pic:nvPicPr>
                    <pic:cNvPr id="0" name="m5_financials_16.png"/>
                    <pic:cNvPicPr/>
                  </pic:nvPicPr>
                  <pic:blipFill>
                    <a:blip r:embed="rId73"/>
                    <a:stretch>
                      <a:fillRect/>
                    </a:stretch>
                  </pic:blipFill>
                  <pic:spPr>
                    <a:xfrm>
                      <a:off x="0" y="0"/>
                      <a:ext cx="9076690" cy="4305609"/>
                    </a:xfrm>
                    <a:prstGeom prst="rect"/>
                  </pic:spPr>
                </pic:pic>
              </a:graphicData>
            </a:graphic>
          </wp:inline>
        </w:drawing>
      </w:r>
    </w:p>
    <w:p>
      <w:pPr>
        <w:spacing w:after="120"/>
        <w:jc w:val="center"/>
      </w:pPr>
      <w:r>
        <w:rPr>
          <w:rFonts w:ascii="Arial" w:hAnsi="Arial"/>
          <w:b w:val="0"/>
          <w:i/>
          <w:color w:val="6B7280"/>
          <w:sz w:val="16"/>
        </w:rPr>
        <w:t>Figure 63  Financial statements and balances (part 16 of 19)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fin.RiskAnchor</w:t>
            </w:r>
          </w:p>
        </w:tc>
        <w:tc>
          <w:tcPr>
            <w:tcW w:type="dxa" w:w="6690"/>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2948"/>
          </w:tcPr>
          <w:p>
            <w:pPr>
              <w:spacing w:after="0" w:before="0"/>
            </w:pPr>
            <w:r/>
            <w:r>
              <w:rPr>
                <w:rFonts w:ascii="Arial" w:hAnsi="Arial"/>
                <w:b w:val="0"/>
                <w:sz w:val="15"/>
              </w:rPr>
              <w:t>RiskAnchorId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w:t>
            </w:r>
          </w:p>
        </w:tc>
        <w:tc>
          <w:tcPr>
            <w:tcW w:type="dxa" w:w="6690"/>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2948"/>
            <w:shd w:val="clear" w:color="auto" w:fill="E8EEF6"/>
          </w:tcPr>
          <w:p>
            <w:pPr>
              <w:spacing w:after="0" w:before="0"/>
            </w:pPr>
            <w:r/>
            <w:r>
              <w:rPr>
                <w:rFonts w:ascii="Arial" w:hAnsi="Arial"/>
                <w:b w:val="0"/>
                <w:sz w:val="15"/>
              </w:rPr>
              <w:t>ScorecardId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fin.ScorecardAdjustment</w:t>
            </w:r>
          </w:p>
        </w:tc>
        <w:tc>
          <w:tcPr>
            <w:tcW w:type="dxa" w:w="6690"/>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2948"/>
          </w:tcPr>
          <w:p>
            <w:pPr>
              <w:spacing w:after="0" w:before="0"/>
            </w:pPr>
            <w:r/>
            <w:r>
              <w:rPr>
                <w:rFonts w:ascii="Arial" w:hAnsi="Arial"/>
                <w:b w:val="0"/>
                <w:sz w:val="15"/>
              </w:rPr>
              <w:t>ScorecardAdjustmentId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fin.ScorecardItemRule</w:t>
            </w:r>
          </w:p>
        </w:tc>
        <w:tc>
          <w:tcPr>
            <w:tcW w:type="dxa" w:w="6690"/>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2948"/>
            <w:shd w:val="clear" w:color="auto" w:fill="E8EEF6"/>
          </w:tcPr>
          <w:p>
            <w:pPr>
              <w:spacing w:after="0" w:before="0"/>
            </w:pPr>
            <w:r/>
            <w:r>
              <w:rPr>
                <w:rFonts w:ascii="Arial" w:hAnsi="Arial"/>
                <w:b w:val="0"/>
                <w:sz w:val="15"/>
              </w:rPr>
              <w:t>ScorecardItemRuleId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fin.ScorecardAdjustment</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fin.ScorecardAdjustment</w:t>
            </w:r>
          </w:p>
        </w:tc>
        <w:tc>
          <w:tcPr>
            <w:tcW w:type="dxa" w:w="2948"/>
          </w:tcPr>
          <w:p>
            <w:pPr>
              <w:spacing w:after="0" w:before="0"/>
            </w:pPr>
            <w:r/>
            <w:r>
              <w:rPr>
                <w:rFonts w:ascii="Arial" w:hAnsi="Arial"/>
                <w:b w:val="0"/>
                <w:sz w:val="15"/>
              </w:rPr>
              <w:t>CapGradeId</w:t>
            </w:r>
          </w:p>
        </w:tc>
        <w:tc>
          <w:tcPr>
            <w:tcW w:type="dxa" w:w="2721"/>
          </w:tcPr>
          <w:p>
            <w:pPr>
              <w:spacing w:after="0" w:before="0"/>
            </w:pPr>
            <w:r/>
            <w:r>
              <w:rPr>
                <w:rFonts w:ascii="Arial" w:hAnsi="Arial"/>
                <w:b w:val="0"/>
                <w:sz w:val="15"/>
              </w:rPr>
              <w:t>fin.RatingGrade</w:t>
            </w:r>
          </w:p>
        </w:tc>
        <w:tc>
          <w:tcPr>
            <w:tcW w:type="dxa" w:w="2948"/>
          </w:tcPr>
          <w:p>
            <w:pPr>
              <w:spacing w:after="0" w:before="0"/>
            </w:pPr>
            <w:r/>
            <w:r>
              <w:rPr>
                <w:rFonts w:ascii="Arial" w:hAnsi="Arial"/>
                <w:b w:val="0"/>
                <w:sz w:val="15"/>
              </w:rPr>
              <w:t>RatingGradeId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fin.ScorecardItemRule</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fin.ScorecardItemRule</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17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891530" cy="3974807"/>
            <wp:docPr id="64" name="Picture 64"/>
            <wp:cNvGraphicFramePr>
              <a:graphicFrameLocks noChangeAspect="1"/>
            </wp:cNvGraphicFramePr>
            <a:graphic>
              <a:graphicData uri="http://schemas.openxmlformats.org/drawingml/2006/picture">
                <pic:pic>
                  <pic:nvPicPr>
                    <pic:cNvPr id="0" name="m5_financials_17.png"/>
                    <pic:cNvPicPr/>
                  </pic:nvPicPr>
                  <pic:blipFill>
                    <a:blip r:embed="rId74"/>
                    <a:stretch>
                      <a:fillRect/>
                    </a:stretch>
                  </pic:blipFill>
                  <pic:spPr>
                    <a:xfrm>
                      <a:off x="0" y="0"/>
                      <a:ext cx="5891530" cy="3974807"/>
                    </a:xfrm>
                    <a:prstGeom prst="rect"/>
                  </pic:spPr>
                </pic:pic>
              </a:graphicData>
            </a:graphic>
          </wp:inline>
        </w:drawing>
      </w:r>
    </w:p>
    <w:p>
      <w:pPr>
        <w:spacing w:after="120"/>
        <w:jc w:val="center"/>
      </w:pPr>
      <w:r>
        <w:rPr>
          <w:rFonts w:ascii="Arial" w:hAnsi="Arial"/>
          <w:b w:val="0"/>
          <w:i/>
          <w:color w:val="6B7280"/>
          <w:sz w:val="16"/>
        </w:rPr>
        <w:t>Figure 64  Financial statements and balances (part 17 of 19)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fin.ScorecardMetric</w:t>
            </w:r>
          </w:p>
        </w:tc>
        <w:tc>
          <w:tcPr>
            <w:tcW w:type="dxa" w:w="6690"/>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2948"/>
          </w:tcPr>
          <w:p>
            <w:pPr>
              <w:spacing w:after="0" w:before="0"/>
            </w:pPr>
            <w:r/>
            <w:r>
              <w:rPr>
                <w:rFonts w:ascii="Arial" w:hAnsi="Arial"/>
                <w:b w:val="0"/>
                <w:sz w:val="15"/>
              </w:rPr>
              <w:t>ScorecardMetricId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fin.ScorecardParameter</w:t>
            </w:r>
          </w:p>
        </w:tc>
        <w:tc>
          <w:tcPr>
            <w:tcW w:type="dxa" w:w="6690"/>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2948"/>
            <w:shd w:val="clear" w:color="auto" w:fill="E8EEF6"/>
          </w:tcPr>
          <w:p>
            <w:pPr>
              <w:spacing w:after="0" w:before="0"/>
            </w:pPr>
            <w:r/>
            <w:r>
              <w:rPr>
                <w:rFonts w:ascii="Arial" w:hAnsi="Arial"/>
                <w:b w:val="0"/>
                <w:sz w:val="15"/>
              </w:rPr>
              <w:t>ScorecardParameterId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fin.ScorecardSubfactor</w:t>
            </w:r>
          </w:p>
        </w:tc>
        <w:tc>
          <w:tcPr>
            <w:tcW w:type="dxa" w:w="6690"/>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2948"/>
          </w:tcPr>
          <w:p>
            <w:pPr>
              <w:spacing w:after="0" w:before="0"/>
            </w:pPr>
            <w:r/>
            <w:r>
              <w:rPr>
                <w:rFonts w:ascii="Arial" w:hAnsi="Arial"/>
                <w:b w:val="0"/>
                <w:sz w:val="15"/>
              </w:rPr>
              <w:t>ScorecardSubfactorId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fin.ScorecardMetric</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fin.ScorecardMetric</w:t>
            </w:r>
          </w:p>
        </w:tc>
        <w:tc>
          <w:tcPr>
            <w:tcW w:type="dxa" w:w="2948"/>
            <w:shd w:val="clear" w:color="auto" w:fill="E8EEF6"/>
          </w:tcPr>
          <w:p>
            <w:pPr>
              <w:spacing w:after="0" w:before="0"/>
            </w:pPr>
            <w:r/>
            <w:r>
              <w:rPr>
                <w:rFonts w:ascii="Arial" w:hAnsi="Arial"/>
                <w:b w:val="0"/>
                <w:sz w:val="15"/>
              </w:rPr>
              <w:t>MetricId</w:t>
            </w:r>
          </w:p>
        </w:tc>
        <w:tc>
          <w:tcPr>
            <w:tcW w:type="dxa" w:w="2721"/>
            <w:shd w:val="clear" w:color="auto" w:fill="E8EEF6"/>
          </w:tcPr>
          <w:p>
            <w:pPr>
              <w:spacing w:after="0" w:before="0"/>
            </w:pPr>
            <w:r/>
            <w:r>
              <w:rPr>
                <w:rFonts w:ascii="Arial" w:hAnsi="Arial"/>
                <w:b w:val="0"/>
                <w:sz w:val="15"/>
              </w:rPr>
              <w:t>fin.CreditMetric</w:t>
            </w:r>
          </w:p>
        </w:tc>
        <w:tc>
          <w:tcPr>
            <w:tcW w:type="dxa" w:w="2948"/>
            <w:shd w:val="clear" w:color="auto" w:fill="E8EEF6"/>
          </w:tcPr>
          <w:p>
            <w:pPr>
              <w:spacing w:after="0" w:before="0"/>
            </w:pPr>
            <w:r/>
            <w:r>
              <w:rPr>
                <w:rFonts w:ascii="Arial" w:hAnsi="Arial"/>
                <w:b w:val="0"/>
                <w:sz w:val="15"/>
              </w:rPr>
              <w:t>CreditMetricId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fin.ScorecardParameter</w:t>
            </w:r>
          </w:p>
        </w:tc>
        <w:tc>
          <w:tcPr>
            <w:tcW w:type="dxa" w:w="2948"/>
          </w:tcPr>
          <w:p>
            <w:pPr>
              <w:spacing w:after="0" w:before="0"/>
            </w:pPr>
            <w:r/>
            <w:r>
              <w:rPr>
                <w:rFonts w:ascii="Arial" w:hAnsi="Arial"/>
                <w:b w:val="0"/>
                <w:sz w:val="15"/>
              </w:rPr>
              <w:t>ScorecardId</w:t>
            </w:r>
          </w:p>
        </w:tc>
        <w:tc>
          <w:tcPr>
            <w:tcW w:type="dxa" w:w="2721"/>
          </w:tcPr>
          <w:p>
            <w:pPr>
              <w:spacing w:after="0" w:before="0"/>
            </w:pPr>
            <w:r/>
            <w:r>
              <w:rPr>
                <w:rFonts w:ascii="Arial" w:hAnsi="Arial"/>
                <w:b w:val="0"/>
                <w:sz w:val="15"/>
              </w:rPr>
              <w:t>fin.Scorecard</w:t>
            </w:r>
          </w:p>
        </w:tc>
        <w:tc>
          <w:tcPr>
            <w:tcW w:type="dxa" w:w="2948"/>
          </w:tcPr>
          <w:p>
            <w:pPr>
              <w:spacing w:after="0" w:before="0"/>
            </w:pPr>
            <w:r/>
            <w:r>
              <w:rPr>
                <w:rFonts w:ascii="Arial" w:hAnsi="Arial"/>
                <w:b w:val="0"/>
                <w:sz w:val="15"/>
              </w:rPr>
              <w:t>ScorecardId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fin.ScorecardSubfactor</w:t>
            </w:r>
          </w:p>
        </w:tc>
        <w:tc>
          <w:tcPr>
            <w:tcW w:type="dxa" w:w="2948"/>
            <w:shd w:val="clear" w:color="auto" w:fill="E8EEF6"/>
          </w:tcPr>
          <w:p>
            <w:pPr>
              <w:spacing w:after="0" w:before="0"/>
            </w:pPr>
            <w:r/>
            <w:r>
              <w:rPr>
                <w:rFonts w:ascii="Arial" w:hAnsi="Arial"/>
                <w:b w:val="0"/>
                <w:sz w:val="15"/>
              </w:rPr>
              <w:t>ScorecardId</w:t>
            </w:r>
          </w:p>
        </w:tc>
        <w:tc>
          <w:tcPr>
            <w:tcW w:type="dxa" w:w="2721"/>
            <w:shd w:val="clear" w:color="auto" w:fill="E8EEF6"/>
          </w:tcPr>
          <w:p>
            <w:pPr>
              <w:spacing w:after="0" w:before="0"/>
            </w:pPr>
            <w:r/>
            <w:r>
              <w:rPr>
                <w:rFonts w:ascii="Arial" w:hAnsi="Arial"/>
                <w:b w:val="0"/>
                <w:sz w:val="15"/>
              </w:rPr>
              <w:t>fin.Scorecard</w:t>
            </w:r>
          </w:p>
        </w:tc>
        <w:tc>
          <w:tcPr>
            <w:tcW w:type="dxa" w:w="2948"/>
            <w:shd w:val="clear" w:color="auto" w:fill="E8EEF6"/>
          </w:tcPr>
          <w:p>
            <w:pPr>
              <w:spacing w:after="0" w:before="0"/>
            </w:pPr>
            <w:r/>
            <w:r>
              <w:rPr>
                <w:rFonts w:ascii="Arial" w:hAnsi="Arial"/>
                <w:b w:val="0"/>
                <w:sz w:val="15"/>
              </w:rPr>
              <w:t>ScorecardId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fin.ScorecardSubfactor</w:t>
            </w:r>
          </w:p>
        </w:tc>
        <w:tc>
          <w:tcPr>
            <w:tcW w:type="dxa" w:w="2948"/>
          </w:tcPr>
          <w:p>
            <w:pPr>
              <w:spacing w:after="0" w:before="0"/>
            </w:pPr>
            <w:r/>
            <w:r>
              <w:rPr>
                <w:rFonts w:ascii="Arial" w:hAnsi="Arial"/>
                <w:b w:val="0"/>
                <w:sz w:val="15"/>
              </w:rPr>
              <w:t>MetricId</w:t>
            </w:r>
          </w:p>
        </w:tc>
        <w:tc>
          <w:tcPr>
            <w:tcW w:type="dxa" w:w="2721"/>
          </w:tcPr>
          <w:p>
            <w:pPr>
              <w:spacing w:after="0" w:before="0"/>
            </w:pPr>
            <w:r/>
            <w:r>
              <w:rPr>
                <w:rFonts w:ascii="Arial" w:hAnsi="Arial"/>
                <w:b w:val="0"/>
                <w:sz w:val="15"/>
              </w:rPr>
              <w:t>fin.CreditMetric</w:t>
            </w:r>
          </w:p>
        </w:tc>
        <w:tc>
          <w:tcPr>
            <w:tcW w:type="dxa" w:w="2948"/>
          </w:tcPr>
          <w:p>
            <w:pPr>
              <w:spacing w:after="0" w:before="0"/>
            </w:pPr>
            <w:r/>
            <w:r>
              <w:rPr>
                <w:rFonts w:ascii="Arial" w:hAnsi="Arial"/>
                <w:b w:val="0"/>
                <w:sz w:val="15"/>
              </w:rPr>
              <w:t>CreditMetricId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18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5184478"/>
            <wp:docPr id="65" name="Picture 65"/>
            <wp:cNvGraphicFramePr>
              <a:graphicFrameLocks noChangeAspect="1"/>
            </wp:cNvGraphicFramePr>
            <a:graphic>
              <a:graphicData uri="http://schemas.openxmlformats.org/drawingml/2006/picture">
                <pic:pic>
                  <pic:nvPicPr>
                    <pic:cNvPr id="0" name="m5_financials_18.png"/>
                    <pic:cNvPicPr/>
                  </pic:nvPicPr>
                  <pic:blipFill>
                    <a:blip r:embed="rId75"/>
                    <a:stretch>
                      <a:fillRect/>
                    </a:stretch>
                  </pic:blipFill>
                  <pic:spPr>
                    <a:xfrm>
                      <a:off x="0" y="0"/>
                      <a:ext cx="6015990" cy="5184478"/>
                    </a:xfrm>
                    <a:prstGeom prst="rect"/>
                  </pic:spPr>
                </pic:pic>
              </a:graphicData>
            </a:graphic>
          </wp:inline>
        </w:drawing>
      </w:r>
    </w:p>
    <w:p>
      <w:pPr>
        <w:spacing w:after="120"/>
        <w:jc w:val="center"/>
      </w:pPr>
      <w:r>
        <w:rPr>
          <w:rFonts w:ascii="Arial" w:hAnsi="Arial"/>
          <w:b w:val="0"/>
          <w:i/>
          <w:color w:val="6B7280"/>
          <w:sz w:val="16"/>
        </w:rPr>
        <w:t>Figure 65  Financial statements and balances (part 18 of 19)  ·  4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fin.ShockDriver</w:t>
            </w:r>
          </w:p>
        </w:tc>
        <w:tc>
          <w:tcPr>
            <w:tcW w:type="dxa" w:w="6690"/>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2948"/>
          </w:tcPr>
          <w:p>
            <w:pPr>
              <w:spacing w:after="0" w:before="0"/>
            </w:pPr>
            <w:r/>
            <w:r>
              <w:rPr>
                <w:rFonts w:ascii="Arial" w:hAnsi="Arial"/>
                <w:b w:val="0"/>
                <w:sz w:val="15"/>
              </w:rPr>
              <w:t>ShockDriverId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fin.StandardLine</w:t>
            </w:r>
          </w:p>
        </w:tc>
        <w:tc>
          <w:tcPr>
            <w:tcW w:type="dxa" w:w="6690"/>
            <w:shd w:val="clear" w:color="auto" w:fill="E8EEF6"/>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2948"/>
            <w:shd w:val="clear" w:color="auto" w:fill="E8EEF6"/>
          </w:tcPr>
          <w:p>
            <w:pPr>
              <w:spacing w:after="0" w:before="0"/>
            </w:pPr>
            <w:r/>
            <w:r>
              <w:rPr>
                <w:rFonts w:ascii="Arial" w:hAnsi="Arial"/>
                <w:b w:val="0"/>
                <w:sz w:val="15"/>
              </w:rPr>
              <w:t>StandardLineId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fin.StandardLineTotal</w:t>
            </w:r>
          </w:p>
        </w:tc>
        <w:tc>
          <w:tcPr>
            <w:tcW w:type="dxa" w:w="6690"/>
          </w:tcPr>
          <w:p>
            <w:pPr>
              <w:spacing w:after="0" w:before="0"/>
            </w:pPr>
            <w:r/>
            <w:r>
              <w:rPr>
                <w:rFonts w:ascii="Arial" w:hAnsi="Arial"/>
                <w:b w:val="0"/>
                <w:sz w:val="15"/>
              </w:rPr>
              <w:t>The components of a standard total and their sign, so a total is recomputed after a pro-forma change (docs/35 section 12)</w:t>
            </w:r>
          </w:p>
        </w:tc>
        <w:tc>
          <w:tcPr>
            <w:tcW w:type="dxa" w:w="2948"/>
          </w:tcPr>
          <w:p>
            <w:pPr>
              <w:spacing w:after="0" w:before="0"/>
            </w:pPr>
            <w:r/>
            <w:r>
              <w:rPr>
                <w:rFonts w:ascii="Arial" w:hAnsi="Arial"/>
                <w:b w:val="0"/>
                <w:sz w:val="15"/>
              </w:rPr>
              <w:t>StandardLineTotalId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fin.StatementLine</w:t>
            </w:r>
          </w:p>
        </w:tc>
        <w:tc>
          <w:tcPr>
            <w:tcW w:type="dxa" w:w="6690"/>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shd w:val="clear" w:color="auto" w:fill="E8EEF6"/>
          </w:tcPr>
          <w:p>
            <w:pPr>
              <w:spacing w:after="0" w:before="0"/>
            </w:pPr>
            <w:r/>
            <w:r>
              <w:rPr>
                <w:rFonts w:ascii="Arial" w:hAnsi="Arial"/>
                <w:b w:val="0"/>
                <w:sz w:val="15"/>
              </w:rPr>
              <w:t>StatementLineId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19 of 19)</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484620" cy="4007162"/>
            <wp:docPr id="66" name="Picture 66"/>
            <wp:cNvGraphicFramePr>
              <a:graphicFrameLocks noChangeAspect="1"/>
            </wp:cNvGraphicFramePr>
            <a:graphic>
              <a:graphicData uri="http://schemas.openxmlformats.org/drawingml/2006/picture">
                <pic:pic>
                  <pic:nvPicPr>
                    <pic:cNvPr id="0" name="m5_financials_19.png"/>
                    <pic:cNvPicPr/>
                  </pic:nvPicPr>
                  <pic:blipFill>
                    <a:blip r:embed="rId76"/>
                    <a:stretch>
                      <a:fillRect/>
                    </a:stretch>
                  </pic:blipFill>
                  <pic:spPr>
                    <a:xfrm>
                      <a:off x="0" y="0"/>
                      <a:ext cx="6484620" cy="4007162"/>
                    </a:xfrm>
                    <a:prstGeom prst="rect"/>
                  </pic:spPr>
                </pic:pic>
              </a:graphicData>
            </a:graphic>
          </wp:inline>
        </w:drawing>
      </w:r>
    </w:p>
    <w:p>
      <w:pPr>
        <w:spacing w:after="120"/>
        <w:jc w:val="center"/>
      </w:pPr>
      <w:r>
        <w:rPr>
          <w:rFonts w:ascii="Arial" w:hAnsi="Arial"/>
          <w:b w:val="0"/>
          <w:i/>
          <w:color w:val="6B7280"/>
          <w:sz w:val="16"/>
        </w:rPr>
        <w:t>Figure 66  Financial statements and balances (part 19 of 19)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fin.StatementRatio</w:t>
            </w:r>
          </w:p>
        </w:tc>
        <w:tc>
          <w:tcPr>
            <w:tcW w:type="dxa" w:w="6690"/>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tcPr>
          <w:p>
            <w:pPr>
              <w:spacing w:after="0" w:before="0"/>
            </w:pPr>
            <w:r/>
            <w:r>
              <w:rPr>
                <w:rFonts w:ascii="Arial" w:hAnsi="Arial"/>
                <w:b w:val="0"/>
                <w:sz w:val="15"/>
              </w:rPr>
              <w:t>StatementRatioId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fin.StrengtheningPlan</w:t>
            </w:r>
          </w:p>
        </w:tc>
        <w:tc>
          <w:tcPr>
            <w:tcW w:type="dxa" w:w="6690"/>
            <w:shd w:val="clear" w:color="auto" w:fill="E8EEF6"/>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2948"/>
            <w:shd w:val="clear" w:color="auto" w:fill="E8EEF6"/>
          </w:tcPr>
          <w:p>
            <w:pPr>
              <w:spacing w:after="0" w:before="0"/>
            </w:pPr>
            <w:r/>
            <w:r>
              <w:rPr>
                <w:rFonts w:ascii="Arial" w:hAnsi="Arial"/>
                <w:b w:val="0"/>
                <w:sz w:val="15"/>
              </w:rPr>
              <w:t>StrengtheningPlanId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fin.StrengtheningPlanMember</w:t>
            </w:r>
          </w:p>
        </w:tc>
        <w:tc>
          <w:tcPr>
            <w:tcW w:type="dxa" w:w="6690"/>
          </w:tcPr>
          <w:p>
            <w:pPr>
              <w:spacing w:after="0" w:before="0"/>
            </w:pPr>
            <w:r/>
            <w:r>
              <w:rPr>
                <w:rFonts w:ascii="Arial" w:hAnsi="Arial"/>
                <w:b w:val="0"/>
                <w:sz w:val="15"/>
              </w:rPr>
              <w:t>A remedy of a package plan, in the order the plan applies it</w:t>
            </w:r>
          </w:p>
        </w:tc>
        <w:tc>
          <w:tcPr>
            <w:tcW w:type="dxa" w:w="2948"/>
          </w:tcPr>
          <w:p>
            <w:pPr>
              <w:spacing w:after="0" w:before="0"/>
            </w:pPr>
            <w:r/>
            <w:r>
              <w:rPr>
                <w:rFonts w:ascii="Arial" w:hAnsi="Arial"/>
                <w:b w:val="0"/>
                <w:sz w:val="15"/>
              </w:rPr>
              <w:t>StrengtheningPlanMemberId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fin.StrengtheningPlanMember</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fin.StrengtheningPlan</w:t>
            </w:r>
          </w:p>
        </w:tc>
        <w:tc>
          <w:tcPr>
            <w:tcW w:type="dxa" w:w="2948"/>
          </w:tcPr>
          <w:p>
            <w:pPr>
              <w:spacing w:after="0" w:before="0"/>
            </w:pPr>
            <w:r/>
            <w:r>
              <w:rPr>
                <w:rFonts w:ascii="Arial" w:hAnsi="Arial"/>
                <w:b w:val="0"/>
                <w:sz w:val="15"/>
              </w:rPr>
              <w:t>StrengtheningPlanId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fin.StrengtheningPlanMember</w:t>
            </w:r>
          </w:p>
        </w:tc>
        <w:tc>
          <w:tcPr>
            <w:tcW w:type="dxa" w:w="2948"/>
            <w:shd w:val="clear" w:color="auto" w:fill="E8EEF6"/>
          </w:tcPr>
          <w:p>
            <w:pPr>
              <w:spacing w:after="0" w:before="0"/>
            </w:pPr>
            <w:r/>
            <w:r>
              <w:rPr>
                <w:rFonts w:ascii="Arial" w:hAnsi="Arial"/>
                <w:b w:val="0"/>
                <w:sz w:val="15"/>
              </w:rPr>
              <w:t>RemedyId</w:t>
            </w:r>
          </w:p>
        </w:tc>
        <w:tc>
          <w:tcPr>
            <w:tcW w:type="dxa" w:w="2721"/>
            <w:shd w:val="clear" w:color="auto" w:fill="E8EEF6"/>
          </w:tcPr>
          <w:p>
            <w:pPr>
              <w:spacing w:after="0" w:before="0"/>
            </w:pPr>
            <w:r/>
            <w:r>
              <w:rPr>
                <w:rFonts w:ascii="Arial" w:hAnsi="Arial"/>
                <w:b w:val="0"/>
                <w:sz w:val="15"/>
              </w:rPr>
              <w:t>fin.CreditRemedy</w:t>
            </w:r>
          </w:p>
        </w:tc>
        <w:tc>
          <w:tcPr>
            <w:tcW w:type="dxa" w:w="2948"/>
            <w:shd w:val="clear" w:color="auto" w:fill="E8EEF6"/>
          </w:tcPr>
          <w:p>
            <w:pPr>
              <w:spacing w:after="0" w:before="0"/>
            </w:pPr>
            <w:r/>
            <w:r>
              <w:rPr>
                <w:rFonts w:ascii="Arial" w:hAnsi="Arial"/>
                <w:b w:val="0"/>
                <w:sz w:val="15"/>
              </w:rPr>
              <w:t>CreditRemedyId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67" name="Picture 67"/>
            <wp:cNvGraphicFramePr>
              <a:graphicFrameLocks noChangeAspect="1"/>
            </wp:cNvGraphicFramePr>
            <a:graphic>
              <a:graphicData uri="http://schemas.openxmlformats.org/drawingml/2006/picture">
                <pic:pic>
                  <pic:nvPicPr>
                    <pic:cNvPr id="0" name="m6_wf_templates_1.png"/>
                    <pic:cNvPicPr/>
                  </pic:nvPicPr>
                  <pic:blipFill>
                    <a:blip r:embed="rId77"/>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67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68" name="Picture 68"/>
            <wp:cNvGraphicFramePr>
              <a:graphicFrameLocks noChangeAspect="1"/>
            </wp:cNvGraphicFramePr>
            <a:graphic>
              <a:graphicData uri="http://schemas.openxmlformats.org/drawingml/2006/picture">
                <pic:pic>
                  <pic:nvPicPr>
                    <pic:cNvPr id="0" name="m6_wf_templates_2.png"/>
                    <pic:cNvPicPr/>
                  </pic:nvPicPr>
                  <pic:blipFill>
                    <a:blip r:embed="rId78"/>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68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69" name="Picture 69"/>
            <wp:cNvGraphicFramePr>
              <a:graphicFrameLocks noChangeAspect="1"/>
            </wp:cNvGraphicFramePr>
            <a:graphic>
              <a:graphicData uri="http://schemas.openxmlformats.org/drawingml/2006/picture">
                <pic:pic>
                  <pic:nvPicPr>
                    <pic:cNvPr id="0" name="m6_wf_templates_3.png"/>
                    <pic:cNvPicPr/>
                  </pic:nvPicPr>
                  <pic:blipFill>
                    <a:blip r:embed="rId79"/>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69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70" name="Picture 70"/>
            <wp:cNvGraphicFramePr>
              <a:graphicFrameLocks noChangeAspect="1"/>
            </wp:cNvGraphicFramePr>
            <a:graphic>
              <a:graphicData uri="http://schemas.openxmlformats.org/drawingml/2006/picture">
                <pic:pic>
                  <pic:nvPicPr>
                    <pic:cNvPr id="0" name="m6_wf_templates_4.png"/>
                    <pic:cNvPicPr/>
                  </pic:nvPicPr>
                  <pic:blipFill>
                    <a:blip r:embed="rId80"/>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70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71" name="Picture 71"/>
            <wp:cNvGraphicFramePr>
              <a:graphicFrameLocks noChangeAspect="1"/>
            </wp:cNvGraphicFramePr>
            <a:graphic>
              <a:graphicData uri="http://schemas.openxmlformats.org/drawingml/2006/picture">
                <pic:pic>
                  <pic:nvPicPr>
                    <pic:cNvPr id="0" name="m6_requests_1.png"/>
                    <pic:cNvPicPr/>
                  </pic:nvPicPr>
                  <pic:blipFill>
                    <a:blip r:embed="rId81"/>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71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72" name="Picture 72"/>
            <wp:cNvGraphicFramePr>
              <a:graphicFrameLocks noChangeAspect="1"/>
            </wp:cNvGraphicFramePr>
            <a:graphic>
              <a:graphicData uri="http://schemas.openxmlformats.org/drawingml/2006/picture">
                <pic:pic>
                  <pic:nvPicPr>
                    <pic:cNvPr id="0" name="m6_requests_2.png"/>
                    <pic:cNvPicPr/>
                  </pic:nvPicPr>
                  <pic:blipFill>
                    <a:blip r:embed="rId82"/>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72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73" name="Picture 73"/>
            <wp:cNvGraphicFramePr>
              <a:graphicFrameLocks noChangeAspect="1"/>
            </wp:cNvGraphicFramePr>
            <a:graphic>
              <a:graphicData uri="http://schemas.openxmlformats.org/drawingml/2006/picture">
                <pic:pic>
                  <pic:nvPicPr>
                    <pic:cNvPr id="0" name="m6_requests_3.png"/>
                    <pic:cNvPicPr/>
                  </pic:nvPicPr>
                  <pic:blipFill>
                    <a:blip r:embed="rId83"/>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73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74" name="Picture 74"/>
            <wp:cNvGraphicFramePr>
              <a:graphicFrameLocks noChangeAspect="1"/>
            </wp:cNvGraphicFramePr>
            <a:graphic>
              <a:graphicData uri="http://schemas.openxmlformats.org/drawingml/2006/picture">
                <pic:pic>
                  <pic:nvPicPr>
                    <pic:cNvPr id="0" name="m6_requests_4.png"/>
                    <pic:cNvPicPr/>
                  </pic:nvPicPr>
                  <pic:blipFill>
                    <a:blip r:embed="rId84"/>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74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75" name="Picture 75"/>
            <wp:cNvGraphicFramePr>
              <a:graphicFrameLocks noChangeAspect="1"/>
            </wp:cNvGraphicFramePr>
            <a:graphic>
              <a:graphicData uri="http://schemas.openxmlformats.org/drawingml/2006/picture">
                <pic:pic>
                  <pic:nvPicPr>
                    <pic:cNvPr id="0" name="m6_requests_5.png"/>
                    <pic:cNvPicPr/>
                  </pic:nvPicPr>
                  <pic:blipFill>
                    <a:blip r:embed="rId85"/>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75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76" name="Picture 76"/>
            <wp:cNvGraphicFramePr>
              <a:graphicFrameLocks noChangeAspect="1"/>
            </wp:cNvGraphicFramePr>
            <a:graphic>
              <a:graphicData uri="http://schemas.openxmlformats.org/drawingml/2006/picture">
                <pic:pic>
                  <pic:nvPicPr>
                    <pic:cNvPr id="0" name="m6_requests_6.png"/>
                    <pic:cNvPicPr/>
                  </pic:nvPicPr>
                  <pic:blipFill>
                    <a:blip r:embed="rId86"/>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76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77" name="Picture 77"/>
            <wp:cNvGraphicFramePr>
              <a:graphicFrameLocks noChangeAspect="1"/>
            </wp:cNvGraphicFramePr>
            <a:graphic>
              <a:graphicData uri="http://schemas.openxmlformats.org/drawingml/2006/picture">
                <pic:pic>
                  <pic:nvPicPr>
                    <pic:cNvPr id="0" name="m6_requests_7.png"/>
                    <pic:cNvPicPr/>
                  </pic:nvPicPr>
                  <pic:blipFill>
                    <a:blip r:embed="rId87"/>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77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78" name="Picture 78"/>
            <wp:cNvGraphicFramePr>
              <a:graphicFrameLocks noChangeAspect="1"/>
            </wp:cNvGraphicFramePr>
            <a:graphic>
              <a:graphicData uri="http://schemas.openxmlformats.org/drawingml/2006/picture">
                <pic:pic>
                  <pic:nvPicPr>
                    <pic:cNvPr id="0" name="m6_notifications.png"/>
                    <pic:cNvPicPr/>
                  </pic:nvPicPr>
                  <pic:blipFill>
                    <a:blip r:embed="rId88"/>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78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79" name="Picture 79"/>
            <wp:cNvGraphicFramePr>
              <a:graphicFrameLocks noChangeAspect="1"/>
            </wp:cNvGraphicFramePr>
            <a:graphic>
              <a:graphicData uri="http://schemas.openxmlformats.org/drawingml/2006/picture">
                <pic:pic>
                  <pic:nvPicPr>
                    <pic:cNvPr id="0" name="m7_8_lc_terms_1.png"/>
                    <pic:cNvPicPr/>
                  </pic:nvPicPr>
                  <pic:blipFill>
                    <a:blip r:embed="rId89"/>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79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80" name="Picture 80"/>
            <wp:cNvGraphicFramePr>
              <a:graphicFrameLocks noChangeAspect="1"/>
            </wp:cNvGraphicFramePr>
            <a:graphic>
              <a:graphicData uri="http://schemas.openxmlformats.org/drawingml/2006/picture">
                <pic:pic>
                  <pic:nvPicPr>
                    <pic:cNvPr id="0" name="m7_8_lc_terms_2.png"/>
                    <pic:cNvPicPr/>
                  </pic:nvPicPr>
                  <pic:blipFill>
                    <a:blip r:embed="rId90"/>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80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81" name="Picture 81"/>
            <wp:cNvGraphicFramePr>
              <a:graphicFrameLocks noChangeAspect="1"/>
            </wp:cNvGraphicFramePr>
            <a:graphic>
              <a:graphicData uri="http://schemas.openxmlformats.org/drawingml/2006/picture">
                <pic:pic>
                  <pic:nvPicPr>
                    <pic:cNvPr id="0" name="m7_8_lc_terms_3.png"/>
                    <pic:cNvPicPr/>
                  </pic:nvPicPr>
                  <pic:blipFill>
                    <a:blip r:embed="rId91"/>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81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82" name="Picture 82"/>
            <wp:cNvGraphicFramePr>
              <a:graphicFrameLocks noChangeAspect="1"/>
            </wp:cNvGraphicFramePr>
            <a:graphic>
              <a:graphicData uri="http://schemas.openxmlformats.org/drawingml/2006/picture">
                <pic:pic>
                  <pic:nvPicPr>
                    <pic:cNvPr id="0" name="m7_8_lc_terms_4.png"/>
                    <pic:cNvPicPr/>
                  </pic:nvPicPr>
                  <pic:blipFill>
                    <a:blip r:embed="rId92"/>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82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83" name="Picture 83"/>
            <wp:cNvGraphicFramePr>
              <a:graphicFrameLocks noChangeAspect="1"/>
            </wp:cNvGraphicFramePr>
            <a:graphic>
              <a:graphicData uri="http://schemas.openxmlformats.org/drawingml/2006/picture">
                <pic:pic>
                  <pic:nvPicPr>
                    <pic:cNvPr id="0" name="m7_8_lc_terms_5.png"/>
                    <pic:cNvPicPr/>
                  </pic:nvPicPr>
                  <pic:blipFill>
                    <a:blip r:embed="rId93"/>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83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84" name="Picture 84"/>
            <wp:cNvGraphicFramePr>
              <a:graphicFrameLocks noChangeAspect="1"/>
            </wp:cNvGraphicFramePr>
            <a:graphic>
              <a:graphicData uri="http://schemas.openxmlformats.org/drawingml/2006/picture">
                <pic:pic>
                  <pic:nvPicPr>
                    <pic:cNvPr id="0" name="m7_8_lc_ops_1.png"/>
                    <pic:cNvPicPr/>
                  </pic:nvPicPr>
                  <pic:blipFill>
                    <a:blip r:embed="rId94"/>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84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85" name="Picture 85"/>
            <wp:cNvGraphicFramePr>
              <a:graphicFrameLocks noChangeAspect="1"/>
            </wp:cNvGraphicFramePr>
            <a:graphic>
              <a:graphicData uri="http://schemas.openxmlformats.org/drawingml/2006/picture">
                <pic:pic>
                  <pic:nvPicPr>
                    <pic:cNvPr id="0" name="m7_8_lc_ops_2.png"/>
                    <pic:cNvPicPr/>
                  </pic:nvPicPr>
                  <pic:blipFill>
                    <a:blip r:embed="rId95"/>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85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86" name="Picture 86"/>
            <wp:cNvGraphicFramePr>
              <a:graphicFrameLocks noChangeAspect="1"/>
            </wp:cNvGraphicFramePr>
            <a:graphic>
              <a:graphicData uri="http://schemas.openxmlformats.org/drawingml/2006/picture">
                <pic:pic>
                  <pic:nvPicPr>
                    <pic:cNvPr id="0" name="m7_8_lc_ops_3.png"/>
                    <pic:cNvPicPr/>
                  </pic:nvPicPr>
                  <pic:blipFill>
                    <a:blip r:embed="rId96"/>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86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87" name="Picture 87"/>
            <wp:cNvGraphicFramePr>
              <a:graphicFrameLocks noChangeAspect="1"/>
            </wp:cNvGraphicFramePr>
            <a:graphic>
              <a:graphicData uri="http://schemas.openxmlformats.org/drawingml/2006/picture">
                <pic:pic>
                  <pic:nvPicPr>
                    <pic:cNvPr id="0" name="m7_8_lc_ops_4.png"/>
                    <pic:cNvPicPr/>
                  </pic:nvPicPr>
                  <pic:blipFill>
                    <a:blip r:embed="rId97"/>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87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88" name="Picture 88"/>
            <wp:cNvGraphicFramePr>
              <a:graphicFrameLocks noChangeAspect="1"/>
            </wp:cNvGraphicFramePr>
            <a:graphic>
              <a:graphicData uri="http://schemas.openxmlformats.org/drawingml/2006/picture">
                <pic:pic>
                  <pic:nvPicPr>
                    <pic:cNvPr id="0" name="m7_8_lc_ops_5.png"/>
                    <pic:cNvPicPr/>
                  </pic:nvPicPr>
                  <pic:blipFill>
                    <a:blip r:embed="rId98"/>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88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89" name="Picture 89"/>
            <wp:cNvGraphicFramePr>
              <a:graphicFrameLocks noChangeAspect="1"/>
            </wp:cNvGraphicFramePr>
            <a:graphic>
              <a:graphicData uri="http://schemas.openxmlformats.org/drawingml/2006/picture">
                <pic:pic>
                  <pic:nvPicPr>
                    <pic:cNvPr id="0" name="m7_8_lc_ops_6.png"/>
                    <pic:cNvPicPr/>
                  </pic:nvPicPr>
                  <pic:blipFill>
                    <a:blip r:embed="rId99"/>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89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90" name="Picture 90"/>
            <wp:cNvGraphicFramePr>
              <a:graphicFrameLocks noChangeAspect="1"/>
            </wp:cNvGraphicFramePr>
            <a:graphic>
              <a:graphicData uri="http://schemas.openxmlformats.org/drawingml/2006/picture">
                <pic:pic>
                  <pic:nvPicPr>
                    <pic:cNvPr id="0" name="m7_8_lc_ops_7.png"/>
                    <pic:cNvPicPr/>
                  </pic:nvPicPr>
                  <pic:blipFill>
                    <a:blip r:embed="rId100"/>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90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91" name="Picture 91"/>
            <wp:cNvGraphicFramePr>
              <a:graphicFrameLocks noChangeAspect="1"/>
            </wp:cNvGraphicFramePr>
            <a:graphic>
              <a:graphicData uri="http://schemas.openxmlformats.org/drawingml/2006/picture">
                <pic:pic>
                  <pic:nvPicPr>
                    <pic:cNvPr id="0" name="m7_8_lc_ops_8.png"/>
                    <pic:cNvPicPr/>
                  </pic:nvPicPr>
                  <pic:blipFill>
                    <a:blip r:embed="rId101"/>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91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92" name="Picture 92"/>
            <wp:cNvGraphicFramePr>
              <a:graphicFrameLocks noChangeAspect="1"/>
            </wp:cNvGraphicFramePr>
            <a:graphic>
              <a:graphicData uri="http://schemas.openxmlformats.org/drawingml/2006/picture">
                <pic:pic>
                  <pic:nvPicPr>
                    <pic:cNvPr id="0" name="m7_8_lc_ops_9.png"/>
                    <pic:cNvPicPr/>
                  </pic:nvPicPr>
                  <pic:blipFill>
                    <a:blip r:embed="rId102"/>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92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243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fin.CompanyProductLine</w:t>
            </w:r>
          </w:p>
        </w:tc>
        <w:tc>
          <w:tcPr>
            <w:tcW w:type="dxa" w:w="10205"/>
            <w:shd w:val="clear" w:color="auto" w:fill="E8EEF6"/>
          </w:tcPr>
          <w:p>
            <w:pPr>
              <w:spacing w:after="0" w:before="0"/>
            </w:pPr>
            <w:r/>
            <w:r>
              <w:rPr>
                <w:rFonts w:ascii="Arial" w:hAnsi="Arial"/>
                <w:b w:val="0"/>
                <w:sz w:val="15"/>
              </w:rPr>
              <w:t>A product or service line of a company for a fiscal year: its category, share of revenue and of inventory, and its sales channels; read by the credit assessment for the quality of cash flows and the liquidity of the inventory (docs/35 section 5)</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fin.ConsolidationMember</w:t>
            </w:r>
          </w:p>
        </w:tc>
        <w:tc>
          <w:tcPr>
            <w:tcW w:type="dxa" w:w="10205"/>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fin.CountryRegion</w:t>
            </w:r>
          </w:p>
        </w:tc>
        <w:tc>
          <w:tcPr>
            <w:tcW w:type="dxa" w:w="10205"/>
            <w:shd w:val="clear" w:color="auto" w:fill="E8EEF6"/>
          </w:tcPr>
          <w:p>
            <w:pPr>
              <w:spacing w:after="0" w:before="0"/>
            </w:pPr>
            <w:r/>
            <w:r>
              <w:rPr>
                <w:rFonts w:ascii="Arial" w:hAnsi="Arial"/>
                <w:b w:val="0"/>
                <w:sz w:val="15"/>
              </w:rPr>
              <w:t>A city or region of a country and how much more or less its property falls, and how exposed it is to conflict, than its country (docs/35 section 14)</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fin.CountryRiskProfile</w:t>
            </w:r>
          </w:p>
        </w:tc>
        <w:tc>
          <w:tcPr>
            <w:tcW w:type="dxa" w:w="10205"/>
          </w:tcPr>
          <w:p>
            <w:pPr>
              <w:spacing w:after="0" w:before="0"/>
            </w:pPr>
            <w:r/>
            <w:r>
              <w:rPr>
                <w:rFonts w:ascii="Arial" w:hAnsi="Arial"/>
                <w:b w:val="0"/>
                <w:sz w:val="15"/>
              </w:rPr>
              <w:t>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fin.CreditAssessment</w:t>
            </w:r>
          </w:p>
        </w:tc>
        <w:tc>
          <w:tcPr>
            <w:tcW w:type="dxa" w:w="10205"/>
            <w:shd w:val="clear" w:color="auto" w:fill="E8EEF6"/>
          </w:tcPr>
          <w:p>
            <w:pPr>
              <w:spacing w:after="0" w:before="0"/>
            </w:pPr>
            <w:r/>
            <w:r>
              <w:rPr>
                <w:rFonts w:ascii="Arial" w:hAnsi="Arial"/>
                <w:b w:val="0"/>
                <w:sz w:val="15"/>
              </w:rPr>
              <w:t>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fin.CreditAssessmentBureau</w:t>
            </w:r>
          </w:p>
        </w:tc>
        <w:tc>
          <w:tcPr>
            <w:tcW w:type="dxa" w:w="10205"/>
          </w:tcPr>
          <w:p>
            <w:pPr>
              <w:spacing w:after="0" w:before="0"/>
            </w:pPr>
            <w:r/>
            <w:r>
              <w:rPr>
                <w:rFonts w:ascii="Arial" w:hAnsi="Arial"/>
                <w:b w:val="0"/>
                <w:sz w:val="15"/>
              </w:rPr>
              <w:t>The company's SIMAH commercial credit report the analyst read: exposure at all lenders, payment behaviour, defaults, bounced cheques, judgments (docs/35 section 10); changes only while the assessment is a draft</w:t>
            </w:r>
          </w:p>
        </w:tc>
        <w:tc>
          <w:tcPr>
            <w:tcW w:type="dxa" w:w="1701"/>
          </w:tcPr>
          <w:p>
            <w:pPr>
              <w:spacing w:after="0" w:before="0"/>
            </w:pPr>
            <w:r/>
            <w:r>
              <w:rPr>
                <w:rFonts w:ascii="Arial" w:hAnsi="Arial"/>
                <w:b w:val="0"/>
                <w:sz w:val="15"/>
              </w:rPr>
              <w:t>m5_financials_6</w:t>
            </w:r>
          </w:p>
        </w:tc>
      </w:tr>
      <w:tr>
        <w:trPr>
          <w:cantSplit w:val="true"/>
        </w:trPr>
        <w:tc>
          <w:tcPr>
            <w:tcW w:type="dxa" w:w="3515"/>
            <w:shd w:val="clear" w:color="auto" w:fill="E8EEF6"/>
          </w:tcPr>
          <w:p>
            <w:pPr>
              <w:spacing w:after="0" w:before="0"/>
            </w:pPr>
            <w:r/>
            <w:r>
              <w:rPr>
                <w:rFonts w:ascii="Arial" w:hAnsi="Arial"/>
                <w:b w:val="0"/>
                <w:sz w:val="15"/>
              </w:rPr>
              <w:t>fin.CreditAssessmentFacility</w:t>
            </w:r>
          </w:p>
        </w:tc>
        <w:tc>
          <w:tcPr>
            <w:tcW w:type="dxa" w:w="10205"/>
            <w:shd w:val="clear" w:color="auto" w:fill="E8EEF6"/>
          </w:tcPr>
          <w:p>
            <w:pPr>
              <w:spacing w:after="0" w:before="0"/>
            </w:pPr>
            <w:r/>
            <w:r>
              <w:rPr>
                <w:rFonts w:ascii="Arial" w:hAnsi="Arial"/>
                <w:b w:val="0"/>
                <w:sz w:val="15"/>
              </w:rPr>
              <w:t>A facility of the company read from the platform on the assessment date: its limit, outstanding, lender, commitment, expiry and collateral cover, in the statement currency; written by fin.usp_ComputeCreditAssessment only (docs/35 section 10)</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fin.CreditAssessmentFactor</w:t>
            </w:r>
          </w:p>
        </w:tc>
        <w:tc>
          <w:tcPr>
            <w:tcW w:type="dxa" w:w="10205"/>
          </w:tcPr>
          <w:p>
            <w:pPr>
              <w:spacing w:after="0" w:before="0"/>
            </w:pPr>
            <w:r/>
            <w:r>
              <w:rPr>
                <w:rFonts w:ascii="Arial" w:hAnsi="Arial"/>
                <w:b w:val="0"/>
                <w:sz w:val="15"/>
              </w:rPr>
              <w:t>A scorecard metric of an assessment: its value, its score on the linear continuum, its grade, weight and contribution; written by fin.usp_ComputeCreditAssessment only (BR-FIN-018, BR-FIN-019)</w:t>
            </w:r>
          </w:p>
        </w:tc>
        <w:tc>
          <w:tcPr>
            <w:tcW w:type="dxa" w:w="1701"/>
          </w:tcPr>
          <w:p>
            <w:pPr>
              <w:spacing w:after="0" w:before="0"/>
            </w:pPr>
            <w:r/>
            <w:r>
              <w:rPr>
                <w:rFonts w:ascii="Arial" w:hAnsi="Arial"/>
                <w:b w:val="0"/>
                <w:sz w:val="15"/>
              </w:rPr>
              <w:t>m5_financials_6</w:t>
            </w:r>
          </w:p>
        </w:tc>
      </w:tr>
      <w:tr>
        <w:trPr>
          <w:cantSplit w:val="true"/>
        </w:trPr>
        <w:tc>
          <w:tcPr>
            <w:tcW w:type="dxa" w:w="3515"/>
            <w:shd w:val="clear" w:color="auto" w:fill="E8EEF6"/>
          </w:tcPr>
          <w:p>
            <w:pPr>
              <w:spacing w:after="0" w:before="0"/>
            </w:pPr>
            <w:r/>
            <w:r>
              <w:rPr>
                <w:rFonts w:ascii="Arial" w:hAnsi="Arial"/>
                <w:b w:val="0"/>
                <w:sz w:val="15"/>
              </w:rPr>
              <w:t>fin.CreditAssessmentFinding</w:t>
            </w:r>
          </w:p>
        </w:tc>
        <w:tc>
          <w:tcPr>
            <w:tcW w:type="dxa" w:w="10205"/>
            <w:shd w:val="clear" w:color="auto" w:fill="E8EEF6"/>
          </w:tcPr>
          <w:p>
            <w:pPr>
              <w:spacing w:after="0" w:before="0"/>
            </w:pPr>
            <w:r/>
            <w:r>
              <w:rPr>
                <w:rFonts w:ascii="Arial" w:hAnsi="Arial"/>
                <w:b w:val="0"/>
                <w:sz w:val="15"/>
              </w:rPr>
              <w:t>A finding of an assessment, with its text: a strength, a point to note or watch, a weakness, a critical risk or an adjustment, from the scorecard, an item rule, the covenants or the bank flows; written by fin.usp_ComputeCreditAssessment only (BR-FIN-020)</w:t>
            </w:r>
          </w:p>
        </w:tc>
        <w:tc>
          <w:tcPr>
            <w:tcW w:type="dxa" w:w="1701"/>
            <w:shd w:val="clear" w:color="auto" w:fill="E8EEF6"/>
          </w:tcPr>
          <w:p>
            <w:pPr>
              <w:spacing w:after="0" w:before="0"/>
            </w:pPr>
            <w:r/>
            <w:r>
              <w:rPr>
                <w:rFonts w:ascii="Arial" w:hAnsi="Arial"/>
                <w:b w:val="0"/>
                <w:sz w:val="15"/>
              </w:rPr>
              <w:t>m5_financials_6</w:t>
            </w:r>
          </w:p>
        </w:tc>
      </w:tr>
      <w:tr>
        <w:trPr>
          <w:cantSplit w:val="true"/>
        </w:trPr>
        <w:tc>
          <w:tcPr>
            <w:tcW w:type="dxa" w:w="3515"/>
          </w:tcPr>
          <w:p>
            <w:pPr>
              <w:spacing w:after="0" w:before="0"/>
            </w:pPr>
            <w:r/>
            <w:r>
              <w:rPr>
                <w:rFonts w:ascii="Arial" w:hAnsi="Arial"/>
                <w:b w:val="0"/>
                <w:sz w:val="15"/>
              </w:rPr>
              <w:t>fin.CreditAssessmentGuarantor</w:t>
            </w:r>
          </w:p>
        </w:tc>
        <w:tc>
          <w:tcPr>
            <w:tcW w:type="dxa" w:w="10205"/>
          </w:tcPr>
          <w:p>
            <w:pPr>
              <w:spacing w:after="0" w:before="0"/>
            </w:pPr>
            <w:r/>
            <w:r>
              <w:rPr>
                <w:rFonts w:ascii="Arial" w:hAnsi="Arial"/>
                <w:b w:val="0"/>
                <w:sz w:val="15"/>
              </w:rPr>
              <w:t>A guarantor of the company's facilities with the net worth statement the analyst read: partners' solvency for the facility grade (docs/35 section 10); changes only while the assessment is a draft</w:t>
            </w:r>
          </w:p>
        </w:tc>
        <w:tc>
          <w:tcPr>
            <w:tcW w:type="dxa" w:w="1701"/>
          </w:tcPr>
          <w:p>
            <w:pPr>
              <w:spacing w:after="0" w:before="0"/>
            </w:pPr>
            <w:r/>
            <w:r>
              <w:rPr>
                <w:rFonts w:ascii="Arial" w:hAnsi="Arial"/>
                <w:b w:val="0"/>
                <w:sz w:val="15"/>
              </w:rPr>
              <w:t>m5_financials_7</w:t>
            </w:r>
          </w:p>
        </w:tc>
      </w:tr>
      <w:tr>
        <w:trPr>
          <w:cantSplit w:val="true"/>
        </w:trPr>
        <w:tc>
          <w:tcPr>
            <w:tcW w:type="dxa" w:w="3515"/>
            <w:shd w:val="clear" w:color="auto" w:fill="E8EEF6"/>
          </w:tcPr>
          <w:p>
            <w:pPr>
              <w:spacing w:after="0" w:before="0"/>
            </w:pPr>
            <w:r/>
            <w:r>
              <w:rPr>
                <w:rFonts w:ascii="Arial" w:hAnsi="Arial"/>
                <w:b w:val="0"/>
                <w:sz w:val="15"/>
              </w:rPr>
              <w:t>fin.CreditAssessmentInput</w:t>
            </w:r>
          </w:p>
        </w:tc>
        <w:tc>
          <w:tcPr>
            <w:tcW w:type="dxa" w:w="10205"/>
            <w:shd w:val="clear" w:color="auto" w:fill="E8EEF6"/>
          </w:tcPr>
          <w:p>
            <w:pPr>
              <w:spacing w:after="0" w:before="0"/>
            </w:pPr>
            <w:r/>
            <w:r>
              <w:rPr>
                <w:rFonts w:ascii="Arial" w:hAnsi="Arial"/>
                <w:b w:val="0"/>
                <w:sz w:val="15"/>
              </w:rPr>
              <w:t>The analyst's inputs to an assessment: the grade of a qualitative factor, group support or an override, each with its justification; they change only while the assessment is a draft (BR-FIN-021, BR-FIN-022)</w:t>
            </w:r>
          </w:p>
        </w:tc>
        <w:tc>
          <w:tcPr>
            <w:tcW w:type="dxa" w:w="1701"/>
            <w:shd w:val="clear" w:color="auto" w:fill="E8EEF6"/>
          </w:tcPr>
          <w:p>
            <w:pPr>
              <w:spacing w:after="0" w:before="0"/>
            </w:pPr>
            <w:r/>
            <w:r>
              <w:rPr>
                <w:rFonts w:ascii="Arial" w:hAnsi="Arial"/>
                <w:b w:val="0"/>
                <w:sz w:val="15"/>
              </w:rPr>
              <w:t>m5_financials_8</w:t>
            </w:r>
          </w:p>
        </w:tc>
      </w:tr>
      <w:tr>
        <w:trPr>
          <w:cantSplit w:val="true"/>
        </w:trPr>
        <w:tc>
          <w:tcPr>
            <w:tcW w:type="dxa" w:w="3515"/>
          </w:tcPr>
          <w:p>
            <w:pPr>
              <w:spacing w:after="0" w:before="0"/>
            </w:pPr>
            <w:r/>
            <w:r>
              <w:rPr>
                <w:rFonts w:ascii="Arial" w:hAnsi="Arial"/>
                <w:b w:val="0"/>
                <w:sz w:val="15"/>
              </w:rPr>
              <w:t>fin.CreditAssessmentPlan</w:t>
            </w:r>
          </w:p>
        </w:tc>
        <w:tc>
          <w:tcPr>
            <w:tcW w:type="dxa" w:w="10205"/>
          </w:tcPr>
          <w:p>
            <w:pPr>
              <w:spacing w:after="0" w:before="0"/>
            </w:pPr>
            <w:r/>
            <w:r>
              <w:rPr>
                <w:rFonts w:ascii="Arial" w:hAnsi="Arial"/>
                <w:b w:val="0"/>
                <w:sz w:val="15"/>
              </w:rPr>
              <w:t>A strengthening plan computed for the assessment when the customer asked for one: the grade at its end and whether the balance sheet stayed balanced; written by fin.usp_ComputeCreditAssessment only (docs/35 section 12)</w:t>
            </w:r>
          </w:p>
        </w:tc>
        <w:tc>
          <w:tcPr>
            <w:tcW w:type="dxa" w:w="1701"/>
          </w:tcPr>
          <w:p>
            <w:pPr>
              <w:spacing w:after="0" w:before="0"/>
            </w:pPr>
            <w:r/>
            <w:r>
              <w:rPr>
                <w:rFonts w:ascii="Arial" w:hAnsi="Arial"/>
                <w:b w:val="0"/>
                <w:sz w:val="15"/>
              </w:rPr>
              <w:t>m5_financials_9</w:t>
            </w:r>
          </w:p>
        </w:tc>
      </w:tr>
      <w:tr>
        <w:trPr>
          <w:cantSplit w:val="true"/>
        </w:trPr>
        <w:tc>
          <w:tcPr>
            <w:tcW w:type="dxa" w:w="3515"/>
            <w:shd w:val="clear" w:color="auto" w:fill="E8EEF6"/>
          </w:tcPr>
          <w:p>
            <w:pPr>
              <w:spacing w:after="0" w:before="0"/>
            </w:pPr>
            <w:r/>
            <w:r>
              <w:rPr>
                <w:rFonts w:ascii="Arial" w:hAnsi="Arial"/>
                <w:b w:val="0"/>
                <w:sz w:val="15"/>
              </w:rPr>
              <w:t>fin.CreditAssessmentPlanStep</w:t>
            </w:r>
          </w:p>
        </w:tc>
        <w:tc>
          <w:tcPr>
            <w:tcW w:type="dxa" w:w="10205"/>
            <w:shd w:val="clear" w:color="auto" w:fill="E8EEF6"/>
          </w:tcPr>
          <w:p>
            <w:pPr>
              <w:spacing w:after="0" w:before="0"/>
            </w:pPr>
            <w:r/>
            <w:r>
              <w:rPr>
                <w:rFonts w:ascii="Arial" w:hAnsi="Arial"/>
                <w:b w:val="0"/>
                <w:sz w:val="15"/>
              </w:rPr>
              <w:t>A step of a strengthening plan: the remedy applied, the amount it moved and the grade after it</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fin.CreditAssessmentReclass</w:t>
            </w:r>
          </w:p>
        </w:tc>
        <w:tc>
          <w:tcPr>
            <w:tcW w:type="dxa" w:w="10205"/>
          </w:tcPr>
          <w:p>
            <w:pPr>
              <w:spacing w:after="0" w:before="0"/>
            </w:pPr>
            <w:r/>
            <w:r>
              <w:rPr>
                <w:rFonts w:ascii="Arial" w:hAnsi="Arial"/>
                <w:b w:val="0"/>
                <w:sz w:val="15"/>
              </w:rPr>
              <w:t>A row of the reconciliation of the analytical statement: a standard adjustment that moved an amount of a reported line to an analytical bucket; written by fin.usp_ComputeCreditAssessment only (docs/35 section 6)</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fin.CreditAssessmentRemedy</w:t>
            </w:r>
          </w:p>
        </w:tc>
        <w:tc>
          <w:tcPr>
            <w:tcW w:type="dxa" w:w="10205"/>
            <w:shd w:val="clear" w:color="auto" w:fill="E8EEF6"/>
          </w:tcPr>
          <w:p>
            <w:pPr>
              <w:spacing w:after="0" w:before="0"/>
            </w:pPr>
            <w:r/>
            <w:r>
              <w:rPr>
                <w:rFonts w:ascii="Arial" w:hAnsi="Arial"/>
                <w:b w:val="0"/>
                <w:sz w:val="15"/>
              </w:rPr>
              <w:t>A remedy the report proposes, with the finding it answers and the grade the pro-forma statement would get; written by fin.usp_ComputeCreditAssessment only (docs/35 section 12)</w:t>
            </w:r>
          </w:p>
        </w:tc>
        <w:tc>
          <w:tcPr>
            <w:tcW w:type="dxa" w:w="1701"/>
            <w:shd w:val="clear" w:color="auto" w:fill="E8EEF6"/>
          </w:tcPr>
          <w:p>
            <w:pPr>
              <w:spacing w:after="0" w:before="0"/>
            </w:pPr>
            <w:r/>
            <w:r>
              <w:rPr>
                <w:rFonts w:ascii="Arial" w:hAnsi="Arial"/>
                <w:b w:val="0"/>
                <w:sz w:val="15"/>
              </w:rPr>
              <w:t>m5_financials_10</w:t>
            </w:r>
          </w:p>
        </w:tc>
      </w:tr>
      <w:tr>
        <w:trPr>
          <w:cantSplit w:val="true"/>
        </w:trPr>
        <w:tc>
          <w:tcPr>
            <w:tcW w:type="dxa" w:w="3515"/>
          </w:tcPr>
          <w:p>
            <w:pPr>
              <w:spacing w:after="0" w:before="0"/>
            </w:pPr>
            <w:r/>
            <w:r>
              <w:rPr>
                <w:rFonts w:ascii="Arial" w:hAnsi="Arial"/>
                <w:b w:val="0"/>
                <w:sz w:val="15"/>
              </w:rPr>
              <w:t>fin.CreditAssessmentScenario</w:t>
            </w:r>
          </w:p>
        </w:tc>
        <w:tc>
          <w:tcPr>
            <w:tcW w:type="dxa" w:w="10205"/>
          </w:tcPr>
          <w:p>
            <w:pPr>
              <w:spacing w:after="0" w:before="0"/>
            </w:pPr>
            <w:r/>
            <w:r>
              <w:rPr>
                <w:rFonts w:ascii="Arial" w:hAnsi="Arial"/>
                <w:b w:val="0"/>
                <w:sz w:val="15"/>
              </w:rPr>
              <w:t>The assessment recomputed on the statement under each macro scenario, with the stress applied: the grade, the liquidity label and the notches lost; written by fin.usp_ComputeCreditAssessment only (docs/35 section 13)</w:t>
            </w:r>
          </w:p>
        </w:tc>
        <w:tc>
          <w:tcPr>
            <w:tcW w:type="dxa" w:w="1701"/>
          </w:tcPr>
          <w:p>
            <w:pPr>
              <w:spacing w:after="0" w:before="0"/>
            </w:pPr>
            <w:r/>
            <w:r>
              <w:rPr>
                <w:rFonts w:ascii="Arial" w:hAnsi="Arial"/>
                <w:b w:val="0"/>
                <w:sz w:val="15"/>
              </w:rPr>
              <w:t>m5_financials_10</w:t>
            </w:r>
          </w:p>
        </w:tc>
      </w:tr>
      <w:tr>
        <w:trPr>
          <w:cantSplit w:val="true"/>
        </w:trPr>
        <w:tc>
          <w:tcPr>
            <w:tcW w:type="dxa" w:w="3515"/>
            <w:shd w:val="clear" w:color="auto" w:fill="E8EEF6"/>
          </w:tcPr>
          <w:p>
            <w:pPr>
              <w:spacing w:after="0" w:before="0"/>
            </w:pPr>
            <w:r/>
            <w:r>
              <w:rPr>
                <w:rFonts w:ascii="Arial" w:hAnsi="Arial"/>
                <w:b w:val="0"/>
                <w:sz w:val="15"/>
              </w:rPr>
              <w:t>fin.CreditAssessmentTrigger</w:t>
            </w:r>
          </w:p>
        </w:tc>
        <w:tc>
          <w:tcPr>
            <w:tcW w:type="dxa" w:w="10205"/>
            <w:shd w:val="clear" w:color="auto" w:fill="E8EEF6"/>
          </w:tcPr>
          <w:p>
            <w:pPr>
              <w:spacing w:after="0" w:before="0"/>
            </w:pPr>
            <w:r/>
            <w:r>
              <w:rPr>
                <w:rFonts w:ascii="Arial" w:hAnsi="Arial"/>
                <w:b w:val="0"/>
                <w:sz w:val="15"/>
              </w:rPr>
              <w:t>What would move the scorecard grade one notch: the value of a metric at which the weighted score crosses to the grade above or below, the other metrics unchanged (docs/35 section 15)</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fin.CreditMetric</w:t>
            </w:r>
          </w:p>
        </w:tc>
        <w:tc>
          <w:tcPr>
            <w:tcW w:type="dxa" w:w="10205"/>
          </w:tcPr>
          <w:p>
            <w:pPr>
              <w:spacing w:after="0" w:before="0"/>
            </w:pPr>
            <w:r/>
            <w:r>
              <w:rPr>
                <w:rFonts w:ascii="Arial" w:hAnsi="Arial"/>
                <w:b w:val="0"/>
                <w:sz w:val="15"/>
              </w:rPr>
              <w:t>The metric dictionary of the credit assessment: how each ratio is computed from the statement lines, its unit and direction, and the texts of its strength and weakness (docs/35 section 4)</w:t>
            </w:r>
          </w:p>
        </w:tc>
        <w:tc>
          <w:tcPr>
            <w:tcW w:type="dxa" w:w="1701"/>
          </w:tcPr>
          <w:p>
            <w:pPr>
              <w:spacing w:after="0" w:before="0"/>
            </w:pPr>
            <w:r/>
            <w:r>
              <w:rPr>
                <w:rFonts w:ascii="Arial" w:hAnsi="Arial"/>
                <w:b w:val="0"/>
                <w:sz w:val="15"/>
              </w:rPr>
              <w:t>m5_financials_11</w:t>
            </w:r>
          </w:p>
        </w:tc>
      </w:tr>
      <w:tr>
        <w:trPr>
          <w:cantSplit w:val="true"/>
        </w:trPr>
        <w:tc>
          <w:tcPr>
            <w:tcW w:type="dxa" w:w="3515"/>
            <w:shd w:val="clear" w:color="auto" w:fill="E8EEF6"/>
          </w:tcPr>
          <w:p>
            <w:pPr>
              <w:spacing w:after="0" w:before="0"/>
            </w:pPr>
            <w:r/>
            <w:r>
              <w:rPr>
                <w:rFonts w:ascii="Arial" w:hAnsi="Arial"/>
                <w:b w:val="0"/>
                <w:sz w:val="15"/>
              </w:rPr>
              <w:t>fin.CreditRemedy</w:t>
            </w:r>
          </w:p>
        </w:tc>
        <w:tc>
          <w:tcPr>
            <w:tcW w:type="dxa" w:w="10205"/>
            <w:shd w:val="clear" w:color="auto" w:fill="E8EEF6"/>
          </w:tcPr>
          <w:p>
            <w:pPr>
              <w:spacing w:after="0" w:before="0"/>
            </w:pPr>
            <w:r/>
            <w:r>
              <w:rPr>
                <w:rFonts w:ascii="Arial" w:hAnsi="Arial"/>
                <w:b w:val="0"/>
                <w:sz w:val="15"/>
              </w:rPr>
              <w:t>A remedy the report proposes against a finding: a real action, or a presentation that follows the legal substance and needs its evidence, with the change it makes to the statement for the pro-forma grade (docs/35 section 12)</w:t>
            </w:r>
          </w:p>
        </w:tc>
        <w:tc>
          <w:tcPr>
            <w:tcW w:type="dxa" w:w="1701"/>
            <w:shd w:val="clear" w:color="auto" w:fill="E8EEF6"/>
          </w:tcPr>
          <w:p>
            <w:pPr>
              <w:spacing w:after="0" w:before="0"/>
            </w:pPr>
            <w:r/>
            <w:r>
              <w:rPr>
                <w:rFonts w:ascii="Arial" w:hAnsi="Arial"/>
                <w:b w:val="0"/>
                <w:sz w:val="15"/>
              </w:rPr>
              <w:t>m5_financials_11</w:t>
            </w:r>
          </w:p>
        </w:tc>
      </w:tr>
      <w:tr>
        <w:trPr>
          <w:cantSplit w:val="true"/>
        </w:trPr>
        <w:tc>
          <w:tcPr>
            <w:tcW w:type="dxa" w:w="3515"/>
          </w:tcPr>
          <w:p>
            <w:pPr>
              <w:spacing w:after="0" w:before="0"/>
            </w:pPr>
            <w:r/>
            <w:r>
              <w:rPr>
                <w:rFonts w:ascii="Arial" w:hAnsi="Arial"/>
                <w:b w:val="0"/>
                <w:sz w:val="15"/>
              </w:rPr>
              <w:t>fin.CreditRemedyStep</w:t>
            </w:r>
          </w:p>
        </w:tc>
        <w:tc>
          <w:tcPr>
            <w:tcW w:type="dxa" w:w="10205"/>
          </w:tcPr>
          <w:p>
            <w:pPr>
              <w:spacing w:after="0" w:before="0"/>
            </w:pPr>
            <w:r/>
            <w:r>
              <w:rPr>
                <w:rFonts w:ascii="Arial" w:hAnsi="Arial"/>
                <w:b w:val="0"/>
                <w:sz w:val="15"/>
              </w:rPr>
              <w:t>A step of a remedy's pro-forma: an amount, a share of a reference line capped by what the lines decreased hold, taken from up to three lines and added to up to three</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fin.CreditRemedyTrigger</w:t>
            </w:r>
          </w:p>
        </w:tc>
        <w:tc>
          <w:tcPr>
            <w:tcW w:type="dxa" w:w="10205"/>
            <w:shd w:val="clear" w:color="auto" w:fill="E8EEF6"/>
          </w:tcPr>
          <w:p>
            <w:pPr>
              <w:spacing w:after="0" w:before="0"/>
            </w:pPr>
            <w:r/>
            <w:r>
              <w:rPr>
                <w:rFonts w:ascii="Arial" w:hAnsi="Arial"/>
                <w:b w:val="0"/>
                <w:sz w:val="15"/>
              </w:rPr>
              <w:t>A finding a remedy answers: a metric or an adjustment code</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fin.CreditText</w:t>
            </w:r>
          </w:p>
        </w:tc>
        <w:tc>
          <w:tcPr>
            <w:tcW w:type="dxa" w:w="10205"/>
          </w:tcPr>
          <w:p>
            <w:pPr>
              <w:spacing w:after="0" w:before="0"/>
            </w:pPr>
            <w:r/>
            <w:r>
              <w:rPr>
                <w:rFonts w:ascii="Arial" w:hAnsi="Arial"/>
                <w:b w:val="0"/>
                <w:sz w:val="15"/>
              </w:rPr>
              <w:t>A text of the credit report: the reconciliation rows, the disclosures and data the report asks for, the outlook rules and views, the liquidity labels, the resilience and the funding kinds (docs/35)</w:t>
            </w:r>
          </w:p>
        </w:tc>
        <w:tc>
          <w:tcPr>
            <w:tcW w:type="dxa" w:w="1701"/>
          </w:tcPr>
          <w:p>
            <w:pPr>
              <w:spacing w:after="0" w:before="0"/>
            </w:pPr>
            <w:r/>
            <w:r>
              <w:rPr>
                <w:rFonts w:ascii="Arial" w:hAnsi="Arial"/>
                <w:b w:val="0"/>
                <w:sz w:val="15"/>
              </w:rPr>
              <w:t>m5_financials_12</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m5_financials_12</w:t>
            </w:r>
          </w:p>
        </w:tc>
      </w:tr>
      <w:tr>
        <w:trPr>
          <w:cantSplit w:val="true"/>
        </w:trPr>
        <w:tc>
          <w:tcPr>
            <w:tcW w:type="dxa" w:w="3515"/>
          </w:tcPr>
          <w:p>
            <w:pPr>
              <w:spacing w:after="0" w:before="0"/>
            </w:pPr>
            <w:r/>
            <w:r>
              <w:rPr>
                <w:rFonts w:ascii="Arial" w:hAnsi="Arial"/>
                <w:b w:val="0"/>
                <w:sz w:val="15"/>
              </w:rPr>
              <w:t>fin.IndustryProfile</w:t>
            </w:r>
          </w:p>
        </w:tc>
        <w:tc>
          <w:tcPr>
            <w:tcW w:type="dxa" w:w="10205"/>
          </w:tcPr>
          <w:p>
            <w:pPr>
              <w:spacing w:after="0" w:before="0"/>
            </w:pPr>
            <w:r/>
            <w:r>
              <w:rPr>
                <w:rFonts w:ascii="Arial" w:hAnsi="Arial"/>
                <w:b w:val="0"/>
                <w:sz w:val="15"/>
              </w:rPr>
              <w:t>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fin.IndustrySensitivity</w:t>
            </w:r>
          </w:p>
        </w:tc>
        <w:tc>
          <w:tcPr>
            <w:tcW w:type="dxa" w:w="10205"/>
            <w:shd w:val="clear" w:color="auto" w:fill="E8EEF6"/>
          </w:tcPr>
          <w:p>
            <w:pPr>
              <w:spacing w:after="0" w:before="0"/>
            </w:pPr>
            <w:r/>
            <w:r>
              <w:rPr>
                <w:rFonts w:ascii="Arial" w:hAnsi="Arial"/>
                <w:b w:val="0"/>
                <w:sz w:val="15"/>
              </w:rPr>
              <w:t>The sensitivity 0 (none) to 5 (extreme) of an activity to a driver of stress (docs/35 section 14)</w:t>
            </w:r>
          </w:p>
        </w:tc>
        <w:tc>
          <w:tcPr>
            <w:tcW w:type="dxa" w:w="1701"/>
            <w:shd w:val="clear" w:color="auto" w:fill="E8EEF6"/>
          </w:tcPr>
          <w:p>
            <w:pPr>
              <w:spacing w:after="0" w:before="0"/>
            </w:pPr>
            <w:r/>
            <w:r>
              <w:rPr>
                <w:rFonts w:ascii="Arial" w:hAnsi="Arial"/>
                <w:b w:val="0"/>
                <w:sz w:val="15"/>
              </w:rPr>
              <w:t>m5_financials_13</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51 items seeded, twelve of them for the credit assessment; system items used in formulas cannot be deleted (FR-FIN-001, FR-FIN-020, CatalogBase)</w:t>
            </w:r>
          </w:p>
        </w:tc>
        <w:tc>
          <w:tcPr>
            <w:tcW w:type="dxa" w:w="1701"/>
          </w:tcPr>
          <w:p>
            <w:pPr>
              <w:spacing w:after="0" w:before="0"/>
            </w:pPr>
            <w:r/>
            <w:r>
              <w:rPr>
                <w:rFonts w:ascii="Arial" w:hAnsi="Arial"/>
                <w:b w:val="0"/>
                <w:sz w:val="15"/>
              </w:rPr>
              <w:t>m5_financials_13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fin.MacroScenario</w:t>
            </w:r>
          </w:p>
        </w:tc>
        <w:tc>
          <w:tcPr>
            <w:tcW w:type="dxa" w:w="10205"/>
          </w:tcPr>
          <w:p>
            <w:pPr>
              <w:spacing w:after="0" w:before="0"/>
            </w:pPr>
            <w:r/>
            <w:r>
              <w:rPr>
                <w:rFonts w:ascii="Arial" w:hAnsi="Arial"/>
                <w:b w:val="0"/>
                <w:sz w:val="15"/>
              </w:rPr>
              <w:t>A macro stress scenario: the stagnant market, the financial crisis, a fiscal squeeze, a real estate correction, a regional conflict, an oil price collapse; the intensity of each driver and the financial conditions (docs/35 section 14, ADR 0019)</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fin.MacroScenarioIntensity</w:t>
            </w:r>
          </w:p>
        </w:tc>
        <w:tc>
          <w:tcPr>
            <w:tcW w:type="dxa" w:w="10205"/>
            <w:shd w:val="clear" w:color="auto" w:fill="E8EEF6"/>
          </w:tcPr>
          <w:p>
            <w:pPr>
              <w:spacing w:after="0" w:before="0"/>
            </w:pPr>
            <w:r/>
            <w:r>
              <w:rPr>
                <w:rFonts w:ascii="Arial" w:hAnsi="Arial"/>
                <w:b w:val="0"/>
                <w:sz w:val="15"/>
              </w:rPr>
              <w:t>The intensity 0 to 1 of a driver in a macro scenario (docs/35 section 14)</w:t>
            </w:r>
          </w:p>
        </w:tc>
        <w:tc>
          <w:tcPr>
            <w:tcW w:type="dxa" w:w="1701"/>
            <w:shd w:val="clear" w:color="auto" w:fill="E8EEF6"/>
          </w:tcPr>
          <w:p>
            <w:pPr>
              <w:spacing w:after="0" w:before="0"/>
            </w:pPr>
            <w:r/>
            <w:r>
              <w:rPr>
                <w:rFonts w:ascii="Arial" w:hAnsi="Arial"/>
                <w:b w:val="0"/>
                <w:sz w:val="15"/>
              </w:rPr>
              <w:t>m5_financials_14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m5_financials_14</w:t>
            </w:r>
          </w:p>
        </w:tc>
      </w:tr>
      <w:tr>
        <w:trPr>
          <w:cantSplit w:val="true"/>
        </w:trPr>
        <w:tc>
          <w:tcPr>
            <w:tcW w:type="dxa" w:w="3515"/>
            <w:shd w:val="clear" w:color="auto" w:fill="E8EEF6"/>
          </w:tcPr>
          <w:p>
            <w:pPr>
              <w:spacing w:after="0" w:before="0"/>
            </w:pPr>
            <w:r/>
            <w:r>
              <w:rPr>
                <w:rFonts w:ascii="Arial" w:hAnsi="Arial"/>
                <w:b w:val="0"/>
                <w:sz w:val="15"/>
              </w:rPr>
              <w:t>fin.ProductCategory</w:t>
            </w:r>
          </w:p>
        </w:tc>
        <w:tc>
          <w:tcPr>
            <w:tcW w:type="dxa" w:w="10205"/>
            <w:shd w:val="clear" w:color="auto" w:fill="E8EEF6"/>
          </w:tcPr>
          <w:p>
            <w:pPr>
              <w:spacing w:after="0" w:before="0"/>
            </w:pPr>
            <w:r/>
            <w:r>
              <w:rPr>
                <w:rFonts w:ascii="Arial" w:hAnsi="Arial"/>
                <w:b w:val="0"/>
                <w:sz w:val="15"/>
              </w:rPr>
              <w:t>A category of products or services and its credit behaviour: cash-flow quality, revenue sensitivity, inventory sale value and time to sell in normal, stagnant and crisis markets (docs/35 section 5)</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fin.RatingGrade</w:t>
            </w:r>
          </w:p>
        </w:tc>
        <w:tc>
          <w:tcPr>
            <w:tcW w:type="dxa" w:w="10205"/>
          </w:tcPr>
          <w:p>
            <w:pPr>
              <w:spacing w:after="0" w:before="0"/>
            </w:pPr>
            <w:r/>
            <w:r>
              <w:rPr>
                <w:rFonts w:ascii="Arial" w:hAnsi="Arial"/>
                <w:b w:val="0"/>
                <w:sz w:val="15"/>
              </w:rPr>
              <w:t>The 21 grades of the Moody's long-term scale, their range on the scorecard continuum and their risk band (docs/35 section 2, BR-FIN-018)</w:t>
            </w:r>
          </w:p>
        </w:tc>
        <w:tc>
          <w:tcPr>
            <w:tcW w:type="dxa" w:w="1701"/>
          </w:tcPr>
          <w:p>
            <w:pPr>
              <w:spacing w:after="0" w:before="0"/>
            </w:pPr>
            <w:r/>
            <w:r>
              <w:rPr>
                <w:rFonts w:ascii="Arial" w:hAnsi="Arial"/>
                <w:b w:val="0"/>
                <w:sz w:val="15"/>
              </w:rPr>
              <w:t>m5_financials_15</w:t>
            </w:r>
          </w:p>
        </w:tc>
      </w:tr>
      <w:tr>
        <w:trPr>
          <w:cantSplit w:val="true"/>
        </w:trPr>
        <w:tc>
          <w:tcPr>
            <w:tcW w:type="dxa" w:w="3515"/>
            <w:shd w:val="clear" w:color="auto" w:fill="E8EEF6"/>
          </w:tcPr>
          <w:p>
            <w:pPr>
              <w:spacing w:after="0" w:before="0"/>
            </w:pPr>
            <w:r/>
            <w:r>
              <w:rPr>
                <w:rFonts w:ascii="Arial" w:hAnsi="Arial"/>
                <w:b w:val="0"/>
                <w:sz w:val="15"/>
              </w:rPr>
              <w:t>fin.RevenueEstimate</w:t>
            </w:r>
          </w:p>
        </w:tc>
        <w:tc>
          <w:tcPr>
            <w:tcW w:type="dxa" w:w="10205"/>
            <w:shd w:val="clear" w:color="auto" w:fill="E8EEF6"/>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shd w:val="clear" w:color="auto" w:fill="E8EEF6"/>
          </w:tcPr>
          <w:p>
            <w:pPr>
              <w:spacing w:after="0" w:before="0"/>
            </w:pPr>
            <w:r/>
            <w:r>
              <w:rPr>
                <w:rFonts w:ascii="Arial" w:hAnsi="Arial"/>
                <w:b w:val="0"/>
                <w:sz w:val="15"/>
              </w:rPr>
              <w:t>m5_financials_15</w:t>
            </w:r>
          </w:p>
        </w:tc>
      </w:tr>
      <w:tr>
        <w:trPr>
          <w:cantSplit w:val="true"/>
        </w:trPr>
        <w:tc>
          <w:tcPr>
            <w:tcW w:type="dxa" w:w="3515"/>
          </w:tcPr>
          <w:p>
            <w:pPr>
              <w:spacing w:after="0" w:before="0"/>
            </w:pPr>
            <w:r/>
            <w:r>
              <w:rPr>
                <w:rFonts w:ascii="Arial" w:hAnsi="Arial"/>
                <w:b w:val="0"/>
                <w:sz w:val="15"/>
              </w:rPr>
              <w:t>fin.RiskAnchor</w:t>
            </w:r>
          </w:p>
        </w:tc>
        <w:tc>
          <w:tcPr>
            <w:tcW w:type="dxa" w:w="10205"/>
          </w:tcPr>
          <w:p>
            <w:pPr>
              <w:spacing w:after="0" w:before="0"/>
            </w:pPr>
            <w:r/>
            <w:r>
              <w:rPr>
                <w:rFonts w:ascii="Arial" w:hAnsi="Arial"/>
                <w:b w:val="0"/>
                <w:sz w:val="15"/>
              </w:rPr>
              <w:t>The anchor of a company's business risk from its country risk and its industry risk, a notch of the 21-grade scale: the computed sector risk sub-factor and the centre of the expected range (docs/35 section 13)</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w:t>
            </w:r>
          </w:p>
        </w:tc>
        <w:tc>
          <w:tcPr>
            <w:tcW w:type="dxa" w:w="10205"/>
            <w:shd w:val="clear" w:color="auto" w:fill="E8EEF6"/>
          </w:tcPr>
          <w:p>
            <w:pPr>
              <w:spacing w:after="0" w:before="0"/>
            </w:pPr>
            <w:r/>
            <w:r>
              <w:rPr>
                <w:rFonts w:ascii="Arial" w:hAnsi="Arial"/>
                <w:b w:val="0"/>
                <w:sz w:val="15"/>
              </w:rPr>
              <w:t>A sector scorecard of the credit assessment and its version; approved, it never changes and a change is a new version (docs/35 section 5, BR-FIN-023)</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fin.ScorecardAdjustment</w:t>
            </w:r>
          </w:p>
        </w:tc>
        <w:tc>
          <w:tcPr>
            <w:tcW w:type="dxa" w:w="10205"/>
          </w:tcPr>
          <w:p>
            <w:pPr>
              <w:spacing w:after="0" w:before="0"/>
            </w:pPr>
            <w:r/>
            <w:r>
              <w:rPr>
                <w:rFonts w:ascii="Arial" w:hAnsi="Arial"/>
                <w:b w:val="0"/>
                <w:sz w:val="15"/>
              </w:rPr>
              <w:t>An adjustment of a scorecard: notches down, a standalone cap or an absolute cap on the best grade, applied in that order around group support and the override (docs/35 section 7)</w:t>
            </w:r>
          </w:p>
        </w:tc>
        <w:tc>
          <w:tcPr>
            <w:tcW w:type="dxa" w:w="1701"/>
          </w:tcPr>
          <w:p>
            <w:pPr>
              <w:spacing w:after="0" w:before="0"/>
            </w:pPr>
            <w:r/>
            <w:r>
              <w:rPr>
                <w:rFonts w:ascii="Arial" w:hAnsi="Arial"/>
                <w:b w:val="0"/>
                <w:sz w:val="15"/>
              </w:rPr>
              <w:t>m5_financials_16</w:t>
            </w:r>
          </w:p>
        </w:tc>
      </w:tr>
      <w:tr>
        <w:trPr>
          <w:cantSplit w:val="true"/>
        </w:trPr>
        <w:tc>
          <w:tcPr>
            <w:tcW w:type="dxa" w:w="3515"/>
            <w:shd w:val="clear" w:color="auto" w:fill="E8EEF6"/>
          </w:tcPr>
          <w:p>
            <w:pPr>
              <w:spacing w:after="0" w:before="0"/>
            </w:pPr>
            <w:r/>
            <w:r>
              <w:rPr>
                <w:rFonts w:ascii="Arial" w:hAnsi="Arial"/>
                <w:b w:val="0"/>
                <w:sz w:val="15"/>
              </w:rPr>
              <w:t>fin.ScorecardItemRule</w:t>
            </w:r>
          </w:p>
        </w:tc>
        <w:tc>
          <w:tcPr>
            <w:tcW w:type="dxa" w:w="10205"/>
            <w:shd w:val="clear" w:color="auto" w:fill="E8EEF6"/>
          </w:tcPr>
          <w:p>
            <w:pPr>
              <w:spacing w:after="0" w:before="0"/>
            </w:pPr>
            <w:r/>
            <w:r>
              <w:rPr>
                <w:rFonts w:ascii="Arial" w:hAnsi="Arial"/>
                <w:b w:val="0"/>
                <w:sz w:val="15"/>
              </w:rPr>
              <w:t>A balance-sheet item rule of a scorecard: the item, its metric and the thresholds of LOW, MODERATE, ELEVATED, HIGH and CRITICAL; a value on a threshold belongs to the worse level (docs/35 section 6)</w:t>
            </w:r>
          </w:p>
        </w:tc>
        <w:tc>
          <w:tcPr>
            <w:tcW w:type="dxa" w:w="1701"/>
            <w:shd w:val="clear" w:color="auto" w:fill="E8EEF6"/>
          </w:tcPr>
          <w:p>
            <w:pPr>
              <w:spacing w:after="0" w:before="0"/>
            </w:pPr>
            <w:r/>
            <w:r>
              <w:rPr>
                <w:rFonts w:ascii="Arial" w:hAnsi="Arial"/>
                <w:b w:val="0"/>
                <w:sz w:val="15"/>
              </w:rPr>
              <w:t>m5_financials_16</w:t>
            </w:r>
          </w:p>
        </w:tc>
      </w:tr>
      <w:tr>
        <w:trPr>
          <w:cantSplit w:val="true"/>
        </w:trPr>
        <w:tc>
          <w:tcPr>
            <w:tcW w:type="dxa" w:w="3515"/>
          </w:tcPr>
          <w:p>
            <w:pPr>
              <w:spacing w:after="0" w:before="0"/>
            </w:pPr>
            <w:r/>
            <w:r>
              <w:rPr>
                <w:rFonts w:ascii="Arial" w:hAnsi="Arial"/>
                <w:b w:val="0"/>
                <w:sz w:val="15"/>
              </w:rPr>
              <w:t>fin.ScorecardMetric</w:t>
            </w:r>
          </w:p>
        </w:tc>
        <w:tc>
          <w:tcPr>
            <w:tcW w:type="dxa" w:w="10205"/>
          </w:tcPr>
          <w:p>
            <w:pPr>
              <w:spacing w:after="0" w:before="0"/>
            </w:pPr>
            <w:r/>
            <w:r>
              <w:rPr>
                <w:rFonts w:ascii="Arial" w:hAnsi="Arial"/>
                <w:b w:val="0"/>
                <w:sz w:val="15"/>
              </w:rPr>
              <w:t>A metric of a scorecard: its factor, its weight and the nine boundaries of its grid (best cap, Aaa|Aa, Aa|A, A|Baa, Baa|Ba, Ba|B, B|Caa, Caa|Ca, worst cap); a qualitative metric has no grid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fin.ScorecardParameter</w:t>
            </w:r>
          </w:p>
        </w:tc>
        <w:tc>
          <w:tcPr>
            <w:tcW w:type="dxa" w:w="10205"/>
            <w:shd w:val="clear" w:color="auto" w:fill="E8EEF6"/>
          </w:tcPr>
          <w:p>
            <w:pPr>
              <w:spacing w:after="0" w:before="0"/>
            </w:pPr>
            <w:r/>
            <w:r>
              <w:rPr>
                <w:rFonts w:ascii="Arial" w:hAnsi="Arial"/>
                <w:b w:val="0"/>
                <w:sz w:val="15"/>
              </w:rPr>
              <w:t>A parameter of a scorecard version: a haircut of the break-up test, a collateral haircut, a band of the loss given default, a liquidity threshold, a cost rule; frozen with its scorecard (docs/35 sections 5, 9 and 10)</w:t>
            </w:r>
          </w:p>
        </w:tc>
        <w:tc>
          <w:tcPr>
            <w:tcW w:type="dxa" w:w="1701"/>
            <w:shd w:val="clear" w:color="auto" w:fill="E8EEF6"/>
          </w:tcPr>
          <w:p>
            <w:pPr>
              <w:spacing w:after="0" w:before="0"/>
            </w:pPr>
            <w:r/>
            <w:r>
              <w:rPr>
                <w:rFonts w:ascii="Arial" w:hAnsi="Arial"/>
                <w:b w:val="0"/>
                <w:sz w:val="15"/>
              </w:rPr>
              <w:t>m5_financials_17</w:t>
            </w:r>
          </w:p>
        </w:tc>
      </w:tr>
      <w:tr>
        <w:trPr>
          <w:cantSplit w:val="true"/>
        </w:trPr>
        <w:tc>
          <w:tcPr>
            <w:tcW w:type="dxa" w:w="3515"/>
          </w:tcPr>
          <w:p>
            <w:pPr>
              <w:spacing w:after="0" w:before="0"/>
            </w:pPr>
            <w:r/>
            <w:r>
              <w:rPr>
                <w:rFonts w:ascii="Arial" w:hAnsi="Arial"/>
                <w:b w:val="0"/>
                <w:sz w:val="15"/>
              </w:rPr>
              <w:t>fin.ScorecardSubfactor</w:t>
            </w:r>
          </w:p>
        </w:tc>
        <w:tc>
          <w:tcPr>
            <w:tcW w:type="dxa" w:w="10205"/>
          </w:tcPr>
          <w:p>
            <w:pPr>
              <w:spacing w:after="0" w:before="0"/>
            </w:pPr>
            <w:r/>
            <w:r>
              <w:rPr>
                <w:rFonts w:ascii="Arial" w:hAnsi="Arial"/>
                <w:b w:val="0"/>
                <w:sz w:val="15"/>
              </w:rPr>
              <w:t>A sub-factor of a qualitative factor of a scorecard, with its grading guide; the factor's grade is the average of the graded sub-factors when the analyst grades them (docs/35 section 5)</w:t>
            </w:r>
          </w:p>
        </w:tc>
        <w:tc>
          <w:tcPr>
            <w:tcW w:type="dxa" w:w="1701"/>
          </w:tcPr>
          <w:p>
            <w:pPr>
              <w:spacing w:after="0" w:before="0"/>
            </w:pPr>
            <w:r/>
            <w:r>
              <w:rPr>
                <w:rFonts w:ascii="Arial" w:hAnsi="Arial"/>
                <w:b w:val="0"/>
                <w:sz w:val="15"/>
              </w:rPr>
              <w:t>m5_financials_17</w:t>
            </w:r>
          </w:p>
        </w:tc>
      </w:tr>
      <w:tr>
        <w:trPr>
          <w:cantSplit w:val="true"/>
        </w:trPr>
        <w:tc>
          <w:tcPr>
            <w:tcW w:type="dxa" w:w="3515"/>
            <w:shd w:val="clear" w:color="auto" w:fill="E8EEF6"/>
          </w:tcPr>
          <w:p>
            <w:pPr>
              <w:spacing w:after="0" w:before="0"/>
            </w:pPr>
            <w:r/>
            <w:r>
              <w:rPr>
                <w:rFonts w:ascii="Arial" w:hAnsi="Arial"/>
                <w:b w:val="0"/>
                <w:sz w:val="15"/>
              </w:rPr>
              <w:t>fin.ShockDriver</w:t>
            </w:r>
          </w:p>
        </w:tc>
        <w:tc>
          <w:tcPr>
            <w:tcW w:type="dxa" w:w="10205"/>
            <w:shd w:val="clear" w:color="auto" w:fill="E8EEF6"/>
          </w:tcPr>
          <w:p>
            <w:pPr>
              <w:spacing w:after="0" w:before="0"/>
            </w:pPr>
            <w:r/>
            <w:r>
              <w:rPr>
                <w:rFonts w:ascii="Arial" w:hAnsi="Arial"/>
                <w:b w:val="0"/>
                <w:sz w:val="15"/>
              </w:rPr>
              <w:t>A driver of stress: private demand, government spending, real estate, conflict, oil, credit, imports and currency; its effect at full intensity on revenue, gross margin and collection days (docs/35 section 14, ADR 0019)</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fin.StandardLine</w:t>
            </w:r>
          </w:p>
        </w:tc>
        <w:tc>
          <w:tcPr>
            <w:tcW w:type="dxa" w:w="10205"/>
          </w:tcPr>
          <w:p>
            <w:pPr>
              <w:spacing w:after="0" w:before="0"/>
            </w:pPr>
            <w:r/>
            <w:r>
              <w:rPr>
                <w:rFonts w:ascii="Arial" w:hAnsi="Arial"/>
                <w:b w:val="0"/>
                <w:sz w:val="15"/>
              </w:rPr>
              <w:t>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fin.StandardLineTotal</w:t>
            </w:r>
          </w:p>
        </w:tc>
        <w:tc>
          <w:tcPr>
            <w:tcW w:type="dxa" w:w="10205"/>
            <w:shd w:val="clear" w:color="auto" w:fill="E8EEF6"/>
          </w:tcPr>
          <w:p>
            <w:pPr>
              <w:spacing w:after="0" w:before="0"/>
            </w:pPr>
            <w:r/>
            <w:r>
              <w:rPr>
                <w:rFonts w:ascii="Arial" w:hAnsi="Arial"/>
                <w:b w:val="0"/>
                <w:sz w:val="15"/>
              </w:rPr>
              <w:t>The components of a standard total and their sign, so a total is recomputed after a pro-forma change (docs/35 section 12)</w:t>
            </w:r>
          </w:p>
        </w:tc>
        <w:tc>
          <w:tcPr>
            <w:tcW w:type="dxa" w:w="1701"/>
            <w:shd w:val="clear" w:color="auto" w:fill="E8EEF6"/>
          </w:tcPr>
          <w:p>
            <w:pPr>
              <w:spacing w:after="0" w:before="0"/>
            </w:pPr>
            <w:r/>
            <w:r>
              <w:rPr>
                <w:rFonts w:ascii="Arial" w:hAnsi="Arial"/>
                <w:b w:val="0"/>
                <w:sz w:val="15"/>
              </w:rPr>
              <w:t>m5_financials_18</w:t>
            </w:r>
          </w:p>
        </w:tc>
      </w:tr>
      <w:tr>
        <w:trPr>
          <w:cantSplit w:val="true"/>
        </w:trPr>
        <w:tc>
          <w:tcPr>
            <w:tcW w:type="dxa" w:w="3515"/>
          </w:tcPr>
          <w:p>
            <w:pPr>
              <w:spacing w:after="0" w:before="0"/>
            </w:pPr>
            <w:r/>
            <w:r>
              <w:rPr>
                <w:rFonts w:ascii="Arial" w:hAnsi="Arial"/>
                <w:b w:val="0"/>
                <w:sz w:val="15"/>
              </w:rPr>
              <w:t>fin.StatementLine</w:t>
            </w:r>
          </w:p>
        </w:tc>
        <w:tc>
          <w:tcPr>
            <w:tcW w:type="dxa" w:w="10205"/>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tcPr>
          <w:p>
            <w:pPr>
              <w:spacing w:after="0" w:before="0"/>
            </w:pPr>
            <w:r/>
            <w:r>
              <w:rPr>
                <w:rFonts w:ascii="Arial" w:hAnsi="Arial"/>
                <w:b w:val="0"/>
                <w:sz w:val="15"/>
              </w:rPr>
              <w:t>m5_financials_18</w:t>
            </w:r>
          </w:p>
        </w:tc>
      </w:tr>
      <w:tr>
        <w:trPr>
          <w:cantSplit w:val="true"/>
        </w:trPr>
        <w:tc>
          <w:tcPr>
            <w:tcW w:type="dxa" w:w="3515"/>
            <w:shd w:val="clear" w:color="auto" w:fill="E8EEF6"/>
          </w:tcPr>
          <w:p>
            <w:pPr>
              <w:spacing w:after="0" w:before="0"/>
            </w:pPr>
            <w:r/>
            <w:r>
              <w:rPr>
                <w:rFonts w:ascii="Arial" w:hAnsi="Arial"/>
                <w:b w:val="0"/>
                <w:sz w:val="15"/>
              </w:rPr>
              <w:t>fin.StatementRatio</w:t>
            </w:r>
          </w:p>
        </w:tc>
        <w:tc>
          <w:tcPr>
            <w:tcW w:type="dxa" w:w="10205"/>
            <w:shd w:val="clear" w:color="auto" w:fill="E8EEF6"/>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fin.StrengtheningPlan</w:t>
            </w:r>
          </w:p>
        </w:tc>
        <w:tc>
          <w:tcPr>
            <w:tcW w:type="dxa" w:w="10205"/>
          </w:tcPr>
          <w:p>
            <w:pPr>
              <w:spacing w:after="0" w:before="0"/>
            </w:pPr>
            <w:r/>
            <w:r>
              <w:rPr>
                <w:rFonts w:ascii="Arial" w:hAnsi="Arial"/>
                <w:b w:val="0"/>
                <w:sz w:val="15"/>
              </w:rPr>
              <w:t>A ready-made plan to strengthen the statements: a package of remedies applied one after another, or the best plan the engine builds step by step from the remedies the findings call for (docs/35 section 12)</w:t>
            </w:r>
          </w:p>
        </w:tc>
        <w:tc>
          <w:tcPr>
            <w:tcW w:type="dxa" w:w="1701"/>
          </w:tcPr>
          <w:p>
            <w:pPr>
              <w:spacing w:after="0" w:before="0"/>
            </w:pPr>
            <w:r/>
            <w:r>
              <w:rPr>
                <w:rFonts w:ascii="Arial" w:hAnsi="Arial"/>
                <w:b w:val="0"/>
                <w:sz w:val="15"/>
              </w:rPr>
              <w:t>m5_financials_19</w:t>
            </w:r>
          </w:p>
        </w:tc>
      </w:tr>
      <w:tr>
        <w:trPr>
          <w:cantSplit w:val="true"/>
        </w:trPr>
        <w:tc>
          <w:tcPr>
            <w:tcW w:type="dxa" w:w="3515"/>
            <w:shd w:val="clear" w:color="auto" w:fill="E8EEF6"/>
          </w:tcPr>
          <w:p>
            <w:pPr>
              <w:spacing w:after="0" w:before="0"/>
            </w:pPr>
            <w:r/>
            <w:r>
              <w:rPr>
                <w:rFonts w:ascii="Arial" w:hAnsi="Arial"/>
                <w:b w:val="0"/>
                <w:sz w:val="15"/>
              </w:rPr>
              <w:t>fin.StrengtheningPlanMember</w:t>
            </w:r>
          </w:p>
        </w:tc>
        <w:tc>
          <w:tcPr>
            <w:tcW w:type="dxa" w:w="10205"/>
            <w:shd w:val="clear" w:color="auto" w:fill="E8EEF6"/>
          </w:tcPr>
          <w:p>
            <w:pPr>
              <w:spacing w:after="0" w:before="0"/>
            </w:pPr>
            <w:r/>
            <w:r>
              <w:rPr>
                <w:rFonts w:ascii="Arial" w:hAnsi="Arial"/>
                <w:b w:val="0"/>
                <w:sz w:val="15"/>
              </w:rPr>
              <w:t>A remedy of a package plan, in the order the plan applies it</w:t>
            </w:r>
          </w:p>
        </w:tc>
        <w:tc>
          <w:tcPr>
            <w:tcW w:type="dxa" w:w="1701"/>
            <w:shd w:val="clear" w:color="auto" w:fill="E8EEF6"/>
          </w:tcPr>
          <w:p>
            <w:pPr>
              <w:spacing w:after="0" w:before="0"/>
            </w:pPr>
            <w:r/>
            <w:r>
              <w:rPr>
                <w:rFonts w:ascii="Arial" w:hAnsi="Arial"/>
                <w:b w:val="0"/>
                <w:sz w:val="15"/>
              </w:rPr>
              <w:t>m5_financials_19</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obl.CovenantTestStatement</w:t>
            </w:r>
          </w:p>
        </w:tc>
        <w:tc>
          <w:tcPr>
            <w:tcW w:type="dxa" w:w="10205"/>
            <w:shd w:val="clear" w:color="auto" w:fill="E8EEF6"/>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w:t>
            </w:r>
          </w:p>
        </w:tc>
        <w:tc>
          <w:tcPr>
            <w:tcW w:type="dxa" w:w="10205"/>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obl.ObligationBreach</w:t>
            </w:r>
          </w:p>
        </w:tc>
        <w:tc>
          <w:tcPr>
            <w:tcW w:type="dxa" w:w="10205"/>
            <w:shd w:val="clear" w:color="auto" w:fill="E8EEF6"/>
          </w:tcPr>
          <w:p>
            <w:pPr>
              <w:spacing w:after="0" w:before="0"/>
            </w:pPr>
            <w:r/>
            <w:r>
              <w:rPr>
                <w:rFonts w:ascii="Arial" w:hAnsi="Arial"/>
                <w:b w:val="0"/>
                <w:sz w:val="15"/>
              </w:rPr>
              <w:t>Breach record, its remedy and any waiver (FR-OBL-012, BR-OBL-009/011, section 8)</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obl.ObligationCompany</w:t>
            </w:r>
          </w:p>
        </w:tc>
        <w:tc>
          <w:tcPr>
            <w:tcW w:type="dxa" w:w="10205"/>
          </w:tcPr>
          <w:p>
            <w:pPr>
              <w:spacing w:after="0" w:before="0"/>
            </w:pPr>
            <w:r/>
            <w:r>
              <w:rPr>
                <w:rFonts w:ascii="Arial" w:hAnsi="Arial"/>
                <w:b w:val="0"/>
                <w:sz w:val="15"/>
              </w:rPr>
              <w:t>Companies the obligation applies to (AppliesToCompanyIds)</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obl.ReportingInstance</w:t>
            </w:r>
          </w:p>
        </w:tc>
        <w:tc>
          <w:tcPr>
            <w:tcW w:type="dxa" w:w="10205"/>
            <w:shd w:val="clear" w:color="auto" w:fill="E8EEF6"/>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obl.ReportingObligation</w:t>
            </w:r>
          </w:p>
        </w:tc>
        <w:tc>
          <w:tcPr>
            <w:tcW w:type="dxa" w:w="10205"/>
          </w:tcPr>
          <w:p>
            <w:pPr>
              <w:spacing w:after="0" w:before="0"/>
            </w:pPr>
            <w:r/>
            <w:r>
              <w:rPr>
                <w:rFonts w:ascii="Arial" w:hAnsi="Arial"/>
                <w:b w:val="0"/>
                <w:sz w:val="15"/>
              </w:rPr>
              <w:t>Reporting or notice-due rule, 1:1 with Obligation (FR-OBL-002/003, BR-OBL-002, V-OBL-01)</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org.AuthorityGrant</w:t>
            </w:r>
          </w:p>
        </w:tc>
        <w:tc>
          <w:tcPr>
            <w:tcW w:type="dxa" w:w="10205"/>
            <w:shd w:val="clear" w:color="auto" w:fill="E8EEF6"/>
          </w:tcPr>
          <w:p>
            <w:pPr>
              <w:spacing w:after="0" w:before="0"/>
            </w:pPr>
            <w:r/>
            <w:r>
              <w:rPr>
                <w:rFonts w:ascii="Arial" w:hAnsi="Arial"/>
                <w:b w:val="0"/>
                <w:sz w:val="15"/>
              </w:rPr>
              <w:t>Authority grant to a company (FR-ORG-023..028, BR-ORG-011..014)</w:t>
            </w:r>
          </w:p>
        </w:tc>
        <w:tc>
          <w:tcPr>
            <w:tcW w:type="dxa" w:w="1701"/>
            <w:shd w:val="clear" w:color="auto" w:fill="E8EEF6"/>
          </w:tcPr>
          <w:p>
            <w:pPr>
              <w:spacing w:after="0" w:before="0"/>
            </w:pPr>
            <w:r/>
            <w:r>
              <w:rPr>
                <w:rFonts w:ascii="Arial" w:hAnsi="Arial"/>
                <w:b w:val="0"/>
                <w:sz w:val="15"/>
              </w:rPr>
              <w:t>m1_company_3</w:t>
            </w:r>
          </w:p>
        </w:tc>
      </w:tr>
      <w:tr>
        <w:trPr>
          <w:cantSplit w:val="true"/>
        </w:trPr>
        <w:tc>
          <w:tcPr>
            <w:tcW w:type="dxa" w:w="3515"/>
          </w:tcPr>
          <w:p>
            <w:pPr>
              <w:spacing w:after="0" w:before="0"/>
            </w:pPr>
            <w:r/>
            <w:r>
              <w:rPr>
                <w:rFonts w:ascii="Arial" w:hAnsi="Arial"/>
                <w:b w:val="0"/>
                <w:sz w:val="15"/>
              </w:rPr>
              <w:t>org.BodyMember</w:t>
            </w:r>
          </w:p>
        </w:tc>
        <w:tc>
          <w:tcPr>
            <w:tcW w:type="dxa" w:w="10205"/>
          </w:tcPr>
          <w:p>
            <w:pPr>
              <w:spacing w:after="0" w:before="0"/>
            </w:pPr>
            <w:r/>
            <w:r>
              <w:rPr>
                <w:rFonts w:ascii="Arial" w:hAnsi="Arial"/>
                <w:b w:val="0"/>
                <w:sz w:val="15"/>
              </w:rPr>
              <w:t>Membership of a governing body (FR-ORG-020, FR-ORG-021, BR-ORG-010)</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org.Company</w:t>
            </w:r>
          </w:p>
        </w:tc>
        <w:tc>
          <w:tcPr>
            <w:tcW w:type="dxa" w:w="10205"/>
            <w:shd w:val="clear" w:color="auto" w:fill="E8EEF6"/>
          </w:tcPr>
          <w:p>
            <w:pPr>
              <w:spacing w:after="0" w:before="0"/>
            </w:pPr>
            <w:r/>
            <w:r>
              <w:rPr>
                <w:rFonts w:ascii="Arial" w:hAnsi="Arial"/>
                <w:b w:val="0"/>
                <w:sz w:val="15"/>
              </w:rPr>
              <w:t>Company: root of the corporate structure (FR-ORG-001..010, BR-ORG-001..004)</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org.CompanyBranch</w:t>
            </w:r>
          </w:p>
        </w:tc>
        <w:tc>
          <w:tcPr>
            <w:tcW w:type="dxa" w:w="10205"/>
          </w:tcPr>
          <w:p>
            <w:pPr>
              <w:spacing w:after="0" w:before="0"/>
            </w:pPr>
            <w:r/>
            <w:r>
              <w:rPr>
                <w:rFonts w:ascii="Arial" w:hAnsi="Arial"/>
                <w:b w:val="0"/>
                <w:sz w:val="15"/>
              </w:rPr>
              <w:t>Branch, warehouse or subsidiary outside the account, held as text (G-3)</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org.CompanyDisclosure</w:t>
            </w:r>
          </w:p>
        </w:tc>
        <w:tc>
          <w:tcPr>
            <w:tcW w:type="dxa" w:w="10205"/>
            <w:shd w:val="clear" w:color="auto" w:fill="E8EEF6"/>
          </w:tcPr>
          <w:p>
            <w:pPr>
              <w:spacing w:after="0" w:before="0"/>
            </w:pPr>
            <w:r/>
            <w:r>
              <w:rPr>
                <w:rFonts w:ascii="Arial" w:hAnsi="Arial"/>
                <w:b w:val="0"/>
                <w:sz w:val="15"/>
              </w:rPr>
              <w:t>Company disclosures (G-5)</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org.CompanyExpectedFlow</w:t>
            </w:r>
          </w:p>
        </w:tc>
        <w:tc>
          <w:tcPr>
            <w:tcW w:type="dxa" w:w="10205"/>
          </w:tcPr>
          <w:p>
            <w:pPr>
              <w:spacing w:after="0" w:before="0"/>
            </w:pPr>
            <w:r/>
            <w:r>
              <w:rPr>
                <w:rFonts w:ascii="Arial" w:hAnsi="Arial"/>
                <w:b w:val="0"/>
                <w:sz w:val="15"/>
              </w:rPr>
              <w:t>Monthly expected cash-flow matrix (CTP): direction x five items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org.CompanyKeyRelation</w:t>
            </w:r>
          </w:p>
        </w:tc>
        <w:tc>
          <w:tcPr>
            <w:tcW w:type="dxa" w:w="10205"/>
            <w:shd w:val="clear" w:color="auto" w:fill="E8EEF6"/>
          </w:tcPr>
          <w:p>
            <w:pPr>
              <w:spacing w:after="0" w:before="0"/>
            </w:pPr>
            <w:r/>
            <w:r>
              <w:rPr>
                <w:rFonts w:ascii="Arial" w:hAnsi="Arial"/>
                <w:b w:val="0"/>
                <w:sz w:val="15"/>
              </w:rPr>
              <w:t>Key relations: auditors, legal counsel, regulators, and major customers and suppliers (G-6)</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org.CompanyKycFinancialProfile</w:t>
            </w:r>
          </w:p>
        </w:tc>
        <w:tc>
          <w:tcPr>
            <w:tcW w:type="dxa" w:w="10205"/>
          </w:tcPr>
          <w:p>
            <w:pPr>
              <w:spacing w:after="0" w:before="0"/>
            </w:pPr>
            <w:r/>
            <w:r>
              <w:rPr>
                <w:rFonts w:ascii="Arial" w:hAnsi="Arial"/>
                <w:b w:val="0"/>
                <w:sz w:val="15"/>
              </w:rPr>
              <w:t>KYC financial profile with an effective date: revenue band and purpose (G-4)</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org.CompanyProfile</w:t>
            </w:r>
          </w:p>
        </w:tc>
        <w:tc>
          <w:tcPr>
            <w:tcW w:type="dxa" w:w="10205"/>
            <w:shd w:val="clear" w:color="auto" w:fill="E8EEF6"/>
          </w:tcPr>
          <w:p>
            <w:pPr>
              <w:spacing w:after="0" w:before="0"/>
            </w:pPr>
            <w:r/>
            <w:r>
              <w:rPr>
                <w:rFonts w:ascii="Arial" w:hAnsi="Arial"/>
                <w:b w:val="0"/>
                <w:sz w:val="15"/>
              </w:rPr>
              <w:t>Company profile, 1:1 (G-1)</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org.CompanyTaxRate</w:t>
            </w:r>
          </w:p>
        </w:tc>
        <w:tc>
          <w:tcPr>
            <w:tcW w:type="dxa" w:w="10205"/>
          </w:tcPr>
          <w:p>
            <w:pPr>
              <w:spacing w:after="0" w:before="0"/>
            </w:pPr>
            <w:r/>
            <w:r>
              <w:rPr>
                <w:rFonts w:ascii="Arial" w:hAnsi="Arial"/>
                <w:b w:val="0"/>
                <w:sz w:val="15"/>
              </w:rPr>
              <w:t>Tax rate with an effective date; NULL CompanyId = tenant default (FR-ORG-007, BR-ORG-005)</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org.CompanyWealthSource</w:t>
            </w:r>
          </w:p>
        </w:tc>
        <w:tc>
          <w:tcPr>
            <w:tcW w:type="dxa" w:w="10205"/>
            <w:shd w:val="clear" w:color="auto" w:fill="E8EEF6"/>
          </w:tcPr>
          <w:p>
            <w:pPr>
              <w:spacing w:after="0" w:before="0"/>
            </w:pPr>
            <w:r/>
            <w:r>
              <w:rPr>
                <w:rFonts w:ascii="Arial" w:hAnsi="Arial"/>
                <w:b w:val="0"/>
                <w:sz w:val="15"/>
              </w:rPr>
              <w:t>Sources of funds and wealth: multiple-value list (G-4)</w:t>
            </w:r>
          </w:p>
        </w:tc>
        <w:tc>
          <w:tcPr>
            <w:tcW w:type="dxa" w:w="1701"/>
            <w:shd w:val="clear" w:color="auto" w:fill="E8EEF6"/>
          </w:tcPr>
          <w:p>
            <w:pPr>
              <w:spacing w:after="0" w:before="0"/>
            </w:pPr>
            <w:r/>
            <w:r>
              <w:rPr>
                <w:rFonts w:ascii="Arial" w:hAnsi="Arial"/>
                <w:b w:val="0"/>
                <w:sz w:val="15"/>
              </w:rPr>
              <w:t>m1_company_kyc_2</w:t>
            </w:r>
          </w:p>
        </w:tc>
      </w:tr>
      <w:tr>
        <w:trPr>
          <w:cantSplit w:val="true"/>
        </w:trPr>
        <w:tc>
          <w:tcPr>
            <w:tcW w:type="dxa" w:w="3515"/>
          </w:tcPr>
          <w:p>
            <w:pPr>
              <w:spacing w:after="0" w:before="0"/>
            </w:pPr>
            <w:r/>
            <w:r>
              <w:rPr>
                <w:rFonts w:ascii="Arial" w:hAnsi="Arial"/>
                <w:b w:val="0"/>
                <w:sz w:val="15"/>
              </w:rPr>
              <w:t>org.Department</w:t>
            </w:r>
          </w:p>
        </w:tc>
        <w:tc>
          <w:tcPr>
            <w:tcW w:type="dxa" w:w="10205"/>
          </w:tcPr>
          <w:p>
            <w:pPr>
              <w:spacing w:after="0" w:before="0"/>
            </w:pPr>
            <w:r/>
            <w:r>
              <w:rPr>
                <w:rFonts w:ascii="Arial" w:hAnsi="Arial"/>
                <w:b w:val="0"/>
                <w:sz w:val="15"/>
              </w:rPr>
              <w:t>Department (FR-ORG-014, BR-ORG-016, Q-ORG-09): at tenant level, optionally per company</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org.GoverningBody</w:t>
            </w:r>
          </w:p>
        </w:tc>
        <w:tc>
          <w:tcPr>
            <w:tcW w:type="dxa" w:w="10205"/>
            <w:shd w:val="clear" w:color="auto" w:fill="E8EEF6"/>
          </w:tcPr>
          <w:p>
            <w:pPr>
              <w:spacing w:after="0" w:before="0"/>
            </w:pPr>
            <w:r/>
            <w:r>
              <w:rPr>
                <w:rFonts w:ascii="Arial" w:hAnsi="Arial"/>
                <w:b w:val="0"/>
                <w:sz w:val="15"/>
              </w:rPr>
              <w:t>Governing body (FR-ORG-019, BR-ORG-009)</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org.Shareholding</w:t>
            </w:r>
          </w:p>
        </w:tc>
        <w:tc>
          <w:tcPr>
            <w:tcW w:type="dxa" w:w="10205"/>
          </w:tcPr>
          <w:p>
            <w:pPr>
              <w:spacing w:after="0" w:before="0"/>
            </w:pPr>
            <w:r/>
            <w:r>
              <w:rPr>
                <w:rFonts w:ascii="Arial" w:hAnsi="Arial"/>
                <w:b w:val="0"/>
                <w:sz w:val="15"/>
              </w:rPr>
              <w:t>Ownership interest with an effective date; the owner is a Party, an individual or an entity (FR-ORG-015..018, BR-ORG-006..008, G-7)</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plat.OperatorSession</w:t>
            </w:r>
          </w:p>
        </w:tc>
        <w:tc>
          <w:tcPr>
            <w:tcW w:type="dxa" w:w="10205"/>
            <w:shd w:val="clear" w:color="auto" w:fill="E8EEF6"/>
          </w:tcPr>
          <w:p>
            <w:pPr>
              <w:spacing w:after="0" w:before="0"/>
            </w:pPr>
            <w:r/>
            <w:r>
              <w:rPr>
                <w:rFonts w:ascii="Arial" w:hAnsi="Arial"/>
                <w:b w:val="0"/>
                <w:sz w:val="15"/>
              </w:rPr>
              <w:t>Platform operator sessions: 15-minute idle and 8-hour absolute timeout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plat.OperatorToken</w:t>
            </w:r>
          </w:p>
        </w:tc>
        <w:tc>
          <w:tcPr>
            <w:tcW w:type="dxa" w:w="10205"/>
          </w:tcPr>
          <w:p>
            <w:pPr>
              <w:spacing w:after="0" w:before="0"/>
            </w:pPr>
            <w:r/>
            <w:r>
              <w:rPr>
                <w:rFonts w:ascii="Arial" w:hAnsi="Arial"/>
                <w:b w:val="0"/>
                <w:sz w:val="15"/>
              </w:rPr>
              <w:t>One-time operator set-up links: password and MFA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plat.Plan</w:t>
            </w:r>
          </w:p>
        </w:tc>
        <w:tc>
          <w:tcPr>
            <w:tcW w:type="dxa" w:w="10205"/>
            <w:shd w:val="clear" w:color="auto" w:fill="E8EEF6"/>
          </w:tcPr>
          <w:p>
            <w:pPr>
              <w:spacing w:after="0" w:before="0"/>
            </w:pPr>
            <w:r/>
            <w:r>
              <w:rPr>
                <w:rFonts w:ascii="Arial" w:hAnsi="Arial"/>
                <w:b w:val="0"/>
                <w:sz w:val="15"/>
              </w:rPr>
              <w:t>Subscription plan: a bundle of modules and soft limits (FR-PLT-003/004, Q-PLT-11)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plat.PlanModule</w:t>
            </w:r>
          </w:p>
        </w:tc>
        <w:tc>
          <w:tcPr>
            <w:tcW w:type="dxa" w:w="10205"/>
          </w:tcPr>
          <w:p>
            <w:pPr>
              <w:spacing w:after="0" w:before="0"/>
            </w:pPr>
            <w:r/>
            <w:r>
              <w:rPr>
                <w:rFonts w:ascii="Arial" w:hAnsi="Arial"/>
                <w:b w:val="0"/>
                <w:sz w:val="15"/>
              </w:rPr>
              <w:t>Modules included in a plan (replaces the Plan.IncludedModules JSON column)</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plat.PlatformOperator</w:t>
            </w:r>
          </w:p>
        </w:tc>
        <w:tc>
          <w:tcPr>
            <w:tcW w:type="dxa" w:w="10205"/>
            <w:shd w:val="clear" w:color="auto" w:fill="E8EEF6"/>
          </w:tcPr>
          <w:p>
            <w:pPr>
              <w:spacing w:after="0" w:before="0"/>
            </w:pPr>
            <w:r/>
            <w:r>
              <w:rPr>
                <w:rFonts w:ascii="Arial" w:hAnsi="Arial"/>
                <w:b w:val="0"/>
                <w:sz w:val="15"/>
              </w:rPr>
              <w:t>Platform operator account: not readable by the tenant application (tp_app); identity store separate from AppUser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plat.ReservedSubdomain</w:t>
            </w:r>
          </w:p>
        </w:tc>
        <w:tc>
          <w:tcPr>
            <w:tcW w:type="dxa" w:w="10205"/>
          </w:tcPr>
          <w:p>
            <w:pPr>
              <w:spacing w:after="0" w:before="0"/>
            </w:pPr>
            <w:r/>
            <w:r>
              <w:rPr>
                <w:rFonts w:ascii="Arial" w:hAnsi="Arial"/>
                <w:b w:val="0"/>
                <w:sz w:val="15"/>
              </w:rPr>
              <w:t>Subdomains reserved for the system: www, admin, api, app and others (FR-PLT-046)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plat.SupportAccessGrant</w:t>
            </w:r>
          </w:p>
        </w:tc>
        <w:tc>
          <w:tcPr>
            <w:tcW w:type="dxa" w:w="10205"/>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w:t>
            </w:r>
          </w:p>
        </w:tc>
        <w:tc>
          <w:tcPr>
            <w:tcW w:type="dxa" w:w="10205"/>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plat.TenantModule</w:t>
            </w:r>
          </w:p>
        </w:tc>
        <w:tc>
          <w:tcPr>
            <w:tcW w:type="dxa" w:w="10205"/>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prc.PricingRule</w:t>
            </w:r>
          </w:p>
        </w:tc>
        <w:tc>
          <w:tcPr>
            <w:tcW w:type="dxa" w:w="10205"/>
          </w:tcPr>
          <w:p>
            <w:pPr>
              <w:spacing w:after="0" w:before="0"/>
            </w:pPr>
            <w:r/>
            <w:r>
              <w:rPr>
                <w:rFonts w:ascii="Arial" w:hAnsi="Arial"/>
                <w:b w:val="0"/>
                <w:sz w:val="15"/>
              </w:rPr>
              <w:t>Pricing rule with scope, inheritance and methods (FR-PRC-006..017, BR-PRC-006..012, V-PRC-02)</w:t>
            </w:r>
          </w:p>
        </w:tc>
        <w:tc>
          <w:tcPr>
            <w:tcW w:type="dxa" w:w="1701"/>
          </w:tcPr>
          <w:p>
            <w:pPr>
              <w:spacing w:after="0" w:before="0"/>
            </w:pPr>
            <w:r/>
            <w:r>
              <w:rPr>
                <w:rFonts w:ascii="Arial" w:hAnsi="Arial"/>
                <w:b w:val="0"/>
                <w:sz w:val="15"/>
              </w:rPr>
              <w:t>m5_pricing_2</w:t>
            </w:r>
          </w:p>
        </w:tc>
      </w:tr>
      <w:tr>
        <w:trPr>
          <w:cantSplit w:val="true"/>
        </w:trPr>
        <w:tc>
          <w:tcPr>
            <w:tcW w:type="dxa" w:w="3515"/>
            <w:shd w:val="clear" w:color="auto" w:fill="E8EEF6"/>
          </w:tcPr>
          <w:p>
            <w:pPr>
              <w:spacing w:after="0" w:before="0"/>
            </w:pPr>
            <w:r/>
            <w:r>
              <w:rPr>
                <w:rFonts w:ascii="Arial" w:hAnsi="Arial"/>
                <w:b w:val="0"/>
                <w:sz w:val="15"/>
              </w:rPr>
              <w:t>prc.PricingTier</w:t>
            </w:r>
          </w:p>
        </w:tc>
        <w:tc>
          <w:tcPr>
            <w:tcW w:type="dxa" w:w="10205"/>
            <w:shd w:val="clear" w:color="auto" w:fill="E8EEF6"/>
          </w:tcPr>
          <w:p>
            <w:pPr>
              <w:spacing w:after="0" w:before="0"/>
            </w:pPr>
            <w:r/>
            <w:r>
              <w:rPr>
                <w:rFonts w:ascii="Arial" w:hAnsi="Arial"/>
                <w:b w:val="0"/>
                <w:sz w:val="15"/>
              </w:rPr>
              <w:t>Tier of a TIERED rule by amount and/or term (FR-PRC-003, BR-PRC-002)</w:t>
            </w:r>
          </w:p>
        </w:tc>
        <w:tc>
          <w:tcPr>
            <w:tcW w:type="dxa" w:w="1701"/>
            <w:shd w:val="clear" w:color="auto" w:fill="E8EEF6"/>
          </w:tcPr>
          <w:p>
            <w:pPr>
              <w:spacing w:after="0" w:before="0"/>
            </w:pPr>
            <w:r/>
            <w:r>
              <w:rPr>
                <w:rFonts w:ascii="Arial" w:hAnsi="Arial"/>
                <w:b w:val="0"/>
                <w:sz w:val="15"/>
              </w:rPr>
              <w:t>m5_pricing_3</w:t>
            </w:r>
          </w:p>
        </w:tc>
      </w:tr>
      <w:tr>
        <w:trPr>
          <w:cantSplit w:val="true"/>
        </w:trPr>
        <w:tc>
          <w:tcPr>
            <w:tcW w:type="dxa" w:w="3515"/>
          </w:tcPr>
          <w:p>
            <w:pPr>
              <w:spacing w:after="0" w:before="0"/>
            </w:pPr>
            <w:r/>
            <w:r>
              <w:rPr>
                <w:rFonts w:ascii="Arial" w:hAnsi="Arial"/>
                <w:b w:val="0"/>
                <w:sz w:val="15"/>
              </w:rPr>
              <w:t>prc.TariffItem</w:t>
            </w:r>
          </w:p>
        </w:tc>
        <w:tc>
          <w:tcPr>
            <w:tcW w:type="dxa" w:w="10205"/>
          </w:tcPr>
          <w:p>
            <w:pPr>
              <w:spacing w:after="0" w:before="0"/>
            </w:pPr>
            <w:r/>
            <w:r>
              <w:rPr>
                <w:rFonts w:ascii="Arial" w:hAnsi="Arial"/>
                <w:b w:val="0"/>
                <w:sz w:val="15"/>
              </w:rPr>
              <w:t>Fee item in a tariff schedule (FR-PRC-002, BR-PRC-002..005)</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prc.TariffSchedule</w:t>
            </w:r>
          </w:p>
        </w:tc>
        <w:tc>
          <w:tcPr>
            <w:tcW w:type="dxa" w:w="10205"/>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prc.TariffTier</w:t>
            </w:r>
          </w:p>
        </w:tc>
        <w:tc>
          <w:tcPr>
            <w:tcW w:type="dxa" w:w="10205"/>
          </w:tcPr>
          <w:p>
            <w:pPr>
              <w:spacing w:after="0" w:before="0"/>
            </w:pPr>
            <w:r/>
            <w:r>
              <w:rPr>
                <w:rFonts w:ascii="Arial" w:hAnsi="Arial"/>
                <w:b w:val="0"/>
                <w:sz w:val="15"/>
              </w:rPr>
              <w:t>Tier of a tariff item by amount and/or term (FR-PRC-003, BR-PRC-002)</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pty.Address</w:t>
            </w:r>
          </w:p>
        </w:tc>
        <w:tc>
          <w:tcPr>
            <w:tcW w:type="dxa" w:w="10205"/>
            <w:shd w:val="clear" w:color="auto" w:fill="E8EEF6"/>
          </w:tcPr>
          <w:p>
            <w:pPr>
              <w:spacing w:after="0" w:before="0"/>
            </w:pPr>
            <w:r/>
            <w:r>
              <w:rPr>
                <w:rFonts w:ascii="Arial" w:hAnsi="Arial"/>
                <w:b w:val="0"/>
                <w:sz w:val="15"/>
              </w:rPr>
              <w:t>Postal address with an exclusive owner arc: exactly one of Party, Institution, Unit or Contact (FR-PTY-011,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pty.ContactMethod</w:t>
            </w:r>
          </w:p>
        </w:tc>
        <w:tc>
          <w:tcPr>
            <w:tcW w:type="dxa" w:w="10205"/>
          </w:tcPr>
          <w:p>
            <w:pPr>
              <w:spacing w:after="0" w:before="0"/>
            </w:pPr>
            <w:r/>
            <w:r>
              <w:rPr>
                <w:rFonts w:ascii="Arial" w:hAnsi="Arial"/>
                <w:b w:val="0"/>
                <w:sz w:val="15"/>
              </w:rPr>
              <w:t>Contact method (phone, e-mail and similar) with an exclusive owner arc, as for addresses (FR-PTY-012,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pty.CustomFieldDefinition</w:t>
            </w:r>
          </w:p>
        </w:tc>
        <w:tc>
          <w:tcPr>
            <w:tcW w:type="dxa" w:w="10205"/>
            <w:shd w:val="clear" w:color="auto" w:fill="E8EEF6"/>
          </w:tcPr>
          <w:p>
            <w:pPr>
              <w:spacing w:after="0" w:before="0"/>
            </w:pPr>
            <w:r/>
            <w:r>
              <w:rPr>
                <w:rFonts w:ascii="Arial" w:hAnsi="Arial"/>
                <w:b w:val="0"/>
                <w:sz w:val="15"/>
              </w:rPr>
              <w:t>Custom field definition (FR-PTY-013, BR-PTY-014)</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pty.IdentityDocument</w:t>
            </w:r>
          </w:p>
        </w:tc>
        <w:tc>
          <w:tcPr>
            <w:tcW w:type="dxa" w:w="10205"/>
          </w:tcPr>
          <w:p>
            <w:pPr>
              <w:spacing w:after="0" w:before="0"/>
            </w:pPr>
            <w:r/>
            <w:r>
              <w:rPr>
                <w:rFonts w:ascii="Arial" w:hAnsi="Arial"/>
                <w:b w:val="0"/>
                <w:sz w:val="15"/>
              </w:rPr>
              <w:t>Identity document; the number is encrypted and images are restricted documents (FR-PTY-004..009, FR-PTY-020..022, BR-PTY-002..008)</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w:t>
            </w:r>
          </w:p>
        </w:tc>
        <w:tc>
          <w:tcPr>
            <w:tcW w:type="dxa" w:w="10205"/>
            <w:shd w:val="clear" w:color="auto" w:fill="E8EEF6"/>
          </w:tcPr>
          <w:p>
            <w:pPr>
              <w:spacing w:after="0" w:before="0"/>
            </w:pPr>
            <w:r/>
            <w:r>
              <w:rPr>
                <w:rFonts w:ascii="Arial" w:hAnsi="Arial"/>
                <w:b w:val="0"/>
                <w:sz w:val="15"/>
              </w:rPr>
              <w:t>KYC completeness checklist per bank and role (FR-PTY-023, BR-PTY-012..013, G-8,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w:t>
            </w:r>
          </w:p>
        </w:tc>
        <w:tc>
          <w:tcPr>
            <w:tcW w:type="dxa" w:w="10205"/>
          </w:tcPr>
          <w:p>
            <w:pPr>
              <w:spacing w:after="0" w:before="0"/>
            </w:pPr>
            <w:r/>
            <w:r>
              <w:rPr>
                <w:rFonts w:ascii="Arial" w:hAnsi="Arial"/>
                <w:b w:val="0"/>
                <w:sz w:val="15"/>
              </w:rPr>
              <w:t>Completeness item (FR-PTY-023, FR-PTY-024,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pty.KycProfileItemLegalForm</w:t>
            </w:r>
          </w:p>
        </w:tc>
        <w:tc>
          <w:tcPr>
            <w:tcW w:type="dxa" w:w="10205"/>
            <w:shd w:val="clear" w:color="auto" w:fill="E8EEF6"/>
          </w:tcPr>
          <w:p>
            <w:pPr>
              <w:spacing w:after="0" w:before="0"/>
            </w:pPr>
            <w:r/>
            <w:r>
              <w:rPr>
                <w:rFonts w:ascii="Arial" w:hAnsi="Arial"/>
                <w:b w:val="0"/>
                <w:sz w:val="15"/>
              </w:rPr>
              <w:t>Conditions for an item to apply, by legal form; no rows = applies to all (G-15)</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w:t>
            </w:r>
          </w:p>
        </w:tc>
        <w:tc>
          <w:tcPr>
            <w:tcW w:type="dxa" w:w="10205"/>
          </w:tcPr>
          <w:p>
            <w:pPr>
              <w:spacing w:after="0" w:before="0"/>
            </w:pPr>
            <w:r/>
            <w:r>
              <w:rPr>
                <w:rFonts w:ascii="Arial" w:hAnsi="Arial"/>
                <w:b w:val="0"/>
                <w:sz w:val="15"/>
              </w:rPr>
              <w:t>Person or entity; no stored role (FR-PTY-001..003, BR-PTY-001..004, BR-PTY-016..018)</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pty.PartyCompliance</w:t>
            </w:r>
          </w:p>
        </w:tc>
        <w:tc>
          <w:tcPr>
            <w:tcW w:type="dxa" w:w="10205"/>
            <w:shd w:val="clear" w:color="auto" w:fill="E8EEF6"/>
          </w:tcPr>
          <w:p>
            <w:pPr>
              <w:spacing w:after="0" w:before="0"/>
            </w:pPr>
            <w:r/>
            <w:r>
              <w:rPr>
                <w:rFonts w:ascii="Arial" w:hAnsi="Arial"/>
                <w:b w:val="0"/>
                <w:sz w:val="15"/>
              </w:rPr>
              <w:t>Dated compliance declarations per person in their capacity: PEP, sanctions, investigations, immunity (G-9)</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pty.PartyCustomField</w:t>
            </w:r>
          </w:p>
        </w:tc>
        <w:tc>
          <w:tcPr>
            <w:tcW w:type="dxa" w:w="10205"/>
          </w:tcPr>
          <w:p>
            <w:pPr>
              <w:spacing w:after="0" w:before="0"/>
            </w:pPr>
            <w:r/>
            <w:r>
              <w:rPr>
                <w:rFonts w:ascii="Arial" w:hAnsi="Arial"/>
                <w:b w:val="0"/>
                <w:sz w:val="15"/>
              </w:rPr>
              <w:t>Custom-field value for a party (FR-PTY-013, FR-PTY-014)</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pty.TaxIdentity</w:t>
            </w:r>
          </w:p>
        </w:tc>
        <w:tc>
          <w:tcPr>
            <w:tcW w:type="dxa" w:w="10205"/>
            <w:shd w:val="clear" w:color="auto" w:fill="E8EEF6"/>
          </w:tcPr>
          <w:p>
            <w:pPr>
              <w:spacing w:after="0" w:before="0"/>
            </w:pPr>
            <w:r/>
            <w:r>
              <w:rPr>
                <w:rFonts w:ascii="Arial" w:hAnsi="Arial"/>
                <w:b w:val="0"/>
                <w:sz w:val="15"/>
              </w:rPr>
              <w:t>Tax identity and FATCA/CRS tax declaration (G-13)</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ref.Country</w:t>
            </w:r>
          </w:p>
        </w:tc>
        <w:tc>
          <w:tcPr>
            <w:tcW w:type="dxa" w:w="10205"/>
          </w:tcPr>
          <w:p>
            <w:pPr>
              <w:spacing w:after="0" w:before="0"/>
            </w:pPr>
            <w:r/>
            <w:r>
              <w:rPr>
                <w:rFonts w:ascii="Arial" w:hAnsi="Arial"/>
                <w:b w:val="0"/>
                <w:sz w:val="15"/>
              </w:rPr>
              <w:t>Country: global reference, read-only, managed by the platform operator (FR-CAT-026, BR-CAT-018,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ref.Currency</w:t>
            </w:r>
          </w:p>
        </w:tc>
        <w:tc>
          <w:tcPr>
            <w:tcW w:type="dxa" w:w="10205"/>
            <w:shd w:val="clear" w:color="auto" w:fill="E8EEF6"/>
          </w:tcPr>
          <w:p>
            <w:pPr>
              <w:spacing w:after="0" w:before="0"/>
            </w:pPr>
            <w:r/>
            <w:r>
              <w:rPr>
                <w:rFonts w:ascii="Arial" w:hAnsi="Arial"/>
                <w:b w:val="0"/>
                <w:sz w:val="15"/>
              </w:rPr>
              <w:t>Currency: global ISO 4217 reference, read-only (FR-CAT-021, Q-CAT-08)</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ref.Incoterm</w:t>
            </w:r>
          </w:p>
        </w:tc>
        <w:tc>
          <w:tcPr>
            <w:tcW w:type="dxa" w:w="10205"/>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ref.Industry</w:t>
            </w:r>
          </w:p>
        </w:tc>
        <w:tc>
          <w:tcPr>
            <w:tcW w:type="dxa" w:w="10205"/>
            <w:shd w:val="clear" w:color="auto" w:fill="E8EEF6"/>
          </w:tcPr>
          <w:p>
            <w:pPr>
              <w:spacing w:after="0" w:before="0"/>
            </w:pPr>
            <w:r/>
            <w:r>
              <w:rPr>
                <w:rFonts w:ascii="Arial" w:hAnsi="Arial"/>
                <w:b w:val="0"/>
                <w:sz w:val="15"/>
              </w:rPr>
              <w:t>An economic activity of the Saudi classification of economic activities (GASTAT, ISIC Rev.4): section and division; a company's main activity (docs/35 section 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243</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892</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203</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689</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614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641</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784</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92</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