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/>
      </w:pPr>
      <w:r>
        <w:rPr>
          <w:rFonts w:ascii="Arial" w:cs="Arial" w:eastAsia="Arial" w:hAnsi="Arial"/>
          <w:b/>
          <w:bCs/>
          <w:color w:val="1F3A5F"/>
          <w:sz w:val="48"/>
          <w:szCs w:val="48"/>
          <w:rtl/>
        </w:rPr>
        <w:t xml:space="preserve">DOC-F07 — كتالوج حالات الاستخدام: المنصة والهيكل المؤسسي والأشخاص (M0 وM1)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60"/>
        <w:gridCol w:w="8704"/>
      </w:tblGrid>
      <w:tr>
        <w:trPr>
          <w:cantSplit/>
          <w:tblHeader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DOC-F07 (docs/30-readiness-documents.md)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الإصدار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0.1 — مسودة للمراجعة — 2026-10-12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المالك المقترح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محلل الأعمال مع مالكي الوحدات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الأولوية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P0 قبل S0 لقسم M0، وقبل S1 لقسم M1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يغطي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FR-PLT-001…047، FR-ORG-001…031، FR-PTY-001…029، BR-PLT-001…019، BR-ORG-001…016، BR-PTY-001…019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يعتمد على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DOC-F01 (الفاعلون)، DOC-F03 (الدخول)، DOC-F04 (ربط السياق)، DOC-F05 (التهيئة)، DOC-F06 (حالات المستخدم)، DOC-B02، DOC-B04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المصادر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docs/10-detailed-analysis/10-m0-m1-platform-organization.md، docs/10-detailed-analysis/00-overview-and-cross-cutting.md، db/model/10-platform.model، db/static/030_session_context.sql، docs/adr/0002-login-and-session-bound-context.md، docs/20-database-design.md</w:t>
            </w:r>
          </w:p>
        </w:tc>
      </w:tr>
    </w:tbl>
    <w:p>
      <w:pPr>
        <w:bidi/>
        <w:spacing w:after="120" w:before="0"/>
      </w:pPr>
    </w:p>
    <w:p>
      <w:pPr>
        <w:pBdr>
          <w:bottom w:val="single" w:color="1F3A5F" w:sz="8" w:space="4"/>
        </w:pBdr>
        <w:bidi/>
        <w:spacing w:after="100" w:before="280"/>
      </w:pPr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المحتويات</w:t>
      </w:r>
    </w:p>
    <w:p>
      <w:pPr>
        <w:bidi/>
        <w:spacing w:after="50" w:before="0"/>
        <w:ind w:left="0"/>
      </w:pPr>
      <w:hyperlink w:history="1" w:anchor="_sec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1. الغرض والنطاق</w:t>
        </w:r>
      </w:hyperlink>
    </w:p>
    <w:p>
      <w:pPr>
        <w:bidi/>
        <w:spacing w:after="50" w:before="0"/>
        <w:ind w:left="0"/>
      </w:pPr>
      <w:hyperlink w:history="1" w:anchor="_sec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2. الفاعلون</w:t>
        </w:r>
      </w:hyperlink>
    </w:p>
    <w:p>
      <w:pPr>
        <w:bidi/>
        <w:spacing w:after="50" w:before="0"/>
        <w:ind w:left="0"/>
      </w:pPr>
      <w:hyperlink w:history="1" w:anchor="_sec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3. رموز الصلاحيات</w:t>
        </w:r>
      </w:hyperlink>
    </w:p>
    <w:p>
      <w:pPr>
        <w:bidi/>
        <w:spacing w:after="50" w:before="0"/>
        <w:ind w:left="0"/>
      </w:pPr>
      <w:hyperlink w:history="1" w:anchor="_sec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4. مخططات حالات الاستخدام</w:t>
        </w:r>
      </w:hyperlink>
    </w:p>
    <w:p>
      <w:pPr>
        <w:bidi/>
        <w:spacing w:after="50" w:before="0"/>
        <w:ind w:left="0"/>
      </w:pPr>
      <w:hyperlink w:history="1" w:anchor="_sec1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5. حالات استخدام M0 في S0 (مكتملة)</w:t>
        </w:r>
      </w:hyperlink>
    </w:p>
    <w:p>
      <w:pPr>
        <w:bidi/>
        <w:spacing w:after="50" w:before="0"/>
        <w:ind w:left="0"/>
      </w:pPr>
      <w:hyperlink w:history="1" w:anchor="_sec39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6. حالات M0 خارج S0 (مختصرة)</w:t>
        </w:r>
      </w:hyperlink>
    </w:p>
    <w:p>
      <w:pPr>
        <w:bidi/>
        <w:spacing w:after="50" w:before="0"/>
        <w:ind w:left="0"/>
      </w:pPr>
      <w:hyperlink w:history="1" w:anchor="_sec40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7. حالات M1: الهيكل المؤسسي (ORG)</w:t>
        </w:r>
      </w:hyperlink>
    </w:p>
    <w:p>
      <w:pPr>
        <w:bidi/>
        <w:spacing w:after="50" w:before="0"/>
        <w:ind w:left="0"/>
      </w:pPr>
      <w:hyperlink w:history="1" w:anchor="_sec4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8. حالات M1: الأشخاص والجهات (PTY)</w:t>
        </w:r>
      </w:hyperlink>
    </w:p>
    <w:p>
      <w:pPr>
        <w:bidi/>
        <w:spacing w:after="50" w:before="0"/>
        <w:ind w:left="0"/>
      </w:pPr>
      <w:hyperlink w:history="1" w:anchor="_sec4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9. ما ليس حالة استخدام</w:t>
        </w:r>
      </w:hyperlink>
    </w:p>
    <w:p>
      <w:pPr>
        <w:bidi/>
        <w:spacing w:after="50" w:before="0"/>
        <w:ind w:left="0"/>
      </w:pPr>
      <w:hyperlink w:history="1" w:anchor="_sec4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10. القرارات المطلوبة</w:t>
        </w:r>
      </w:hyperlink>
    </w:p>
    <w:p>
      <w:pPr>
        <w:bidi/>
        <w:spacing w:after="50" w:before="0"/>
        <w:ind w:left="0"/>
      </w:pPr>
      <w:hyperlink w:history="1" w:anchor="_sec4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11. تعارضات وفجوات في المصادر</w:t>
        </w:r>
      </w:hyperlink>
    </w:p>
    <w:p>
      <w:pPr>
        <w:bidi/>
        <w:spacing w:after="50" w:before="0"/>
        <w:ind w:left="0"/>
      </w:pPr>
      <w:hyperlink w:history="1" w:anchor="_sec45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12. التتبع</w:t>
        </w:r>
      </w:hyperlink>
    </w:p>
    <w:p>
      <w:r>
        <w:br w:type="page"/>
      </w:r>
    </w:p>
    <w:p>
      <w:pPr>
        <w:pBdr>
          <w:top w:val="single" w:color="E8C766" w:sz="6" w:space="6"/>
          <w:left w:val="single" w:color="E8C766" w:sz="6" w:space="6"/>
          <w:bottom w:val="single" w:color="E8C766" w:sz="6" w:space="6"/>
          <w:right w:val="single" w:color="E8C766" w:sz="6" w:space="6"/>
        </w:pBdr>
        <w:shd w:fill="FFF8E1" w:color="auto" w:val="clear"/>
        <w:bidi/>
        <w:spacing w:after="160" w:before="60" w:line="300"/>
        <w:ind w:left="140" w:right="140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تحديث التنفيذ (2026-10-12):</w:t>
      </w: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 الصلاحيات في §3 مبذورة في db/seed/102_permissions.sql مع رموز DOC-F09، 138 رمزًا (DQ-F07-1). والترقيم في UC-PLT-18 وUC-PLT-19 منفّذ في القاعدة (docs/adr/0005-document-numbering-and-reference-seeds.md):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‎cfg.usp_AllocateNumber‎</w:t>
      </w: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 داخل معاملة الكتابة بلا فجوات،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‎cfg.usp_VoidNumber‎</w:t>
      </w: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 بسبب إلزامي، وفحص النمط عند حفظ التعريف (50031)؛ وتمر الاختبارات N1 إلى N8 وفحص التزامن في CI.</w:t>
      </w:r>
    </w:p>
    <w:p>
      <w:pPr>
        <w:pStyle w:val="Heading1"/>
        <w:bidi/>
      </w:pPr>
      <w:bookmarkStart w:name="_sec1" w:id="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1. الغرض والنطاق</w:t>
      </w:r>
      <w:bookmarkEnd w:id="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يعطي هذا الكتالوج معرّفًا ثابتًا لكل حالة استخدام في M0 (المنصة) وM1 (الهيكل المؤسسي والأشخاص). تستشهد بهذه المعرّفات سيناريوهات القبول (DOC-B02) والشاشات (DOC-B07) والاختبارات.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حالات S0 مكتملة: الفاعل، الشروط المسبقة واللاحقة، المسار الرئيسي مرقّمًا، المسارات البديلة والأخطاء، المتطلبات والقواعد، الشريحة، رمز الصلاحية.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حالات S1 وS1-ب وما بعدها مختصرة في جداول.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التسلسلات التفصيلية ليست هنا: الدخول وMFA والاسترداد في DOC-F03، وربط السياق في DOC-F04، والتهيئة والتراجع في DOC-F05، وحالات المستخدم في DOC-F06.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قواعد تسري على كل حالة ولا تتكرر فيها: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ترتيب التقييم: حالة المشترك، ثم المصادقة، ثم الصلاحية، ثم نطاق الشركات، ثم قواعد السجل؛ والرفض هو الأصل. بلا صلاحية 403، وخارج النطاق 404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(FR-PLT-021، docs/10-detailed-analysis/10-m0-m1-platform-organization.md:123).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إجراء يكتب حدث تدقيق بمحتوى FR-PLT-023، والقيم المقيّدة مقنَّعة (BR-PLT-009).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وظيفة متاحة عبر REST موثّق (FR-PLT-041)، وكل جدول مملوك للمشترك معزول بـ RLS (FR-PLT-036).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وحدة معطّلة تختفي من الواجهة وتعيد 403 (FR-PLT-003).</w:t>
      </w:r>
    </w:p>
    <w:p>
      <w:pPr>
        <w:bidi/>
        <w:spacing w:after="60" w:before="0"/>
      </w:pPr>
    </w:p>
    <w:p>
      <w:pPr>
        <w:pStyle w:val="Heading1"/>
        <w:bidi/>
      </w:pPr>
      <w:bookmarkStart w:name="_sec2" w:id="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2. الفاعلون</w:t>
      </w:r>
      <w:bookmarkEnd w:id="2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القائمة المرجعية للفاعلين وحدود الثقة في DOC-F01 §3، وعمود DOC-F01 يذكر معرّف الفاعل هناك.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38"/>
        <w:gridCol w:w="946"/>
        <w:gridCol w:w="946"/>
        <w:gridCol w:w="6834"/>
      </w:tblGrid>
      <w:tr>
        <w:trPr>
          <w:cantSplit/>
          <w:tblHeader/>
        </w:trPr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الفاعل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الرمز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DOC-F01</w:t>
            </w:r>
          </w:p>
        </w:tc>
        <w:tc>
          <w:tcPr>
            <w:tcW w:type="dxa" w:w="68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الهوية والمصدر</w:t>
            </w:r>
          </w:p>
        </w:tc>
      </w:tr>
      <w:tr>
        <w:trPr>
          <w:cantSplit/>
        </w:trPr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مشغّل المنصة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PO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A-06، وA-07 في جلسة الدعم</w:t>
            </w:r>
          </w:p>
        </w:tc>
        <w:tc>
          <w:tcPr>
            <w:tcW w:type="dxa" w:w="68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في plat.PlatformOperator بدور OPERATOR_ADMIN أو OPERATOR_SUPPORT (db/model/10-platform.model:64-67)</w:t>
            </w:r>
          </w:p>
        </w:tc>
      </w:tr>
      <w:tr>
        <w:trPr>
          <w:cantSplit/>
        </w:trPr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مستخدم المشترك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A-01 إلى A-04</w:t>
            </w:r>
          </w:p>
        </w:tc>
        <w:tc>
          <w:tcPr>
            <w:tcW w:type="dxa" w:w="68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في sec.AppUser بأي دور (db/model/10-platform.model:113)</w:t>
            </w:r>
          </w:p>
        </w:tc>
      </w:tr>
      <w:tr>
        <w:trPr>
          <w:cantSplit/>
        </w:trPr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المدعو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A-01 إلى A-04 قبل التفعيل</w:t>
            </w:r>
          </w:p>
        </w:tc>
        <w:tc>
          <w:tcPr>
            <w:tcW w:type="dxa" w:w="68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sec.AppUser بحالة INVITED (db/model/10-platform.model:122)</w:t>
            </w:r>
          </w:p>
        </w:tc>
      </w:tr>
      <w:tr>
        <w:trPr>
          <w:cantSplit/>
        </w:trPr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مدير حساب المشترك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A-01</w:t>
            </w:r>
          </w:p>
        </w:tc>
        <w:tc>
          <w:tcPr>
            <w:tcW w:type="dxa" w:w="68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دور نظام (docs/10-detailed-analysis/10-m0-m1-platform-organization.md:41)</w:t>
            </w:r>
          </w:p>
        </w:tc>
      </w:tr>
      <w:tr>
        <w:trPr>
          <w:cantSplit/>
        </w:trPr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مدير الخزينة · مسؤول التسهيلات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· FO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A-02</w:t>
            </w:r>
          </w:p>
        </w:tc>
        <w:tc>
          <w:tcPr>
            <w:tcW w:type="dxa" w:w="68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دورا نظام؛ يحملان الصلاحيات المقفلة </w:t>
            </w:r>
            <w:r>
              <w:rPr>
                <w:rFonts w:ascii="Arial" w:cs="Arial" w:eastAsia="Arial" w:hAnsi="Arial"/>
                <w:color w:val="7A1F1F"/>
                <w:sz w:val="18"/>
                <w:szCs w:val="18"/>
                <w:rtl/>
              </w:rPr>
              <w:t xml:space="preserve">◆</w:t>
            </w:r>
          </w:p>
        </w:tc>
      </w:tr>
      <w:tr>
        <w:trPr>
          <w:cantSplit/>
        </w:trPr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موظف الخزينة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TE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A-03</w:t>
            </w:r>
          </w:p>
        </w:tc>
        <w:tc>
          <w:tcPr>
            <w:tcW w:type="dxa" w:w="68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دور نظام</w:t>
            </w:r>
          </w:p>
        </w:tc>
      </w:tr>
      <w:tr>
        <w:trPr>
          <w:cantSplit/>
        </w:trPr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المدقق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AU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A-04</w:t>
            </w:r>
          </w:p>
        </w:tc>
        <w:tc>
          <w:tcPr>
            <w:tcW w:type="dxa" w:w="68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دور قراءة</w:t>
            </w:r>
          </w:p>
        </w:tc>
      </w:tr>
      <w:tr>
        <w:trPr>
          <w:cantSplit/>
        </w:trPr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النظام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SYS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A-05</w:t>
            </w:r>
          </w:p>
        </w:tc>
        <w:tc>
          <w:tcPr>
            <w:tcW w:type="dxa" w:w="68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مهام خلفية بحساب الخدمة IsSystemUser (db/model/10-platform.model:123)</w:t>
            </w:r>
          </w:p>
        </w:tc>
      </w:tr>
      <w:tr>
        <w:trPr>
          <w:cantSplit/>
        </w:trPr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خدمة البريد المعاملاتي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A-09</w:t>
            </w:r>
          </w:p>
        </w:tc>
        <w:tc>
          <w:tcPr>
            <w:tcW w:type="dxa" w:w="68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فاعل ثانوي لرسالتي الدعوة وإعادة التعيين فقط (FR-PLT-013)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3" w:id="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3. رموز الصلاحيات</w:t>
      </w:r>
      <w:bookmarkEnd w:id="3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مصفوفة الأدوار في 10-m0-m1 تسمّي سبعة رموز فقط، وبقية الصفوف بلا رمز (docs/10-detailed-analysis/10-m0-m1-platform-organization.md:43-67). الرموز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أدناه مقترحة بنمط بقية الوحدات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‎&lt;وحدة&gt;.&lt;كائن&gt;.&lt;فعل&gt;‎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 وتُسجَّل تحت ModuleCode = CORE. اعتمادها قرار DQ-F07-1.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181"/>
        <w:gridCol w:w="2006"/>
        <w:gridCol w:w="1671"/>
        <w:gridCol w:w="2006"/>
      </w:tblGrid>
      <w:tr>
        <w:trPr>
          <w:cantSplit/>
          <w:tblHeader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الرمز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الأدوار الافتراضية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صف المصفوفة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OPERATOR_ADMIN / OPERATOR_SUPPORT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دور مشغّل لا صلاحية مشترك (FR-PLT-006)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PO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1، 2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‎sec.user.manage‎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‎sec.role.manage‎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‎sec.support.grant‎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 (FR-PLT-007)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‎cfg.settings.manage‎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TA؛ TM ◐ للعتبات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‎cfg.numbering.manage‎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‎cfg.alerts.manage‎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TA، TM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‎cfg.jobs.view‎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 (FR-PLT-044)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‎audit.view‎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TA، AU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‎audit.view.treasury‎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‎audit.export‎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TA، AU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‎org.company.manage‎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TA، TM؛ FO ◐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‎org.company.view‎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الجميع ضمن النطاق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‎org.catalog.manage‎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TA، TM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‎org.ownership.manage‎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FO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‎org.body.manage‎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FO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‎org.grant.create‎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FO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‎org.grant.approve‎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FO (غير المنشئ)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‎org.document.manage‎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FO؛ TA وTE ◐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‎org.document.view‎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ضمن النطاق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‎party.manage‎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FO؛ TE ◐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‎party.field.manage‎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FO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 (FR-PTY-013)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‎party.identity.write‎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FO؛ TE ◐ إضافة فقط (Q-PTY-10)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16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‎party.view‎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FO، TE؛ AU ◐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17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‎party.identity.reveal‎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7A1F1F"/>
                <w:sz w:val="18"/>
                <w:szCs w:val="18"/>
                <w:rtl/>
              </w:rPr>
              <w:t xml:space="preserve">◆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FO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18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‎party.identity.image.view‎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7A1F1F"/>
                <w:sz w:val="18"/>
                <w:szCs w:val="18"/>
                <w:rtl/>
              </w:rPr>
              <w:t xml:space="preserve">◆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FO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19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‎party.pack.export‎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7A1F1F"/>
                <w:sz w:val="18"/>
                <w:szCs w:val="18"/>
                <w:rtl/>
              </w:rPr>
              <w:t xml:space="preserve">◆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FO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20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‎party.pack.draft‎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FO، TE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21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‎party.merge‎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FO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22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‎party.kyc.manage‎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FO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23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‎party.export‎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/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‎party.export.sensitive‎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7A1F1F"/>
                <w:sz w:val="18"/>
                <w:szCs w:val="18"/>
                <w:rtl/>
              </w:rPr>
              <w:t xml:space="preserve">◆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/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FO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24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‎cfg.export.request‎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/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‎cfg.retention.approve‎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TA؛ TM وFO ◐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25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4" w:id="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4. مخططات حالات الاستخدام</w:t>
      </w:r>
      <w:bookmarkEnd w:id="4"/>
    </w:p>
    <w:p>
      <w:pPr>
        <w:pStyle w:val="Heading2"/>
        <w:bidi/>
      </w:pPr>
      <w:bookmarkStart w:name="_sec5" w:id="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4.1 المشغّل</w:t>
      </w:r>
      <w:bookmarkEnd w:id="5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4724400" cy="8191500"/>
            <wp:effectExtent t="0" r="0" b="0" l="0"/>
            <wp:docPr id="1" name="diagram-1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24400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bidi/>
      </w:pPr>
      <w:bookmarkStart w:name="_sec6" w:id="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4.2 مستخدم المشترك قبل الدخول وبعده</w:t>
      </w:r>
      <w:bookmarkEnd w:id="6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5057775"/>
            <wp:effectExtent t="0" r="0" b="0" l="0"/>
            <wp:docPr id="1" name="diagram-2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5057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bidi/>
      </w:pPr>
      <w:bookmarkStart w:name="_sec7" w:id="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4.3 مدير حساب المشترك</w:t>
      </w:r>
      <w:bookmarkEnd w:id="7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5276850" cy="8191500"/>
            <wp:effectExtent t="0" r="0" b="0" l="0"/>
            <wp:docPr id="1" name="diagram-3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6850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bidi/>
      </w:pPr>
      <w:bookmarkStart w:name="_sec8" w:id="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4.4 الخزينة: الهيكل المؤسسي (M1 ORG)</w:t>
      </w:r>
      <w:bookmarkEnd w:id="8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3781425" cy="8191500"/>
            <wp:effectExtent t="0" r="0" b="0" l="0"/>
            <wp:docPr id="1" name="diagram-4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81425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bidi/>
      </w:pPr>
      <w:bookmarkStart w:name="_sec9" w:id="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4.5 الخزينة: الأشخاص والجهات (M1 PTY)</w:t>
      </w:r>
      <w:bookmarkEnd w:id="9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5905500" cy="8191500"/>
            <wp:effectExtent t="0" r="0" b="0" l="0"/>
            <wp:docPr id="1" name="diagram-5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bidi/>
      </w:pPr>
      <w:bookmarkStart w:name="_sec10" w:id="1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4.6 المدقق والنظام</w:t>
      </w:r>
      <w:bookmarkEnd w:id="10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5514975" cy="8191500"/>
            <wp:effectExtent t="0" r="0" b="0" l="0"/>
            <wp:docPr id="1" name="diagram-6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14975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  <w:bidi/>
      </w:pPr>
      <w:bookmarkStart w:name="_sec11" w:id="1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5. حالات استخدام M0 في S0 (مكتملة)</w:t>
      </w:r>
      <w:bookmarkEnd w:id="11"/>
    </w:p>
    <w:p>
      <w:pPr>
        <w:pStyle w:val="Heading2"/>
        <w:bidi/>
      </w:pPr>
      <w:bookmarkStart w:name="_sec12" w:id="1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UC-PLT-01 — دخول المشغّل إلى لوحة المشغّل</w:t>
      </w:r>
      <w:bookmarkEnd w:id="12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مشغّل المنصة · S0 · دور OPERATOR_ADMIN أو OPERATOR_SUPPORT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حساب plat.PlatformOperator بحالة ACTIVE وMFA مفعّل (قيد db/model/10-platform.model:82).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جلسة مشغّل مؤكَّدة MFA؛ حدث تدقيق بـ ActorType = OPERATOR وTenantId فارغ (db/model/10-platform.model:307).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FR-PLT-006، FR-PLT-010، FR-PLT-011، FR-PLT-012، BR-PLT-005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المشغّل عنوان لوحة المشغّل، وهو عنوان منفصل عن عناوين المشتركين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(DQ-F01-2، DOC-B07 §4.1).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البريد وكلمة المرور.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يتحقق النظام من كلمة المرور بتجزئة Argon2id (ADR 0002).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يطلب النظام رمز TOTP ويتحقق منه.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تُنشأ الجلسة وتفتح قائمة المشتركين (UC-PLT-05).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أي فشل يعيد رسالة واحدة. سياسة كلمة المرور والقفل والجلسة للمشغّل في DOC-S04 §12؛ والجدول فيه FailedAttempts وLockedUntil فقط (db/model/10-platform.model:76-77).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حساب مشغّل على عنوان مشترك، أو مستخدم مشترك على عنوان المشغّل: يُرفض (FR-PLT-006).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ملاحظة: لا يوجد إجراء دخول للمشغّل في القاعدة؛ إجراءات 030 تخص sec.AppUser فقط (db/static/030_session_context.sql:3-17). القرار في DQ-S04-10 وDQ-B04-7.</w:t>
      </w:r>
    </w:p>
    <w:p>
      <w:pPr>
        <w:bidi/>
        <w:spacing w:after="60" w:before="0"/>
      </w:pPr>
    </w:p>
    <w:p>
      <w:pPr>
        <w:pStyle w:val="Heading2"/>
        <w:bidi/>
      </w:pPr>
      <w:bookmarkStart w:name="_sec13" w:id="1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UC-PLT-02 — إنشاء مشترك وتهيئته</w:t>
      </w:r>
      <w:bookmarkEnd w:id="13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مشغّل المنصة · S0 · OPERATOR_ADMIN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البذور العالمية منشورة (DOC-B05)، وباقة فعّالة في plat.Plan.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مشترك بحالة TRIAL ونهاية تجربة بعد 30 يومًا، وعنوان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‎{code}.bankfas.com‎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وحساب خدمة، ومدير حساب أول بحالة INVITED، وبذور مسجّلة في cfg.SeedRun.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FR-PLT-001، FR-PLT-003، FR-PLT-008، FR-PLT-013، FR-PLT-046، BR-PLT-002، BR-PLT-003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المشغّل «إنشاء مشترك» ويُدخل الرمز والاسمين والباقة والدولة الأم واللغة الافتراضية (en افتراضيًا، db/model/10-platform.model:39) والتوقيت.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يتحقق النظام من الرمز: لاتيني وأرقام وشرطة، فريد، وغير محجوز في plat.ReservedSubdomain.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يراجع المشغّل الوحدات المقترحة من الباقة ويعدّلها (UC-PLT-04).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بريد مدير الحساب الأول.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يعتمد المشغّل النموذج بعد إعادة مصادقة MFA (DQ-F05-2)، فينفّذ النظام التهيئة: صف المشترك، حساب الخدمة، المدير الأول، ثم حزم البذور لكل وحدة مفعّلة (FR-PLT-008). تقسيم المعاملات والاستئناف في DOC-F05 (DQ-F05-1).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يُرسل النظام الدعوة (48 ساعة) بالبريد المعاملاتي.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يُسجَّل الحدث في التدقيق وطابور الإرسال.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رمز مكرر أو محجوز: يُرفض بذكر السبب.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فشل أي خطوة: لا مشترك نصف مهيّأ يُتاح للدخول، وإعادة التشغيل تستأنف ولا تكرر البذر. التفصيل في DOC-F05.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6أ. فشل الإرسال: SendStatus = FAILED ويُسجَّل في التدقيق (db/model/10-platform.model:252)، ويعيد المشغّل الإرسال من تفاصيل المشترك.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ملاحظة: إجراء التهيئة خطة لم تُنفَّذ (docs/20-database-design.md:470-475)، وtp_platform لا يصل إلى جداول المشترك (docs/20-database-design.md:24)، فيلزم إجراء منصة مُراجَع: O-12 (20-database-design).</w:t>
      </w:r>
    </w:p>
    <w:p>
      <w:pPr>
        <w:bidi/>
        <w:spacing w:after="60" w:before="0"/>
      </w:pPr>
    </w:p>
    <w:p>
      <w:pPr>
        <w:pStyle w:val="Heading2"/>
        <w:bidi/>
      </w:pPr>
      <w:bookmarkStart w:name="_sec14" w:id="1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UC-PLT-03 — تغيير حالة المشترك</w:t>
      </w:r>
      <w:bookmarkEnd w:id="14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مشغّل المنصة · S0 · OPERATOR_ADMIN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المشترك موجود وليس ARCHIVED_READ_ONLY.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الحالة الجديدة مسجّلة بالسبب والفاعل؛ حدث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‎tenant.status_changed‎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FR-PLT-002، FR-PLT-005، BR-PLT-002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المشغّل المشترك والإجراء: تفعيل، تمديد التجربة، تعليق، إعادة تفعيل، إغلاق.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يكتب السبب (إلزامي للتعليق، db/model/10-platform.model:53).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يتحقق النظام من أن الانتقال مسموح بمخطط Tenant (docs/10-detailed-analysis/10-m0-m1-platform-organization.md:454-465).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الحالة بإجراء منصة واحد (DQ-F05-5)، ويسجّل ClosedAt عند الإغلاق.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يسحب القادح ربط الاتصالات لكل حالة غير TRIAL وACTIVE (db/static/030_session_context.sql:285).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يُسجَّل التدقيق والحدث.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انتقال غير مسموح (مثل Closed إلى Active): يُرفض.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من يدخل مشتركًا SUSPENDED قرار مفتوح: O-18 (erd_open_items). التفصيل في DOC-F04.</w:t>
      </w:r>
    </w:p>
    <w:p>
      <w:pPr>
        <w:bidi/>
        <w:spacing w:after="60" w:before="0"/>
      </w:pPr>
    </w:p>
    <w:p>
      <w:pPr>
        <w:pStyle w:val="Heading2"/>
        <w:bidi/>
      </w:pPr>
      <w:bookmarkStart w:name="_sec15" w:id="1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UC-PLT-04 — تفعيل الوحدات وتعطيلها لمشترك</w:t>
      </w:r>
      <w:bookmarkEnd w:id="15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مشغّل المنصة · S0 · OPERATOR_ADMIN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المشترك ليس CLOSED ولا ARCHIVED_READ_ONLY.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 plat.TenantModule محدَّث بـ EnabledBy؛ قائمة المشترك تعكسه.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FR-PLT-003، FR-PLT-008، BR-PLT-003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المشغّل تبويب الوحدات في تفاصيل المشترك.</w:t>
      </w:r>
    </w:p>
    <w:p>
      <w:pPr>
        <w:pStyle w:val="ListParagraph"/>
        <w:numPr>
          <w:ilvl w:val="0"/>
          <w:numId w:val="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يفعّل وحدة أو يعطّلها.</w:t>
      </w:r>
    </w:p>
    <w:p>
      <w:pPr>
        <w:pStyle w:val="ListParagraph"/>
        <w:numPr>
          <w:ilvl w:val="0"/>
          <w:numId w:val="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يتحقق النظام من الاعتماديات (docs/10-detailed-analysis/00-overview-and-cross-cutting.md:232-246).</w:t>
      </w:r>
    </w:p>
    <w:p>
      <w:pPr>
        <w:pStyle w:val="ListParagraph"/>
        <w:numPr>
          <w:ilvl w:val="0"/>
          <w:numId w:val="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الصف، وعند التفعيل يشغّل بذرة الوحدة.</w:t>
      </w:r>
    </w:p>
    <w:p>
      <w:pPr>
        <w:pStyle w:val="ListParagraph"/>
        <w:numPr>
          <w:ilvl w:val="0"/>
          <w:numId w:val="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يقرأ تطبيق المشترك الوحدات من العرض plat.v_TenantModule (db/static/025_tenant_views.sql:22) فتظهر الوحدة أو تختفي.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تعطيل CORE: يُرفض (قيد db/model/10-platform.model:96).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3ب. تفعيل وحدة اعتمادياتها معطّلة، أو تعطيل وحدة تعتمد عليها وحدة مفعّلة: يُرفض بقائمة الوحدات المعنية.</w:t>
      </w:r>
    </w:p>
    <w:p>
      <w:pPr>
        <w:bidi/>
        <w:spacing w:after="60" w:before="0"/>
      </w:pPr>
    </w:p>
    <w:p>
      <w:pPr>
        <w:pStyle w:val="Heading2"/>
        <w:bidi/>
      </w:pPr>
      <w:bookmarkStart w:name="_sec16" w:id="1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UC-PLT-05 — متابعة المشتركين والاستخدام</w:t>
      </w:r>
      <w:bookmarkEnd w:id="16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مشغّل المنصة · S0 · OPERATOR_ADMIN أو OPERATOR_SUPPORT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جلسة مشغّل (UC-PLT-01).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تغيير؛ القراءة لا تلمس بيانات أعمال المشترك.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FR-PLT-004، FR-PLT-005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يعرض النظام قائمة المشتركين: الرمز، الاسم، الباقة، الحالة، عدّادات المستخدمين والشركات والتخزين، نهاية التجربة.</w:t>
      </w:r>
    </w:p>
    <w:p>
      <w:pPr>
        <w:pStyle w:val="ListParagraph"/>
        <w:numPr>
          <w:ilvl w:val="0"/>
          <w:numId w:val="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يصفّي المشغّل بالحالة أو الباقة.</w:t>
      </w:r>
    </w:p>
    <w:p>
      <w:pPr>
        <w:pStyle w:val="ListParagraph"/>
        <w:numPr>
          <w:ilvl w:val="0"/>
          <w:numId w:val="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تفاصيل مشترك: الوحدات، المدير الأول، إصدارات البذور، جلسات الدعم.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بلوغ 90% من حد ناعم: علامة تنبيه للمشغّل ولمدير الحساب، ولا منع (FR-PLT-004).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ملاحظة: العدّادات تحتاج قراءة جداول المشترك، وtp_platform لا يصل إليها (docs/20-database-design.md:24). الاقتراح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إجراء تجميع مُراجَع يعيد أعدادًا فقط، ضمن O-12 (20-database-design).</w:t>
      </w:r>
    </w:p>
    <w:p>
      <w:pPr>
        <w:bidi/>
        <w:spacing w:after="60" w:before="0"/>
      </w:pPr>
    </w:p>
    <w:p>
      <w:pPr>
        <w:pStyle w:val="Heading2"/>
        <w:bidi/>
      </w:pPr>
      <w:bookmarkStart w:name="_sec17" w:id="1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UC-PLT-06 — إدارة المراجع العالمية</w:t>
      </w:r>
      <w:bookmarkEnd w:id="17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مشغّل المنصة · S0 · OPERATOR_ADMIN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جلسة مشغّل.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صفوف عالمية محدَّثة بحدث تدقيق بـ TenantId فارغ.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FR-PLT-017 (عرض الكتالوج)، FR-PLT-035 (بيانات العطل)، BR-PLT-001، BR-PLT-014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المشغّل القائمة: الباقات، الدول وعطلة الأسبوع، العملات، العطل الرسمية، كتالوج الصلاحيات.</w:t>
      </w:r>
    </w:p>
    <w:p>
      <w:pPr>
        <w:pStyle w:val="ListParagraph"/>
        <w:numPr>
          <w:ilvl w:val="0"/>
          <w:numId w:val="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يضيف صفًا أو يعدّله.</w:t>
      </w:r>
    </w:p>
    <w:p>
      <w:pPr>
        <w:pStyle w:val="ListParagraph"/>
        <w:numPr>
          <w:ilvl w:val="0"/>
          <w:numId w:val="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 عبر tp_platform وحده (docs/20-database-design.md:72).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كتالوج الصلاحيات للعرض فقط؛ يتحدّث مع الإصدارات (FR-PLT-017).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2ب. عطلة المنصة (TenantId فارغ) للقراءة فقط عند المشتركين (BR-PLT-001).</w:t>
      </w:r>
    </w:p>
    <w:p>
      <w:pPr>
        <w:bidi/>
        <w:spacing w:after="60" w:before="0"/>
      </w:pPr>
    </w:p>
    <w:p>
      <w:pPr>
        <w:pStyle w:val="Heading2"/>
        <w:bidi/>
      </w:pPr>
      <w:bookmarkStart w:name="_sec18" w:id="1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UC-PLT-07 — منح وصول الدعم المؤقت واستعماله</w:t>
      </w:r>
      <w:bookmarkEnd w:id="18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مدير حساب المشترك ثم المشغّل · S0 (Should)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‎sec.support.grant‎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للمنح، وOPERATOR_SUPPORT للاستعمال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وصول الدعم معطّل افتراضيًا (Q-PLT-06).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 plat.SupportAccessGrant بمدة من ساعة إلى 72 ساعة (الافتراضي 4)؛ كل صفحة يراها المشغّل مدقَّقة.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FR-PLT-007، BR-PLT-017، BR-PLT-009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TA شاشة الأمان ويختار «منح وصول الدعم» والمشغّل والمدة والسبب.</w:t>
      </w:r>
    </w:p>
    <w:p>
      <w:pPr>
        <w:pStyle w:val="ListParagraph"/>
        <w:numPr>
          <w:ilvl w:val="0"/>
          <w:numId w:val="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 المنحة ويُشعر مديري الحساب (SEC.SUPPORT_ACCESS).</w:t>
      </w:r>
    </w:p>
    <w:p>
      <w:pPr>
        <w:pStyle w:val="ListParagraph"/>
        <w:numPr>
          <w:ilvl w:val="0"/>
          <w:numId w:val="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المشغّل المشترك من لوحة المشغّل بجلسة دعم بدور محدود بلا صلاحيات حساسة.</w:t>
      </w:r>
    </w:p>
    <w:p>
      <w:pPr>
        <w:pStyle w:val="ListParagraph"/>
        <w:numPr>
          <w:ilvl w:val="0"/>
          <w:numId w:val="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تُسجَّل كل صفحة بشدة عالية، ويرى TA سجل الجلسة.</w:t>
      </w:r>
    </w:p>
    <w:p>
      <w:pPr>
        <w:pStyle w:val="ListParagraph"/>
        <w:numPr>
          <w:ilvl w:val="0"/>
          <w:numId w:val="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ينتهي الوصول تلقائيًا عند EndsAt أو بسحب TA.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محاولة كشف رقم هوية من جلسة دعم: 403 وحدث مرفوض (FR-PLT-007).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3ب. منحة منتهية أو مسحوبة: يُرفض الدخول.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ملاحظة: مسار ربط جلسة الدعم بالمشترك غير موجود في 030؛ O-12 (20-database-design) وDOC-F04.</w:t>
      </w:r>
    </w:p>
    <w:p>
      <w:pPr>
        <w:bidi/>
        <w:spacing w:after="60" w:before="0"/>
      </w:pPr>
    </w:p>
    <w:p>
      <w:pPr>
        <w:pStyle w:val="Heading2"/>
        <w:bidi/>
      </w:pPr>
      <w:bookmarkStart w:name="_sec19" w:id="1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UC-PLT-08 — قبول الدعوة وتسجيل MFA</w:t>
      </w:r>
      <w:bookmarkEnd w:id="19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المدعو · S0 · رابط الدعوة (بلا صلاحية)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sec.AppUser بحالة INVITED، ورمز sec.UserToken بغرض INVITATION غير مستعمل ولم تنقضِ 48 ساعة (db/model/10-platform.model:244-246).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الحساب ACTIVE بكلمة مرور وسر TOTP و10 رموز استرداد مجزّأة؛ الرمز مستعمل.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FR-PLT-013، FR-PLT-010، FR-PLT-011، BR-PLT-004، BR-PLT-006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المدعو الرابط على عنوان مشتركه.</w:t>
      </w:r>
    </w:p>
    <w:p>
      <w:pPr>
        <w:pStyle w:val="ListParagraph"/>
        <w:numPr>
          <w:ilvl w:val="0"/>
          <w:numId w:val="1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يتحقق النظام من بصمة الرمز ومدته وعدم استعماله.</w:t>
      </w:r>
    </w:p>
    <w:p>
      <w:pPr>
        <w:pStyle w:val="ListParagraph"/>
        <w:numPr>
          <w:ilvl w:val="0"/>
          <w:numId w:val="1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يضع المدعو كلمة مرور (12 خانة فأكثر، غير شائعة ولا مسرّبة، BR-PLT-004).</w:t>
      </w:r>
    </w:p>
    <w:p>
      <w:pPr>
        <w:pStyle w:val="ListParagraph"/>
        <w:numPr>
          <w:ilvl w:val="0"/>
          <w:numId w:val="1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يحسب النظام تجزئة Argon2id بصيغة PHC (ADR 0002).</w:t>
      </w:r>
    </w:p>
    <w:p>
      <w:pPr>
        <w:pStyle w:val="ListParagraph"/>
        <w:numPr>
          <w:ilvl w:val="0"/>
          <w:numId w:val="1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يمسح المدعو رمز QR بتطبيق المصادقة ويُدخل رمزًا صحيحًا.</w:t>
      </w:r>
    </w:p>
    <w:p>
      <w:pPr>
        <w:pStyle w:val="ListParagraph"/>
        <w:numPr>
          <w:ilvl w:val="0"/>
          <w:numId w:val="1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يعرض النظام رموز الاسترداد العشرة مرة واحدة، ويقرّ المدعو بحفظها.</w:t>
      </w:r>
    </w:p>
    <w:p>
      <w:pPr>
        <w:pStyle w:val="ListParagraph"/>
        <w:numPr>
          <w:ilvl w:val="0"/>
          <w:numId w:val="1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يصير الحساب ACTIVE ويُعلَّم الرمز مستعملًا، ثم ينتقل إلى الدخول (UC-PLT-09).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رمز منتهٍ أو مستعمل: رسالة عامة وطلب إعادة الدعوة من TA.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كلمة ضعيفة: تُرفض بالسبب.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رمز TOTP خاطئ: إعادة المحاولة ولا تفعيل.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ملاحظة: usp_StartSession يرفض المستخدم INVITED (db/static/030_session_context.sql:82)، ولا إجراء في 030 يضع أول كلمة مرور. المقترح في DQ-F03-5، والمخاطرة في O-24 (erd_open_items).</w:t>
      </w:r>
    </w:p>
    <w:p>
      <w:pPr>
        <w:bidi/>
        <w:spacing w:after="60" w:before="0"/>
      </w:pPr>
    </w:p>
    <w:p>
      <w:pPr>
        <w:pStyle w:val="Heading2"/>
        <w:bidi/>
      </w:pPr>
      <w:bookmarkStart w:name="_sec20" w:id="2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UC-PLT-09 — الدخول بكلمة المرور وMFA</w:t>
      </w:r>
      <w:bookmarkEnd w:id="20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مستخدم المشترك · S0 · لا شيء (قبل المصادقة)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حساب ACTIVE (أو LOCKED انقضت مدته) وMFA مسجّل؛ المشترك بحالة يقبلها الإجراء (db/static/030_session_context.sql:68).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جلسة بمهلة خمول 30 دقيقة ومطلقة 12 ساعة، مؤكَّدة MFA؛ صف LOGIN_SUCCESS.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FR-PLT-010، FR-PLT-011، FR-PLT-012، FR-PLT-014، FR-PLT-046، BR-PLT-004، BR-PLT-005، BR-PLT-006؛ AC-PLT-2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‎{tenant}.bankfas.com‎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فيحدد النظام المشترك من العنوان الفرعي.</w:t>
      </w:r>
    </w:p>
    <w:p>
      <w:pPr>
        <w:pStyle w:val="ListParagraph"/>
        <w:numPr>
          <w:ilvl w:val="0"/>
          <w:numId w:val="1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البريد وكلمة المرور.</w:t>
      </w:r>
    </w:p>
    <w:p>
      <w:pPr>
        <w:pStyle w:val="ListParagraph"/>
        <w:numPr>
          <w:ilvl w:val="0"/>
          <w:numId w:val="1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يطلب التطبيق معاملات التجزئة (sec.usp_GetPasswordParams) ويحسب Argon2id.</w:t>
      </w:r>
    </w:p>
    <w:p>
      <w:pPr>
        <w:pStyle w:val="ListParagraph"/>
        <w:numPr>
          <w:ilvl w:val="0"/>
          <w:numId w:val="1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يستدعي sec.usp_StartSession برمز جلسة عشوائي لا يقل عن 32 بايت، فتُنشأ الجلسة.</w:t>
      </w:r>
    </w:p>
    <w:p>
      <w:pPr>
        <w:pStyle w:val="ListParagraph"/>
        <w:numPr>
          <w:ilvl w:val="0"/>
          <w:numId w:val="1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يطلب النظام رمز TOTP، ويتحقق منه التطبيق ويسجّله بـ sec.usp_ConfirmMfa.</w:t>
      </w:r>
    </w:p>
    <w:p>
      <w:pPr>
        <w:pStyle w:val="ListParagraph"/>
        <w:numPr>
          <w:ilvl w:val="0"/>
          <w:numId w:val="1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يُربط كل طلب لاحق بـ sec.usp_SetSessionContext (DOC-F04).</w:t>
      </w:r>
    </w:p>
    <w:p>
      <w:pPr>
        <w:pStyle w:val="ListParagraph"/>
        <w:numPr>
          <w:ilvl w:val="0"/>
          <w:numId w:val="1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تفتح الصفحة الرئيسية.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عنوان فرعي غير معروف: صفحة محايدة لا تكشف وجود المشترك (FR-PLT-046).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أي فشل (بريد غير موجود، كلمة خاطئة، حساب مقفل، INVITED أو DISABLED): الخطأ 50005 ورسالة واحدة (db/static/030_session_context.sql:140).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4ب. الفشل الخامس خلال 15 دقيقة يقفل 15 دقيقة؛ القفل الثالث خلال 24 ساعة يحتاج فك المدير ويُشعَر TA (BR-PLT-005).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رمز خاطئ: يُسجَّل FAILED_MFA (db/static/030_session_context.sql:162) وتبقى الجلسة غير مؤكَّدة فلا تُربط (db/static/030_session_context.sql:198).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5ب. رمز استرداد بدل TOTP: يُستهلك مرة واحدة ويُبلَّغ المستخدم بالعدد الباقي (BR-PLT-006). مكان الاستهلاك في DQ-F03-3.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1ب. مشترك SUSPENDED أو CLOSED: السلوك المطلوب في BR-PLT-002 يخالف الإجراء الحالي؛ انظر §11 وDOC-F04.</w:t>
      </w:r>
    </w:p>
    <w:p>
      <w:pPr>
        <w:bidi/>
        <w:spacing w:after="60" w:before="0"/>
      </w:pPr>
    </w:p>
    <w:p>
      <w:pPr>
        <w:pStyle w:val="Heading2"/>
        <w:bidi/>
      </w:pPr>
      <w:bookmarkStart w:name="_sec21" w:id="2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UC-PLT-10 — إعادة تعيين كلمة المرور المنسية</w:t>
      </w:r>
      <w:bookmarkEnd w:id="21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مستخدم المشترك · S0 · لا شيء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شيء.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كلمة مرور جديدة؛ الجلسات المفتوحة منتهية بسبب PASSWORD_CHANGED (db/model/10-platform.model:229).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FR-PLT-013، BR-PLT-004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المستخدم «نسيت كلمة المرور» ويُدخل بريده.</w:t>
      </w:r>
    </w:p>
    <w:p>
      <w:pPr>
        <w:pStyle w:val="ListParagraph"/>
        <w:numPr>
          <w:ilvl w:val="0"/>
          <w:numId w:val="1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يعرض النظام الرسالة نفسها سواء كان البريد مسجّلًا أم لا.</w:t>
      </w:r>
    </w:p>
    <w:p>
      <w:pPr>
        <w:pStyle w:val="ListParagraph"/>
        <w:numPr>
          <w:ilvl w:val="0"/>
          <w:numId w:val="1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إن كان الحساب ACTIVE أو LOCKED يُنشئ رمز PASSWORD_RESET لمدة 30 دقيقة ويرسله.</w:t>
      </w:r>
    </w:p>
    <w:p>
      <w:pPr>
        <w:pStyle w:val="ListParagraph"/>
        <w:numPr>
          <w:ilvl w:val="0"/>
          <w:numId w:val="1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الرابط ويضع كلمة جديدة لا تطابق آخر خمس.</w:t>
      </w:r>
    </w:p>
    <w:p>
      <w:pPr>
        <w:pStyle w:val="ListParagraph"/>
        <w:numPr>
          <w:ilvl w:val="0"/>
          <w:numId w:val="1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 التجزئة وينهي الجلسات ويعلّم الرمز مستعملًا.</w:t>
      </w:r>
    </w:p>
    <w:p>
      <w:pPr>
        <w:pStyle w:val="ListParagraph"/>
        <w:numPr>
          <w:ilvl w:val="0"/>
          <w:numId w:val="1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يدخل المستخدم من جديد بـ MFA (UC-PLT-09).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رابط منتهٍ أو مستعمل: يُرفض ويُطلب رابط جديد.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فشل الإرسال: SendStatus = FAILED وحدث تدقيق.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إعادة التعيين تفك القفل المؤقت فقط، ويبقى قفل «فك المدير» (RequiresAdminUnlock) حتى يفكه TA (DQ-S04-12). الإجراءات في DQ-F03-7.</w:t>
      </w:r>
    </w:p>
    <w:p>
      <w:pPr>
        <w:bidi/>
        <w:spacing w:after="60" w:before="0"/>
      </w:pPr>
    </w:p>
    <w:p>
      <w:pPr>
        <w:pStyle w:val="Heading2"/>
        <w:bidi/>
      </w:pPr>
      <w:bookmarkStart w:name="_sec22" w:id="2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UC-PLT-11 — الخروج وانتهاء الجلسة</w:t>
      </w:r>
      <w:bookmarkEnd w:id="22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مستخدم المشترك، والنظام · S0 · مستخدم مصادق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جلسة مفتوحة.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EndedAt وEndReason مسجّلان؛ الربط مسحوب بالقادح (db/static/030_session_context.sql:269).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FR-PLT-014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يضغط المستخدم «خروج».</w:t>
      </w:r>
    </w:p>
    <w:p>
      <w:pPr>
        <w:pStyle w:val="ListParagraph"/>
        <w:numPr>
          <w:ilvl w:val="0"/>
          <w:numId w:val="1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ينهي النظام الجلسة بسبب LOGOUT ويحذف رمزها من المتصفح.</w:t>
      </w:r>
    </w:p>
    <w:p>
      <w:pPr>
        <w:pStyle w:val="ListParagraph"/>
        <w:numPr>
          <w:ilvl w:val="0"/>
          <w:numId w:val="1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يعود المستخدم إلى صفحة الدخول.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خمول 30 دقيقة أو بلوغ 12 ساعة: يرفض الربط بالخطأ 50003، فيعيد التطبيق المستخدم إلى الدخول ويسجّل IDLE_TIMEOUT أو ABSOLUTE_TIMEOUT.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1ب. تصدير حساس: تُطلب إعادة المصادقة قبل التنفيذ (FR-PLT-014)؛ الطريقة والحداثة في DOC-S04 §11 (DQ-S04-15).</w:t>
      </w:r>
    </w:p>
    <w:p>
      <w:pPr>
        <w:bidi/>
        <w:spacing w:after="60" w:before="0"/>
      </w:pPr>
    </w:p>
    <w:p>
      <w:pPr>
        <w:pStyle w:val="Heading2"/>
        <w:bidi/>
      </w:pPr>
      <w:bookmarkStart w:name="_sec23" w:id="2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UC-PLT-12 — دعوة مستخدم</w:t>
      </w:r>
      <w:bookmarkEnd w:id="23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TA · S0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‎sec.user.manage‎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البريد غير مستعمل في المشترك (فريد (TenantId, Email)).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مستخدم INVITED ودعوة مرسلة؛ حدث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‎user.created‎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FR-PLT-016، FR-PLT-013، FR-PLT-004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TA «دعوة مستخدم».</w:t>
      </w:r>
    </w:p>
    <w:p>
      <w:pPr>
        <w:pStyle w:val="ListParagraph"/>
        <w:numPr>
          <w:ilvl w:val="0"/>
          <w:numId w:val="1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البريد والاسم المعروض والإدارة والمدير المباشر.</w:t>
      </w:r>
    </w:p>
    <w:p>
      <w:pPr>
        <w:pStyle w:val="ListParagraph"/>
        <w:numPr>
          <w:ilvl w:val="0"/>
          <w:numId w:val="1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الأدوار (UC-PLT-14) ونمط نطاق الشركات (UC-PLT-16).</w:t>
      </w:r>
    </w:p>
    <w:p>
      <w:pPr>
        <w:pStyle w:val="ListParagraph"/>
        <w:numPr>
          <w:ilvl w:val="0"/>
          <w:numId w:val="1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يتحقق النظام من تفرّد البريد.</w:t>
      </w:r>
    </w:p>
    <w:p>
      <w:pPr>
        <w:pStyle w:val="ListParagraph"/>
        <w:numPr>
          <w:ilvl w:val="0"/>
          <w:numId w:val="1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يُنشئ المستخدم ورمز INVITATION لمدة 48 ساعة ويرسل الرسالة.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بريد مكرر: يُرفض.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تجاوز 90% من حد المستخدمين: تنبيه ولا منع (FR-PLT-004).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5ب. إعادة إرسال: يُلغى الرمز السابق (RevokedAt) ويُنشأ رمز جديد.</w:t>
      </w:r>
    </w:p>
    <w:p>
      <w:pPr>
        <w:bidi/>
        <w:spacing w:after="60" w:before="0"/>
      </w:pPr>
    </w:p>
    <w:p>
      <w:pPr>
        <w:pStyle w:val="Heading2"/>
        <w:bidi/>
      </w:pPr>
      <w:bookmarkStart w:name="_sec24" w:id="2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UC-PLT-13 — إدارة حساب مستخدم</w:t>
      </w:r>
      <w:bookmarkEnd w:id="24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TA · S0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‎sec.user.manage‎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المستخدم في المشترك نفسه.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حالة الحساب وجلساته وفق الإجراء؛ مخطط الحالات في DOC-F06.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FR-PLT-016، FR-PLT-012، FR-PLT-014، BR-PLT-006، BR-PLT-008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TA بطاقة المستخدم.</w:t>
      </w:r>
    </w:p>
    <w:p>
      <w:pPr>
        <w:pStyle w:val="ListParagraph"/>
        <w:numPr>
          <w:ilvl w:val="0"/>
          <w:numId w:val="1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إجراءً: تعديل البيانات، تعطيل، إعادة تفعيل، أرشفة، فك قفل، إعادة تعيين MFA، إنهاء الجلسات.</w:t>
      </w:r>
    </w:p>
    <w:p>
      <w:pPr>
        <w:pStyle w:val="ListParagraph"/>
        <w:numPr>
          <w:ilvl w:val="0"/>
          <w:numId w:val="1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يؤكد ويكتب السبب للتعطيل وإعادة MFA، ويعيد المصادقة قبل تصفير MFA وفك القفل الثالث (DOC-S04 §11).</w:t>
      </w:r>
    </w:p>
    <w:p>
      <w:pPr>
        <w:pStyle w:val="ListParagraph"/>
        <w:numPr>
          <w:ilvl w:val="0"/>
          <w:numId w:val="1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يطبق النظام الأثر: التعطيل ينهي الجلسات (USER_DISABLED) ويسحب الربط (db/static/030_session_context.sql:245)؛ إعادة MFA تصفّر MfaEnabled وتحذف رموز الاسترداد وتنهي الجلسات (MFA_RESET)؛ إنهاء الجلسات يسري فورًا (TERMINATED_BY_ADMIN).</w:t>
      </w:r>
    </w:p>
    <w:p>
      <w:pPr>
        <w:pStyle w:val="ListParagraph"/>
        <w:numPr>
          <w:ilvl w:val="0"/>
          <w:numId w:val="1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يُسجَّل التدقيق، وإعادة MFA بشدة عالية مع إشعار المستخدم ومديري الحساب.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تعطيل آخر مدير حساب فعّال أو أرشفته: يُرفض (FR-PLT-016).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4ب. الأرشفة نهائية ولا رجوع منها.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ملاحظة: بعد إعادة MFA يقبل الربط اليوم جلسة بلا MFA لأن MfaEnabled = 0 (db/static/030_session_context.sql:198). المقترح في DQ-F03-4 وDQ-F03-8.</w:t>
      </w:r>
    </w:p>
    <w:p>
      <w:pPr>
        <w:bidi/>
        <w:spacing w:after="60" w:before="0"/>
      </w:pPr>
    </w:p>
    <w:p>
      <w:pPr>
        <w:pStyle w:val="Heading2"/>
        <w:bidi/>
      </w:pPr>
      <w:bookmarkStart w:name="_sec25" w:id="2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UC-PLT-14 — إسناد الأدوار لمستخدم</w:t>
      </w:r>
      <w:bookmarkEnd w:id="25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TA · S0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‎sec.user.manage‎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المستخدم غير مؤرشف.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صفوف sec.UserRole بـ AssignedBy/At؛ الصلاحية الفعلية = اتحاد الأدوار ثم تقاطع مع النطاق (BR-PLT-007).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FR-PLT-018، FR-PLT-019، BR-PLT-007، BR-PLT-008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TA تبويب الأدوار في بطاقة المستخدم.</w:t>
      </w:r>
    </w:p>
    <w:p>
      <w:pPr>
        <w:pStyle w:val="ListParagraph"/>
        <w:numPr>
          <w:ilvl w:val="0"/>
          <w:numId w:val="1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يضيف دورًا أو يزيله.</w:t>
      </w:r>
    </w:p>
    <w:p>
      <w:pPr>
        <w:pStyle w:val="ListParagraph"/>
        <w:numPr>
          <w:ilvl w:val="0"/>
          <w:numId w:val="1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يعرض النظام تأكيدًا إضافيًا إن كان الدور TM أو FO أو يحمل صلاحية حساسة.</w:t>
      </w:r>
    </w:p>
    <w:p>
      <w:pPr>
        <w:pStyle w:val="ListParagraph"/>
        <w:numPr>
          <w:ilvl w:val="0"/>
          <w:numId w:val="1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النظام؛ الأثر في الطلب التالي.</w:t>
      </w:r>
    </w:p>
    <w:p>
      <w:pPr>
        <w:pStyle w:val="ListParagraph"/>
        <w:numPr>
          <w:ilvl w:val="0"/>
          <w:numId w:val="1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إسناد TM أو FO أو سحبه يُدقَّق بشدة عالية ويُشعر مديري الحساب وحاملي الصلاحية.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إزالة دور TA من آخر مدير حساب فعّال: يُرفض.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2ب. TA يسند لنفسه دورًا حساسًا: يُقبل بشدة عالية ويُشعَر المديرون الآخرون (docs/10-detailed-analysis/10-m0-m1-platform-organization.md:69).</w:t>
      </w:r>
    </w:p>
    <w:p>
      <w:pPr>
        <w:bidi/>
        <w:spacing w:after="60" w:before="0"/>
      </w:pPr>
    </w:p>
    <w:p>
      <w:pPr>
        <w:pStyle w:val="Heading2"/>
        <w:bidi/>
      </w:pPr>
      <w:bookmarkStart w:name="_sec26" w:id="2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UC-PLT-15 — إدارة الأدوار والصلاحيات</w:t>
      </w:r>
      <w:bookmarkEnd w:id="26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TA · S0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‎sec.role.manage‎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كتالوج sec.Permission مبذور.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دور وروابط sec.RolePermission محدَّثة؛ الأثر في الطلب التالي.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FR-PLT-017، FR-PLT-018، FR-PLT-019، BR-PLT-008، BR-PLT-019؛ AC-PTY-1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TA مصفوفة الأدوار والصلاحيات مجمّعة بالوحدات المفعّلة.</w:t>
      </w:r>
    </w:p>
    <w:p>
      <w:pPr>
        <w:pStyle w:val="ListParagraph"/>
        <w:numPr>
          <w:ilvl w:val="0"/>
          <w:numId w:val="1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ينشئ دورًا أو ينسخ دورًا قائمًا.</w:t>
      </w:r>
    </w:p>
    <w:p>
      <w:pPr>
        <w:pStyle w:val="ListParagraph"/>
        <w:numPr>
          <w:ilvl w:val="0"/>
          <w:numId w:val="1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يمنح صلاحيات أو يسحبها؛ الحساسة تطلب تأكيدًا مضاعفًا.</w:t>
      </w:r>
    </w:p>
    <w:p>
      <w:pPr>
        <w:pStyle w:val="ListParagraph"/>
        <w:numPr>
          <w:ilvl w:val="0"/>
          <w:numId w:val="1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يتحقق النظام في خدمة الربط لا في الواجهة وحدها.</w:t>
      </w:r>
    </w:p>
    <w:p>
      <w:pPr>
        <w:pStyle w:val="ListParagraph"/>
        <w:numPr>
          <w:ilvl w:val="0"/>
          <w:numId w:val="1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ويُدقِّق.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إضافة صلاحية مقفلة </w:t>
      </w:r>
      <w:r>
        <w:rPr>
          <w:rFonts w:ascii="Arial" w:cs="Arial" w:eastAsia="Arial" w:hAnsi="Arial"/>
          <w:color w:val="7A1F1F"/>
          <w:sz w:val="21"/>
          <w:szCs w:val="21"/>
          <w:rtl/>
        </w:rPr>
        <w:t xml:space="preserve">◆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لدور غير TM وFO أو لدور مخصص: تُرفض بالرمز PERMISSION_LOCKED وتُدقَّق بشدة عالية (BR-PLT-019).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3ب. لا صلاحية «منع»، ولا يضيف المشترك صلاحية جديدة (FR-PLT-017، FR-PLT-018).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دور نظام (IsSystem) لا يُحذف ولا يتغيّر رمزه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bidi/>
        <w:spacing w:after="60" w:before="0"/>
      </w:pPr>
    </w:p>
    <w:p>
      <w:pPr>
        <w:pStyle w:val="Heading2"/>
        <w:bidi/>
      </w:pPr>
      <w:bookmarkStart w:name="_sec27" w:id="2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UC-PLT-16 — ضبط نطاق الشركات لمستخدم</w:t>
      </w:r>
      <w:bookmarkEnd w:id="27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TA · S0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‎sec.user.manage‎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المستخدم غير مؤرشف.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CompanyScopeMode وصفوف sec.UserCompanyScope؛ تسري في كل استعلام وبحث وتقرير.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FR-PLT-020، FR-PLT-021، BR-PLT-007؛ AC-PLT-1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TA شاشة نطاق الشركات للمستخدم.</w:t>
      </w:r>
    </w:p>
    <w:p>
      <w:pPr>
        <w:pStyle w:val="ListParagraph"/>
        <w:numPr>
          <w:ilvl w:val="0"/>
          <w:numId w:val="1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«الكل» أو «مختارة».</w:t>
      </w:r>
    </w:p>
    <w:p>
      <w:pPr>
        <w:pStyle w:val="ListParagraph"/>
        <w:numPr>
          <w:ilvl w:val="0"/>
          <w:numId w:val="1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في «مختارة» يحدد الشركات من الشجرة ويختار تضمين التابعات.</w:t>
      </w:r>
    </w:p>
    <w:p>
      <w:pPr>
        <w:pStyle w:val="ListParagraph"/>
        <w:numPr>
          <w:ilvl w:val="0"/>
          <w:numId w:val="1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«مختارة» بلا شركة: المستخدم لا يرى أي بيانات شركة لأن الافتراضي SELECTED والرفض هو الأصل (db/model/10-platform.model:119)؛ يعرض النظام تحذيرًا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في S0 لا توجد شركات بعد (الشركات في S1)، فالخيار الفعلي «الكل» أو «مختارة» فارغة؛ انظر DQ-F07-2.</w:t>
      </w:r>
    </w:p>
    <w:p>
      <w:pPr>
        <w:bidi/>
        <w:spacing w:after="60" w:before="0"/>
      </w:pPr>
    </w:p>
    <w:p>
      <w:pPr>
        <w:pStyle w:val="Heading2"/>
        <w:bidi/>
      </w:pPr>
      <w:bookmarkStart w:name="_sec28" w:id="2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UC-PLT-17 — ضبط إعدادات الأمان والمشترك</w:t>
      </w:r>
      <w:bookmarkEnd w:id="28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TA (TM ◐ للعتبات) · S0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‎cfg.settings.manage‎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تعريفات cfg.SettingDefinition مبذورة بحدودها (db/model/10-platform.model:426-436).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صفوف cfg.TenantSetting؛ تغيير مفتاح أمني يُدقَّق بالقيمتين القديمة والجديدة.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FR-PLT-043، FR-PLT-034، BR-PLT-018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TA شاشة الأمان والإعدادات.</w:t>
      </w:r>
    </w:p>
    <w:p>
      <w:pPr>
        <w:pStyle w:val="ListParagraph"/>
        <w:numPr>
          <w:ilvl w:val="0"/>
          <w:numId w:val="1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يعدّل مفتاحًا: سياسة كلمة المرور، المهل، مدة إعادة الإخفاء، العتبات، ساعات العمل.</w:t>
      </w:r>
    </w:p>
    <w:p>
      <w:pPr>
        <w:pStyle w:val="ListParagraph"/>
        <w:numPr>
          <w:ilvl w:val="0"/>
          <w:numId w:val="1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يتحقق النظام من الحد الأدنى والأقصى للمنصة.</w:t>
      </w:r>
    </w:p>
    <w:p>
      <w:pPr>
        <w:pStyle w:val="ListParagraph"/>
        <w:numPr>
          <w:ilvl w:val="0"/>
          <w:numId w:val="1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ويُدقِّق.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قيمة أضعف من حد المنصة (مثل إعادة إخفاء 5 ثوانٍ والحد 15): تُرفض بالسبب.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3ب. نافذة عمل أقل من 4 ساعات أو أكثر من 12: تُرفض (FR-PLT-043).</w:t>
      </w:r>
    </w:p>
    <w:p>
      <w:pPr>
        <w:bidi/>
        <w:spacing w:after="60" w:before="0"/>
      </w:pPr>
    </w:p>
    <w:p>
      <w:pPr>
        <w:pStyle w:val="Heading2"/>
        <w:bidi/>
      </w:pPr>
      <w:bookmarkStart w:name="_sec29" w:id="2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UC-PLT-18 — تعريف سلسلة ترقيم وإلغاء رقم</w:t>
      </w:r>
      <w:bookmarkEnd w:id="29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TA · S0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‎cfg.numbering.manage‎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شيء.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تعريف في cfg.NumberSequenceDefinition؛ أو رقم بحالة VOID بسببه.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FR-PLT-026، BR-PLT-010، BR-ORG-001؛ AC-PLT-3، AC-ORG-3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2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TA شاشة الترقيم ويختار «تعريف جديد».</w:t>
      </w:r>
    </w:p>
    <w:p>
      <w:pPr>
        <w:pStyle w:val="ListParagraph"/>
        <w:numPr>
          <w:ilvl w:val="0"/>
          <w:numId w:val="2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المفتاح والصيغة بالوسوم والمستوى (مشترك أو شركة) وأساس الفترة وسياسة الفجوات.</w:t>
      </w:r>
    </w:p>
    <w:p>
      <w:pPr>
        <w:pStyle w:val="ListParagraph"/>
        <w:numPr>
          <w:ilvl w:val="0"/>
          <w:numId w:val="2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يعرض النظام معاينة الصيغة.</w:t>
      </w:r>
    </w:p>
    <w:p>
      <w:pPr>
        <w:pStyle w:val="ListParagraph"/>
        <w:numPr>
          <w:ilvl w:val="0"/>
          <w:numId w:val="2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يحفظ.</w:t>
      </w:r>
    </w:p>
    <w:p>
      <w:pPr>
        <w:pStyle w:val="ListParagraph"/>
        <w:numPr>
          <w:ilvl w:val="0"/>
          <w:numId w:val="2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للإلغاء: يختار رقمًا صادرًا ويكتب السبب، فيصير VOID ولا يُعاد.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صيغة غير صالحة: تُرفض.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تفعيل تعريف PROFORMA مع رمز ERP مكرر بين شركات غير مؤرشفة: يُرفض بقائمة الشركات (BR-ORG-001).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4ب. تعريف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‎PROFORMA‎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أو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‎req:&lt;TypeCode&gt;‎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بسياسة ALLOW_GAPS: يُرفض (50031)، لأن أرقام الطلبات والبروفورما بلا فجوات بقرار المالك (DQ-B02-4، O-12 في erd_open_items، ADR 0005).</w:t>
      </w:r>
    </w:p>
    <w:p>
      <w:pPr>
        <w:bidi/>
        <w:spacing w:after="60" w:before="0"/>
      </w:pPr>
    </w:p>
    <w:p>
      <w:pPr>
        <w:pStyle w:val="Heading2"/>
        <w:bidi/>
      </w:pPr>
      <w:bookmarkStart w:name="_sec30" w:id="3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UC-PLT-19 — تخصيص رقم</w:t>
      </w:r>
      <w:bookmarkEnd w:id="30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وحدة مستدعية (نظام) · S0 · صلاحية الإجراء المستدعي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تعريف فعّال للمفتاح.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 cfg.NumberIssue بحالة ISSUED داخل معاملة المستدعي.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FR-PLT-026، BR-PLT-010؛ AC-PLT-3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2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تطلب الوحدة رقمًا بالمفتاح والشركة والتاريخ.</w:t>
      </w:r>
    </w:p>
    <w:p>
      <w:pPr>
        <w:pStyle w:val="ListParagraph"/>
        <w:numPr>
          <w:ilvl w:val="0"/>
          <w:numId w:val="2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يقفل النظام صف العدّاد (التعريف، الشركة، الفترة) داخل معاملة المستدعي.</w:t>
      </w:r>
    </w:p>
    <w:p>
      <w:pPr>
        <w:pStyle w:val="ListParagraph"/>
        <w:numPr>
          <w:ilvl w:val="0"/>
          <w:numId w:val="2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يبني الرقم من الصيغة ويزيد العدّاد.</w:t>
      </w:r>
    </w:p>
    <w:p>
      <w:pPr>
        <w:pStyle w:val="ListParagraph"/>
        <w:numPr>
          <w:ilvl w:val="0"/>
          <w:numId w:val="2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يكتب الرقم الصادر.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رقم من سلسلة بلا فجوات خارج معاملة: يُرفض (50029)، لأن رقمًا يلتزم وحده يترك فجوة إن فشلت كتابة الكيان بعده.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1ب. سلسلة على مستوى الشركة بلا شركة، أو بوسم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‎{erp}‎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لشركة بلا رمز ERP: يُرفض (50030).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طلبان متزامنان: يُسلسلان فلا يتكرر رقم.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تراجع معاملة المستدعي: يتراجع الرقم معها فلا يضيع.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تجاوز عرض القالب: يتسع العرض ولا يُقتطع.</w:t>
      </w:r>
    </w:p>
    <w:p>
      <w:pPr>
        <w:bidi/>
        <w:spacing w:after="60" w:before="0"/>
      </w:pPr>
    </w:p>
    <w:p>
      <w:pPr>
        <w:pStyle w:val="Heading2"/>
        <w:bidi/>
      </w:pPr>
      <w:bookmarkStart w:name="_sec31" w:id="3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UC-PLT-20 — عرض سجل التدقيق وتصديره</w:t>
      </w:r>
      <w:bookmarkEnd w:id="31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TA أو AU؛ TM محدود · S0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‎audit.view‎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أو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‎audit.view.treasury‎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والتصدير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‎audit.export‎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جلسة مصادقة.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حدث AUDIT_VIEWED؛ والتصدير مدقَّق بشدة عالية.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FR-PLT-022، FR-PLT-023، FR-PLT-024، BR-PLT-008، BR-PLT-009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2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سجل التدقيق فيُسجَّل AUDIT_VIEWED.</w:t>
      </w:r>
    </w:p>
    <w:p>
      <w:pPr>
        <w:pStyle w:val="ListParagraph"/>
        <w:numPr>
          <w:ilvl w:val="0"/>
          <w:numId w:val="2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يصفّي بالفاعل والكيان والفترة والنوع والشركة والشدة.</w:t>
      </w:r>
    </w:p>
    <w:p>
      <w:pPr>
        <w:pStyle w:val="ListParagraph"/>
        <w:numPr>
          <w:ilvl w:val="0"/>
          <w:numId w:val="2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حدثًا فيرى القيم قبل وبعد مقنَّعة.</w:t>
      </w:r>
    </w:p>
    <w:p>
      <w:pPr>
        <w:pStyle w:val="ListParagraph"/>
        <w:numPr>
          <w:ilvl w:val="0"/>
          <w:numId w:val="2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«تصدير».</w:t>
      </w:r>
    </w:p>
    <w:p>
      <w:pPr>
        <w:pStyle w:val="ListParagraph"/>
        <w:numPr>
          <w:ilvl w:val="0"/>
          <w:numId w:val="2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يطلب النظام إعادة المصادقة ثم يولّد الملف ويُدقِّق التصدير.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TM يرى أحداث بيانات الخزينة وكشف الهويات فقط؛ FO بلا عرض (403).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أحداث المنصة (TenantId فارغ) لا تظهر لأي مستخدم مشترك (BR-PLT-001).</w:t>
      </w:r>
    </w:p>
    <w:p>
      <w:pPr>
        <w:bidi/>
        <w:spacing w:after="60" w:before="0"/>
      </w:pPr>
    </w:p>
    <w:p>
      <w:pPr>
        <w:pStyle w:val="Heading2"/>
        <w:bidi/>
      </w:pPr>
      <w:bookmarkStart w:name="_sec32" w:id="3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UC-PLT-21 — رفع مستند أو إصدار جديد</w:t>
      </w:r>
      <w:bookmarkEnd w:id="32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مستخدم يملك صلاحية إدارة الكيان المالك · S0 (الخدمة)، وأول شاشة أعمال في S1 (DQ-F07-4) · صلاحية الكيان (مثل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‎org.document.manage‎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نوع مستند معرّف (DocumentType من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‎11‎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doc.Document وdoc.DocumentVersion وdoc.DocumentLink؛ بصمة SHA-256 يحسبها الخادم؛ حدث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‎document.uploaded‎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FR-PLT-027، FR-PLT-028، FR-PLT-029، BR-PLT-011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2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المستخدم النوع والملف وبيانات المستند (الرقم، التواريخ، جهة الإصدار).</w:t>
      </w:r>
    </w:p>
    <w:p>
      <w:pPr>
        <w:pStyle w:val="ListParagraph"/>
        <w:numPr>
          <w:ilvl w:val="0"/>
          <w:numId w:val="2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يفحص الخادم النوع بالمحتوى لا بالامتداد، والحجم (25 ميغابايت افتراضيًا).</w:t>
      </w:r>
    </w:p>
    <w:p>
      <w:pPr>
        <w:pStyle w:val="ListParagraph"/>
        <w:numPr>
          <w:ilvl w:val="0"/>
          <w:numId w:val="2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يحسب البصمة ويحفظ الإصدار بحالة PENDING ويرسله للفحص.</w:t>
      </w:r>
    </w:p>
    <w:p>
      <w:pPr>
        <w:pStyle w:val="ListParagraph"/>
        <w:numPr>
          <w:ilvl w:val="0"/>
          <w:numId w:val="2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يصير الإصدار CLEAN ويُتاح.</w:t>
      </w:r>
    </w:p>
    <w:p>
      <w:pPr>
        <w:pStyle w:val="ListParagraph"/>
        <w:numPr>
          <w:ilvl w:val="0"/>
          <w:numId w:val="2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يربط المستند بالكيان مع الدور والصفحة المرجعية.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نوع RequiresExpiry بلا تاريخ انتهاء: يُرفض.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ملف تنفيذي بامتداد pdf: يُرفض.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بصمة مطابقة لملف سابق: تنبيه ولا منع.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ملف مشبوه: QUARANTINED ولا يُنزَّل.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1ب. إصدار جديد لمستند قائم: VersionNo + 1 والسابق ثابت.</w:t>
      </w:r>
    </w:p>
    <w:p>
      <w:pPr>
        <w:bidi/>
        <w:spacing w:after="60" w:before="0"/>
      </w:pPr>
    </w:p>
    <w:p>
      <w:pPr>
        <w:pStyle w:val="Heading2"/>
        <w:bidi/>
      </w:pPr>
      <w:bookmarkStart w:name="_sec33" w:id="3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UC-PLT-22 — تنزيل مستند أو معاينته</w:t>
      </w:r>
      <w:bookmarkEnd w:id="33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مستخدم ضمن النطاق · S0 · صلاحية عرض الكيان،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‎party.identity.image.view‎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7A1F1F"/>
          <w:sz w:val="21"/>
          <w:szCs w:val="21"/>
          <w:rtl/>
        </w:rPr>
        <w:t xml:space="preserve">◆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للنوع IsSensitive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إصدار CLEAN.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تنزيل مدقَّق؛ والمقيّد في aud.SensitiveAccessLog.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FR-PLT-030، BR-PTY-010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2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يطلب المستخدم المستند من نقطة مصرَّحة.</w:t>
      </w:r>
    </w:p>
    <w:p>
      <w:pPr>
        <w:pStyle w:val="ListParagraph"/>
        <w:numPr>
          <w:ilvl w:val="0"/>
          <w:numId w:val="2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يتحقق النظام من الصلاحية والنطاق، ومن صلاحية الكشف للنوع الحساس.</w:t>
      </w:r>
    </w:p>
    <w:p>
      <w:pPr>
        <w:pStyle w:val="ListParagraph"/>
        <w:numPr>
          <w:ilvl w:val="0"/>
          <w:numId w:val="2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يبث الملف بلا رابط مباشر.</w:t>
      </w:r>
    </w:p>
    <w:p>
      <w:pPr>
        <w:pStyle w:val="ListParagraph"/>
        <w:numPr>
          <w:ilvl w:val="0"/>
          <w:numId w:val="2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يُسجَّل التنزيل.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بلا صلاحية: 403 للملف وللمصغّرة.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2ب. إصدار PENDING أو QUARANTINED: يُرفض.</w:t>
      </w:r>
    </w:p>
    <w:p>
      <w:pPr>
        <w:bidi/>
        <w:spacing w:after="60" w:before="0"/>
      </w:pPr>
    </w:p>
    <w:p>
      <w:pPr>
        <w:pStyle w:val="Heading2"/>
        <w:bidi/>
      </w:pPr>
      <w:bookmarkStart w:name="_sec34" w:id="3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UC-PLT-23 — تفضيلاتي</w:t>
      </w:r>
      <w:bookmarkEnd w:id="34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مستخدم المشترك · S0 (Should) · مستخدم مصادق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جلسة.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AppUser.PreferredLanguage وDigitsPreference (db/model/10-platform.model:120-121).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FR-PLT-034، FR-PLT-032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2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«تفضيلاتي».</w:t>
      </w:r>
    </w:p>
    <w:p>
      <w:pPr>
        <w:pStyle w:val="ListParagraph"/>
        <w:numPr>
          <w:ilvl w:val="0"/>
          <w:numId w:val="2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اللغة (الإنجليزية الآن، والعربية حين تُضاف) وشكل الأرقام.</w:t>
      </w:r>
    </w:p>
    <w:p>
      <w:pPr>
        <w:pStyle w:val="ListParagraph"/>
        <w:numPr>
          <w:ilvl w:val="0"/>
          <w:numId w:val="2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يحفظ؛ العرض يتغير والتخزين لا.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قيمة فارغة تعني افتراضي المشترك.</w:t>
      </w:r>
    </w:p>
    <w:p>
      <w:pPr>
        <w:bidi/>
        <w:spacing w:after="60" w:before="0"/>
      </w:pPr>
    </w:p>
    <w:p>
      <w:pPr>
        <w:pStyle w:val="Heading2"/>
        <w:bidi/>
      </w:pPr>
      <w:bookmarkStart w:name="_sec35" w:id="3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UC-PLT-24 — متابعة المهام الخلفية</w:t>
      </w:r>
      <w:bookmarkEnd w:id="35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TA · S0 (Should)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‎cfg.jobs.view‎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جلسة.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تغيير.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FR-PLT-044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2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TA شاشة المهام.</w:t>
      </w:r>
    </w:p>
    <w:p>
      <w:pPr>
        <w:pStyle w:val="ListParagraph"/>
        <w:numPr>
          <w:ilvl w:val="0"/>
          <w:numId w:val="2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يرى لكل مهمة آخر تشغيل ومدته ونتيجته من cfg.JobRun.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مهمة فاشلة: تظهر بحالتها وتُعاد خلال ساعة (FR-PLT-044).</w:t>
      </w:r>
    </w:p>
    <w:p>
      <w:pPr>
        <w:bidi/>
        <w:spacing w:after="60" w:before="0"/>
      </w:pPr>
    </w:p>
    <w:p>
      <w:pPr>
        <w:pStyle w:val="Heading2"/>
        <w:bidi/>
      </w:pPr>
      <w:bookmarkStart w:name="_sec36" w:id="3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UC-PLT-25 — قائمة البدء</w:t>
      </w:r>
      <w:bookmarkEnd w:id="36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TA · S0 (Could)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‎sec.user.manage‎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مشترك جديد.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تغيير؛ النسبة محسوبة من البيانات.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FR-PLT-009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2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يعرض النظام الخطوات: شركات، مستخدمون وأدوار ونطاق، منشآت مالية.</w:t>
      </w:r>
    </w:p>
    <w:p>
      <w:pPr>
        <w:pStyle w:val="ListParagraph"/>
        <w:numPr>
          <w:ilvl w:val="0"/>
          <w:numId w:val="2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يحسب الإنجاز من البيانات الفعلية.</w:t>
      </w:r>
    </w:p>
    <w:p>
      <w:pPr>
        <w:pStyle w:val="ListParagraph"/>
        <w:numPr>
          <w:ilvl w:val="0"/>
          <w:numId w:val="2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TA الخطوة التالية من الرابط.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وحدة الخطوة معطّلة (INSTITUTIONS مثلًا): تُخفى الخطوة.</w:t>
      </w:r>
    </w:p>
    <w:p>
      <w:pPr>
        <w:bidi/>
        <w:spacing w:after="60" w:before="0"/>
      </w:pPr>
    </w:p>
    <w:p>
      <w:pPr>
        <w:pStyle w:val="Heading2"/>
        <w:bidi/>
      </w:pPr>
      <w:bookmarkStart w:name="_sec37" w:id="3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UC-PLT-26 — مهام دورة حياة المشترك</w:t>
      </w:r>
      <w:bookmarkEnd w:id="37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النظام · S0 · حساب الخدمة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مهمة منصة يومية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(DQ-F05-6).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انتقالات آلية مسجّلة بالفاعل SYSTEM أو JOB.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FR-PLT-002، FR-PLT-044، BR-PLT-002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2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تختار المهمة المشتركين المعنيين.</w:t>
      </w:r>
    </w:p>
    <w:p>
      <w:pPr>
        <w:pStyle w:val="ListParagraph"/>
        <w:numPr>
          <w:ilvl w:val="0"/>
          <w:numId w:val="2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ترسل تنبيه نهاية التجربة قبل 7 و3 و1 أيام (PLT.TRIAL_ENDING).</w:t>
      </w:r>
    </w:p>
    <w:p>
      <w:pPr>
        <w:pStyle w:val="ListParagraph"/>
        <w:numPr>
          <w:ilvl w:val="0"/>
          <w:numId w:val="2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تنقل التجربة المنتهية إلى SUSPENDED.</w:t>
      </w:r>
    </w:p>
    <w:p>
      <w:pPr>
        <w:pStyle w:val="ListParagraph"/>
        <w:numPr>
          <w:ilvl w:val="0"/>
          <w:numId w:val="2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تنقل CLOSED بعد 30 يومًا إلى ARCHIVED_READ_ONLY.</w:t>
      </w:r>
    </w:p>
    <w:p>
      <w:pPr>
        <w:pStyle w:val="ListParagraph"/>
        <w:numPr>
          <w:ilvl w:val="0"/>
          <w:numId w:val="2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تسجّل التشغيل في cfg.JobRun.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مدّد المشغّل التجربة: لا انتقال.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فشل: إعادة محاولة وسجل الفشل. تعريف الحدث والمهمة في DOC-F05.</w:t>
      </w:r>
    </w:p>
    <w:p>
      <w:pPr>
        <w:bidi/>
        <w:spacing w:after="60" w:before="0"/>
      </w:pPr>
    </w:p>
    <w:p>
      <w:pPr>
        <w:pStyle w:val="Heading2"/>
        <w:bidi/>
      </w:pPr>
      <w:bookmarkStart w:name="_sec38" w:id="3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UC-PLT-27 — تدوير مفتاح بيانات المشترك</w:t>
      </w:r>
      <w:bookmarkEnd w:id="38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المشغّل أو النظام · S0 · OPERATOR_ADMIN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مفتاح بيانات فعّال في sec.TenantKey.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مفتاح جديد؛ إعادة تشفير تدريجية؛ حدث في sec.KeyEvent بشدة عالية.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FR-PLT-037، BR-PLT-015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2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يطلب المشغّل التدوير أو يحل موعده.</w:t>
      </w:r>
    </w:p>
    <w:p>
      <w:pPr>
        <w:pStyle w:val="ListParagraph"/>
        <w:numPr>
          <w:ilvl w:val="0"/>
          <w:numId w:val="2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ينشئ النظام مفتاحًا جديدًا ملفوفًا بالمفتاح الرئيسي.</w:t>
      </w:r>
    </w:p>
    <w:p>
      <w:pPr>
        <w:pStyle w:val="ListParagraph"/>
        <w:numPr>
          <w:ilvl w:val="0"/>
          <w:numId w:val="2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تعيد مهمة خلفية تشفير الأعمدة تدريجيًا.</w:t>
      </w:r>
    </w:p>
    <w:p>
      <w:pPr>
        <w:pStyle w:val="ListParagraph"/>
        <w:numPr>
          <w:ilvl w:val="0"/>
          <w:numId w:val="2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تبقى البيانات القديمة والجديدة مقروءة طوال التدوير.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توقف المهمة: تستأنف من حيث توقفت. السياسة والحفظ في DOC-S02.</w:t>
      </w:r>
    </w:p>
    <w:p>
      <w:pPr>
        <w:bidi/>
        <w:spacing w:after="60" w:before="0"/>
      </w:pPr>
    </w:p>
    <w:p>
      <w:pPr>
        <w:pStyle w:val="Heading1"/>
        <w:bidi/>
      </w:pPr>
      <w:bookmarkStart w:name="_sec39" w:id="39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6. حالات M0 خارج S0 (مختصرة)</w:t>
      </w:r>
      <w:bookmarkEnd w:id="39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الشروط المسبقة المشتركة: جلسة مصادقة، ووحدة CORE فعّالة.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3"/>
        <w:gridCol w:w="2624"/>
        <w:gridCol w:w="2247"/>
        <w:gridCol w:w="2497"/>
        <w:gridCol w:w="1373"/>
      </w:tblGrid>
      <w:tr>
        <w:trPr>
          <w:cantSplit/>
          <w:tblHeader/>
        </w:trPr>
        <w:tc>
          <w:tcPr>
            <w:tcW w:type="dxa" w:w="11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 والاسم</w:t>
            </w:r>
          </w:p>
        </w:tc>
        <w:tc>
          <w:tcPr>
            <w:tcW w:type="dxa" w:w="26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الفاعل · الصلاحية</w:t>
            </w:r>
          </w:p>
        </w:tc>
        <w:tc>
          <w:tcPr>
            <w:tcW w:type="dxa" w:w="22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المسار المختصر</w:t>
            </w:r>
          </w:p>
        </w:tc>
        <w:tc>
          <w:tcPr>
            <w:tcW w:type="dxa" w:w="24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البديل والخطأ</w:t>
            </w:r>
          </w:p>
        </w:tc>
        <w:tc>
          <w:tcPr>
            <w:tcW w:type="dxa" w:w="13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يغطي · الشريحة</w:t>
            </w:r>
          </w:p>
        </w:tc>
      </w:tr>
      <w:tr>
        <w:trPr>
          <w:cantSplit/>
        </w:trPr>
        <w:tc>
          <w:tcPr>
            <w:tcW w:type="dxa" w:w="11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UC-PLT-28 قواعد تنبيه الانتهاء</w:t>
            </w:r>
          </w:p>
        </w:tc>
        <w:tc>
          <w:tcPr>
            <w:tcW w:type="dxa" w:w="26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 أو TM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‎cfg.alerts.manage‎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2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اختيار نوع العنصر (2) العتبات والمستلمون بالدور (3) حفظ</w:t>
            </w:r>
          </w:p>
        </w:tc>
        <w:tc>
          <w:tcPr>
            <w:tcW w:type="dxa" w:w="24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عتبات غير تنازلية تُرفض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3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FR-PLT-038، BR-PLT-013 · S1</w:t>
            </w:r>
          </w:p>
        </w:tc>
      </w:tr>
      <w:tr>
        <w:trPr>
          <w:cantSplit/>
        </w:trPr>
        <w:tc>
          <w:tcPr>
            <w:tcW w:type="dxa" w:w="11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UC-PLT-29 مهمة تنبيه الانتهاء اليومية</w:t>
            </w:r>
          </w:p>
        </w:tc>
        <w:tc>
          <w:tcPr>
            <w:tcW w:type="dxa" w:w="26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النظام</w:t>
            </w:r>
          </w:p>
        </w:tc>
        <w:tc>
          <w:tcPr>
            <w:tcW w:type="dxa" w:w="22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تقييم كل عنصر (2) حدث واحد لكل (عنصر، عتبة) (3) سجل في cfg.ExpiryAlertLog</w:t>
            </w:r>
          </w:p>
        </w:tc>
        <w:tc>
          <w:tcPr>
            <w:tcW w:type="dxa" w:w="24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تشغيل مكرر في اليوم نفسه لا يكرر؛ تجديد التاريخ يصفّر العتبات</w:t>
            </w:r>
          </w:p>
        </w:tc>
        <w:tc>
          <w:tcPr>
            <w:tcW w:type="dxa" w:w="13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FR-PLT-038، FR-ORG-013، FR-ORG-022، FR-ORG-028، FR-PTY-021 · S1</w:t>
            </w:r>
          </w:p>
        </w:tc>
      </w:tr>
      <w:tr>
        <w:trPr>
          <w:cantSplit/>
        </w:trPr>
        <w:tc>
          <w:tcPr>
            <w:tcW w:type="dxa" w:w="11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UC-PLT-30 فحص سلامة التدقيق والملفات</w:t>
            </w:r>
          </w:p>
        </w:tc>
        <w:tc>
          <w:tcPr>
            <w:tcW w:type="dxa" w:w="26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النظام</w:t>
            </w:r>
          </w:p>
        </w:tc>
        <w:tc>
          <w:tcPr>
            <w:tcW w:type="dxa" w:w="22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إعادة حساب سلسلة البصمات والملفات (2) تقرير (3) تنبيه عند اختلاف</w:t>
            </w:r>
          </w:p>
        </w:tc>
        <w:tc>
          <w:tcPr>
            <w:tcW w:type="dxa" w:w="24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المرساة الخارجية قرار O-13 (20-database-design)</w:t>
            </w:r>
          </w:p>
        </w:tc>
        <w:tc>
          <w:tcPr>
            <w:tcW w:type="dxa" w:w="13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FR-PLT-025، FR-PLT-031 · S2</w:t>
            </w:r>
          </w:p>
        </w:tc>
      </w:tr>
      <w:tr>
        <w:trPr>
          <w:cantSplit/>
        </w:trPr>
        <w:tc>
          <w:tcPr>
            <w:tcW w:type="dxa" w:w="11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UC-PLT-31 طلب تصدير بيانات المشترك</w:t>
            </w:r>
          </w:p>
        </w:tc>
        <w:tc>
          <w:tcPr>
            <w:tcW w:type="dxa" w:w="26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‎cfg.export.request‎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2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طلب (2) موافقة حامل الكشف للمقيّد (3) حزمة مختومة بكلمة (4) تنزيل</w:t>
            </w:r>
          </w:p>
        </w:tc>
        <w:tc>
          <w:tcPr>
            <w:tcW w:type="dxa" w:w="24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بلا صلاحية كشف: حزمة بلا أرقام كاملة ولا صور؛ تصدير ثانٍ قبل انتهاء الأول: يُرفض (50035)؛ جانب القاعدة منفّذ ويعمل في SUSPENDED وCLOSED خلال النافذة (ADR 0008)</w:t>
            </w:r>
          </w:p>
        </w:tc>
        <w:tc>
          <w:tcPr>
            <w:tcW w:type="dxa" w:w="13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FR-PLT-039، BR-PLT-016 · S5</w:t>
            </w:r>
          </w:p>
        </w:tc>
      </w:tr>
      <w:tr>
        <w:trPr>
          <w:cantSplit/>
        </w:trPr>
        <w:tc>
          <w:tcPr>
            <w:tcW w:type="dxa" w:w="11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UC-PLT-32 الاحتفاظ والإتلاف</w:t>
            </w:r>
          </w:p>
        </w:tc>
        <w:tc>
          <w:tcPr>
            <w:tcW w:type="dxa" w:w="26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TA؛ المشغّل للمؤرشف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‎cfg.retention.approve‎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2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تقرير المستحق (2) موافقة (3) إتلاف أو إخفاء مع أثر</w:t>
            </w:r>
          </w:p>
        </w:tc>
        <w:tc>
          <w:tcPr>
            <w:tcW w:type="dxa" w:w="24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اقتراح لمؤرشف قبل المدة أو بلا موافقة خطية يُرفض</w:t>
            </w:r>
          </w:p>
        </w:tc>
        <w:tc>
          <w:tcPr>
            <w:tcW w:type="dxa" w:w="13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FR-PLT-040، BR-PLT-016 · S5</w:t>
            </w:r>
          </w:p>
        </w:tc>
      </w:tr>
      <w:tr>
        <w:trPr>
          <w:cantSplit/>
        </w:trPr>
        <w:tc>
          <w:tcPr>
            <w:tcW w:type="dxa" w:w="11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UC-PLT-33 ربط هوية خارجية (SSO)</w:t>
            </w:r>
          </w:p>
        </w:tc>
        <w:tc>
          <w:tcPr>
            <w:tcW w:type="dxa" w:w="26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‎sec.user.manage‎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2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ضبط OIDC للمشترك (2) ربط المستخدم بهوية خارجية</w:t>
            </w:r>
          </w:p>
        </w:tc>
        <w:tc>
          <w:tcPr>
            <w:tcW w:type="dxa" w:w="24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بلا منح تلقائي لصلاحية حساسة</w:t>
            </w:r>
          </w:p>
        </w:tc>
        <w:tc>
          <w:tcPr>
            <w:tcW w:type="dxa" w:w="13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FR-PLT-015 · S5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40" w:id="40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7. حالات M1: الهيكل المؤسسي (ORG)</w:t>
      </w:r>
      <w:bookmarkEnd w:id="40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الشروط المسبقة المشتركة: جلسة مصادقة، والشركة ضمن نطاق المستخدم. الشرط اللاحق المشترك: حدث تدقيق، وحدث طابور إرسال حيث ذُكر (docs/10-detailed-analysis/10-m0-m1-platform-organization.md:569).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78"/>
        <w:gridCol w:w="2760"/>
        <w:gridCol w:w="2343"/>
        <w:gridCol w:w="1315"/>
        <w:gridCol w:w="2068"/>
      </w:tblGrid>
      <w:tr>
        <w:trPr>
          <w:cantSplit/>
          <w:tblHeader/>
        </w:trPr>
        <w:tc>
          <w:tcPr>
            <w:tcW w:type="dxa" w:w="13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 والاسم</w:t>
            </w:r>
          </w:p>
        </w:tc>
        <w:tc>
          <w:tcPr>
            <w:tcW w:type="dxa" w:w="27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الفاعل · الصلاحية</w:t>
            </w:r>
          </w:p>
        </w:tc>
        <w:tc>
          <w:tcPr>
            <w:tcW w:type="dxa" w:w="23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المسار المختصر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البديل والخطأ</w:t>
            </w:r>
          </w:p>
        </w:tc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يغطي · الشريحة</w:t>
            </w:r>
          </w:p>
        </w:tc>
      </w:tr>
      <w:tr>
        <w:trPr>
          <w:cantSplit/>
        </w:trPr>
        <w:tc>
          <w:tcPr>
            <w:tcW w:type="dxa" w:w="13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UC-ORG-01 إنشاء شركة وتعديلها</w:t>
            </w:r>
          </w:p>
        </w:tc>
        <w:tc>
          <w:tcPr>
            <w:tcW w:type="dxa" w:w="27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أو TA؛ FO ◐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‎org.company.manage‎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3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الرمز والاسمان والدولة والشكل القانوني وعلم القابضة (2) الأم (3) المعرّفات الرسمية ورمز ERP (4) السنة المالية والعملة (5) حفظ فتُنشأ Party المرآة؛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‎company.created‎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مكرر يُرفض؛ أم من الأسلاف يُرفض؛ ERP مكرر خطأ أو تحذير بحسب PROFORMA</w:t>
            </w:r>
          </w:p>
        </w:tc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FR-ORG-001، FR-ORG-003، FR-ORG-004، FR-ORG-005، FR-ORG-006، FR-ORG-008، FR-ORG-009، FR-PTY-003، BR-ORG-001…004، BR-PTY-018 · S1</w:t>
            </w:r>
          </w:p>
        </w:tc>
      </w:tr>
      <w:tr>
        <w:trPr>
          <w:cantSplit/>
        </w:trPr>
        <w:tc>
          <w:tcPr>
            <w:tcW w:type="dxa" w:w="13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UC-ORG-02 نسب الضريبة</w:t>
            </w:r>
          </w:p>
        </w:tc>
        <w:tc>
          <w:tcPr>
            <w:tcW w:type="dxa" w:w="27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‎org.company.manage‎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3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رمز الضريبة والنسبة وتاريخ السريان (2) حفظ يغلق السابق بيوم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تداخل الفترات يُرفض</w:t>
            </w:r>
          </w:p>
        </w:tc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FR-ORG-007، BR-ORG-005 · S1</w:t>
            </w:r>
          </w:p>
        </w:tc>
      </w:tr>
      <w:tr>
        <w:trPr>
          <w:cantSplit/>
        </w:trPr>
        <w:tc>
          <w:tcPr>
            <w:tcW w:type="dxa" w:w="13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UC-ORG-03 أرشفة شركة أو تغيير حالتها</w:t>
            </w:r>
          </w:p>
        </w:tc>
        <w:tc>
          <w:tcPr>
            <w:tcW w:type="dxa" w:w="27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أو TA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‎org.company.manage‎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3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اختيار الحالة (2) فحص الاستخدام النشط (3) حفظ؛ تُؤرشف المرآة؛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‎company.archived‎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تسهيل ساري أو طلب مفتوح أو مستخدم نطاقه الشركة: رفض بالسبب</w:t>
            </w:r>
          </w:p>
        </w:tc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FR-ORG-010، FR-ORG-001 · S1</w:t>
            </w:r>
          </w:p>
        </w:tc>
      </w:tr>
      <w:tr>
        <w:trPr>
          <w:cantSplit/>
        </w:trPr>
        <w:tc>
          <w:tcPr>
            <w:tcW w:type="dxa" w:w="13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UC-ORG-04 الكتالوجات المؤسسية</w:t>
            </w:r>
          </w:p>
        </w:tc>
        <w:tc>
          <w:tcPr>
            <w:tcW w:type="dxa" w:w="27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 أو TM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‎org.catalog.manage‎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3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الأشكال القانونية أو المناصب أو أنواع الصلاحيات (2) إضافة أو تعطيل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المستخدم يُعطَّل ولا يُحذف؛ شكل لدولة أخرى يُرفض</w:t>
            </w:r>
          </w:p>
        </w:tc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FR-ORG-002، FR-ORG-021، FR-ORG-024، BR-ORG-016 · S1 (المناصب والأنواع S1-ب)</w:t>
            </w:r>
          </w:p>
        </w:tc>
      </w:tr>
      <w:tr>
        <w:trPr>
          <w:cantSplit/>
        </w:trPr>
        <w:tc>
          <w:tcPr>
            <w:tcW w:type="dxa" w:w="13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UC-ORG-05 الإدارات</w:t>
            </w:r>
          </w:p>
        </w:tc>
        <w:tc>
          <w:tcPr>
            <w:tcW w:type="dxa" w:w="27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‎org.catalog.manage‎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3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الرمز والاسمان والوظيفة وعلم الخزينة والشركة الاختيارية والرئيس (2) حفظ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تعطيل إدارة فيها مستخدمون يُرفض؛ تحذير إن لم توجد إدارة خزينة</w:t>
            </w:r>
          </w:p>
        </w:tc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FR-ORG-014، BR-ORG-016 · S1</w:t>
            </w:r>
          </w:p>
        </w:tc>
      </w:tr>
      <w:tr>
        <w:trPr>
          <w:cantSplit/>
        </w:trPr>
        <w:tc>
          <w:tcPr>
            <w:tcW w:type="dxa" w:w="13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UC-ORG-06 المستندات الحكومية</w:t>
            </w:r>
          </w:p>
        </w:tc>
        <w:tc>
          <w:tcPr>
            <w:tcW w:type="dxa" w:w="27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أو FO؛ TA وTE ◐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‎org.document.manage‎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3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من السجل العام أو تبويب الشركة (2) النوع والشركة والتواريخ (3) رفع (UC-PLT-21) (4) «يحل محل السابق» أو «إضافي»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نوع يشترط الانتهاء بلا تاريخ يُرفض</w:t>
            </w:r>
          </w:p>
        </w:tc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FR-ORG-011، FR-ORG-012، FR-ORG-013، BR-ORG-015 · S1</w:t>
            </w:r>
          </w:p>
        </w:tc>
      </w:tr>
      <w:tr>
        <w:trPr>
          <w:cantSplit/>
        </w:trPr>
        <w:tc>
          <w:tcPr>
            <w:tcW w:type="dxa" w:w="13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UC-ORG-07 تغيير الملكية</w:t>
            </w:r>
          </w:p>
        </w:tc>
        <w:tc>
          <w:tcPr>
            <w:tcW w:type="dxa" w:w="27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أو FO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‎org.ownership.manage‎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3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تاريخ السريان (2) تعديل الجدول من Party قائم أو جديد (3) مجموع حي (4) مستند المصدر (5) حفظ يغلق ويفتح في معاملة واحدة؛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‎ownership.changed‎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مجموع ≠ 100% يُرفض بالفرق؛ تاريخ قبل آخر تغيير بلا صلاحية تصحيح يُرفض</w:t>
            </w:r>
          </w:p>
        </w:tc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FR-ORG-015، FR-ORG-016، FR-ORG-017، BR-ORG-006، BR-ORG-007؛ AC-ORG-1 · S1-ب</w:t>
            </w:r>
          </w:p>
        </w:tc>
      </w:tr>
      <w:tr>
        <w:trPr>
          <w:cantSplit/>
        </w:trPr>
        <w:tc>
          <w:tcPr>
            <w:tcW w:type="dxa" w:w="13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UC-ORG-08 عرض الملكية بتاريخ</w:t>
            </w:r>
          </w:p>
        </w:tc>
        <w:tc>
          <w:tcPr>
            <w:tcW w:type="dxa" w:w="27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الخزينة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‎org.company.view‎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3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اختيار التاريخ (2) الجدول والسجل (3) الملكية الفعلية غير المباشرة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الدورات تُتجاهل بتحذير</w:t>
            </w:r>
          </w:p>
        </w:tc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FR-ORG-018، BR-ORG-008 · S1-ب</w:t>
            </w:r>
          </w:p>
        </w:tc>
      </w:tr>
      <w:tr>
        <w:trPr>
          <w:cantSplit/>
        </w:trPr>
        <w:tc>
          <w:tcPr>
            <w:tcW w:type="dxa" w:w="13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UC-ORG-09 الهيئات وأعضاؤها</w:t>
            </w:r>
          </w:p>
        </w:tc>
        <w:tc>
          <w:tcPr>
            <w:tcW w:type="dxa" w:w="27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أو FO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‎org.body.manage‎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3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إنشاء هيئة بمدة ومستند (2) إضافة عضو بمنصب ومدة وممثل (3) إنهاء عضوية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هيئتان فعّالتان من النوع نفسه، أو شاغلان لمنصب أحادي، يُرفضان</w:t>
            </w:r>
          </w:p>
        </w:tc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FR-ORG-019، FR-ORG-020، FR-ORG-022، BR-ORG-009، BR-ORG-010 · S1-ب</w:t>
            </w:r>
          </w:p>
        </w:tc>
      </w:tr>
      <w:tr>
        <w:trPr>
          <w:cantSplit/>
        </w:trPr>
        <w:tc>
          <w:tcPr>
            <w:tcW w:type="dxa" w:w="13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UC-ORG-10 إنشاء منحة صلاحية</w:t>
            </w:r>
          </w:p>
        </w:tc>
        <w:tc>
          <w:tcPr>
            <w:tcW w:type="dxa" w:w="27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أو FO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‎org.grant.create‎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3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الشركة والمانَح والنوع (2) السقف والعملة والتوقيع المشترك (3) الفترة ومستند المصدر وصفحته (4) إرسال للموافقة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سقف صفر يُرفض؛ بلا مستند تبقى Draft إلا باستثناء</w:t>
            </w:r>
          </w:p>
        </w:tc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FR-ORG-023، FR-ORG-026، BR-ORG-011…013 · S1-ب</w:t>
            </w:r>
          </w:p>
        </w:tc>
      </w:tr>
      <w:tr>
        <w:trPr>
          <w:cantSplit/>
        </w:trPr>
        <w:tc>
          <w:tcPr>
            <w:tcW w:type="dxa" w:w="13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UC-ORG-11 الموافقة على منحة</w:t>
            </w:r>
          </w:p>
        </w:tc>
        <w:tc>
          <w:tcPr>
            <w:tcW w:type="dxa" w:w="27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أو FO غير المنشئ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‎org.grant.approve‎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3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مراجعة (2) موافقة فتصير Active، أو رفض بسبب فتعود Draft؛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‎authority.granted‎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المنشئ لا يرى زر الموافقة</w:t>
            </w:r>
          </w:p>
        </w:tc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FR-ORG-026، BR-ORG-014 · S1-ب</w:t>
            </w:r>
          </w:p>
        </w:tc>
      </w:tr>
      <w:tr>
        <w:trPr>
          <w:cantSplit/>
        </w:trPr>
        <w:tc>
          <w:tcPr>
            <w:tcW w:type="dxa" w:w="13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UC-ORG-12 سحب منحة أو استبدالها</w:t>
            </w:r>
          </w:p>
        </w:tc>
        <w:tc>
          <w:tcPr>
            <w:tcW w:type="dxa" w:w="27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أو FO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‎org.grant.create‎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3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سحب بسبب وتاريخ؛ أو تعديل جوهري ينشئ منحة جديدة (2) القديمة Superseded؛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‎authority.revoked‎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المسحوبة تبقى في التقارير التاريخية</w:t>
            </w:r>
          </w:p>
        </w:tc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FR-ORG-028، BR-ORG-014 · S1-ب</w:t>
            </w:r>
          </w:p>
        </w:tc>
      </w:tr>
      <w:tr>
        <w:trPr>
          <w:cantSplit/>
        </w:trPr>
        <w:tc>
          <w:tcPr>
            <w:tcW w:type="dxa" w:w="13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UC-ORG-13 استعلام «من يستطيع؟» ومصفوفة الصلاحيات</w:t>
            </w:r>
          </w:p>
        </w:tc>
        <w:tc>
          <w:tcPr>
            <w:tcW w:type="dxa" w:w="27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الخزينة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‎org.company.view‎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3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النوع والمبلغ والعملة والتاريخ والبنك الاختياري (2) المنح المؤهلة بشروطها (3) طباعة المصفوفة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عملة مختلفة: «يحتاج مراجعة يدوية»</w:t>
            </w:r>
          </w:p>
        </w:tc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FR-ORG-025، FR-ORG-027، BR-ORG-011، BR-ORG-012؛ AC-ORG-2 · S1-ب</w:t>
            </w:r>
          </w:p>
        </w:tc>
      </w:tr>
      <w:tr>
        <w:trPr>
          <w:cantSplit/>
        </w:trPr>
        <w:tc>
          <w:tcPr>
            <w:tcW w:type="dxa" w:w="13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UC-ORG-14 تقرير تكامل الهيكل</w:t>
            </w:r>
          </w:p>
        </w:tc>
        <w:tc>
          <w:tcPr>
            <w:tcW w:type="dxa" w:w="27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الخزينة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‎org.company.view‎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3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البنود بأعدادها (2) فتح السجل للمعالجة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FR-ORG-029 · S1-ب</w:t>
            </w:r>
          </w:p>
        </w:tc>
      </w:tr>
      <w:tr>
        <w:trPr>
          <w:cantSplit/>
        </w:trPr>
        <w:tc>
          <w:tcPr>
            <w:tcW w:type="dxa" w:w="13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UC-ORG-15 رسم الهيكل</w:t>
            </w:r>
          </w:p>
        </w:tc>
        <w:tc>
          <w:tcPr>
            <w:tcW w:type="dxa" w:w="27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الخزينة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‎org.company.view‎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3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رسم من بيانات الشجرة نفسها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FR-ORG-031 · S5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41" w:id="4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8. حالات M1: الأشخاص والجهات (PTY)</w:t>
      </w:r>
      <w:bookmarkEnd w:id="4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الشروط المسبقة المشتركة: جلسة مصادقة، وقواعد الرؤية في FR-PTY-019. الشرط اللاحق المشترك: حدث تدقيق، والأرقام مقنَّعة في كل عرض.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50"/>
        <w:gridCol w:w="3144"/>
        <w:gridCol w:w="1876"/>
        <w:gridCol w:w="1582"/>
        <w:gridCol w:w="1812"/>
      </w:tblGrid>
      <w:tr>
        <w:trPr>
          <w:cantSplit/>
          <w:tblHeader/>
        </w:trPr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 والاسم</w:t>
            </w:r>
          </w:p>
        </w:tc>
        <w:tc>
          <w:tcPr>
            <w:tcW w:type="dxa" w:w="3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الفاعل · الصلاحية</w:t>
            </w:r>
          </w:p>
        </w:tc>
        <w:tc>
          <w:tcPr>
            <w:tcW w:type="dxa" w:w="18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المسار المختصر</w:t>
            </w:r>
          </w:p>
        </w:tc>
        <w:tc>
          <w:tcPr>
            <w:tcW w:type="dxa" w:w="15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البديل والخطأ</w:t>
            </w:r>
          </w:p>
        </w:tc>
        <w:tc>
          <w:tcPr>
            <w:tcW w:type="dxa" w:w="18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يغطي · الشريحة</w:t>
            </w:r>
          </w:p>
        </w:tc>
      </w:tr>
      <w:tr>
        <w:trPr>
          <w:cantSplit/>
        </w:trPr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UC-PTY-01 إنشاء شخص مع فحص التكرار</w:t>
            </w:r>
          </w:p>
        </w:tc>
        <w:tc>
          <w:tcPr>
            <w:tcW w:type="dxa" w:w="3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أو FO؛ TE ◐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8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الاسم ونوع الوثيقة والرقم (2) تطبيع وفهرس أعمى (3) فحص التطابق والتشابه (4) حفظ واقتراح الوثيقة الأساسية؛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‎party.created‎</w:t>
            </w:r>
          </w:p>
        </w:tc>
        <w:tc>
          <w:tcPr>
            <w:tcW w:type="dxa" w:w="15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تطابق تام يحيل للقائم؛ تشابه ≥ 0.85 مع تاريخ الميلاد يحذّر؛ شكل رقم مخالف يحذّر</w:t>
            </w:r>
          </w:p>
        </w:tc>
        <w:tc>
          <w:tcPr>
            <w:tcW w:type="dxa" w:w="18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FR-PTY-001، FR-PTY-005، FR-PTY-010، FR-PTY-015، BR-PTY-002…005؛ AC-PTY-2 · S1</w:t>
            </w:r>
          </w:p>
        </w:tc>
      </w:tr>
      <w:tr>
        <w:trPr>
          <w:cantSplit/>
        </w:trPr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UC-PTY-02 البحث</w:t>
            </w:r>
          </w:p>
        </w:tc>
        <w:tc>
          <w:tcPr>
            <w:tcW w:type="dxa" w:w="3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الخزينة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8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بالاسم المطبَّع أو برقم الوثيقة بتطابق تام (2) نتائج ضمن الرؤية</w:t>
            </w:r>
          </w:p>
        </w:tc>
        <w:tc>
          <w:tcPr>
            <w:tcW w:type="dxa" w:w="15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البحث بالرقم لا يفك التشفير</w:t>
            </w:r>
          </w:p>
        </w:tc>
        <w:tc>
          <w:tcPr>
            <w:tcW w:type="dxa" w:w="18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FR-PTY-002، FR-PTY-019 · S1</w:t>
            </w:r>
          </w:p>
        </w:tc>
      </w:tr>
      <w:tr>
        <w:trPr>
          <w:cantSplit/>
        </w:trPr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UC-PTY-03 تعديل البيانات والعناوين والاتصال والحقول</w:t>
            </w:r>
          </w:p>
        </w:tc>
        <w:tc>
          <w:tcPr>
            <w:tcW w:type="dxa" w:w="3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أو FO؛ TE ◐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8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تعديل البيانات غير المقيّدة (2) عناوين ووسائل اتصال بأساسي واحد (3) قيم الحقول المخصصة</w:t>
            </w:r>
          </w:p>
        </w:tc>
        <w:tc>
          <w:tcPr>
            <w:tcW w:type="dxa" w:w="15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عنوان وطني بلا رمز بريدي يُرفض حين يكون النمط مفعّلًا</w:t>
            </w:r>
          </w:p>
        </w:tc>
        <w:tc>
          <w:tcPr>
            <w:tcW w:type="dxa" w:w="18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FR-PTY-011، FR-PTY-012، FR-PTY-013، FR-PTY-014، BR-PTY-014، BR-PTY-015 · S1</w:t>
            </w:r>
          </w:p>
        </w:tc>
      </w:tr>
      <w:tr>
        <w:trPr>
          <w:cantSplit/>
        </w:trPr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UC-PTY-04 إضافة وثيقة هوية وصورها أو تجديدها</w:t>
            </w:r>
          </w:p>
        </w:tc>
        <w:tc>
          <w:tcPr>
            <w:tcW w:type="dxa" w:w="3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أو FO؛ TE ◐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‎party.identity.write‎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8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النوع والدولة والرقم والتواريخ (2) تشفير وقناع وفهرس عند الكتابة (3) صور FRONT/BACK (4) علامة التحقق من الأصل (5) التجديد ينشئ وثيقة جديدة والقديمة Superseded</w:t>
            </w:r>
          </w:p>
        </w:tc>
        <w:tc>
          <w:tcPr>
            <w:tcW w:type="dxa" w:w="15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تطابق تام يُرفض؛ تعديل بعد التحقق يمسح العلامة</w:t>
            </w:r>
          </w:p>
        </w:tc>
        <w:tc>
          <w:tcPr>
            <w:tcW w:type="dxa" w:w="18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FR-PTY-004، FR-PTY-006، FR-PTY-009، FR-PTY-020، FR-PTY-022، BR-PTY-006، BR-PTY-008 · S1</w:t>
            </w:r>
          </w:p>
        </w:tc>
      </w:tr>
      <w:tr>
        <w:trPr>
          <w:cantSplit/>
        </w:trPr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UC-PTY-05 كشف الرقم أو عرض الصورة</w:t>
            </w:r>
          </w:p>
        </w:tc>
        <w:tc>
          <w:tcPr>
            <w:tcW w:type="dxa" w:w="3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أو FO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‎party.identity.reveal‎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7A1F1F"/>
                <w:sz w:val="18"/>
                <w:szCs w:val="18"/>
                <w:rtl/>
              </w:rPr>
              <w:t xml:space="preserve">◆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‎party.identity.image.view‎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7A1F1F"/>
                <w:sz w:val="18"/>
                <w:szCs w:val="18"/>
                <w:rtl/>
              </w:rPr>
              <w:t xml:space="preserve">◆</w:t>
            </w:r>
          </w:p>
        </w:tc>
        <w:tc>
          <w:tcPr>
            <w:tcW w:type="dxa" w:w="18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«إظهار» لوثيقة (2) فحص الصلاحية والنطاق (3) فك التشفير (4) IDENTITY_REVEAL (5) عرض 60 ثانية ثم القناع</w:t>
            </w:r>
          </w:p>
        </w:tc>
        <w:tc>
          <w:tcPr>
            <w:tcW w:type="dxa" w:w="15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بلا صلاحية: 403 وحدث مرفوض؛ أكثر من 20 كشفًا في ساعة: إشعار</w:t>
            </w:r>
          </w:p>
        </w:tc>
        <w:tc>
          <w:tcPr>
            <w:tcW w:type="dxa" w:w="18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FR-PTY-007، FR-PTY-008، FR-PTY-009، BR-PTY-009، BR-PTY-010؛ AC-PTY-1 · S1</w:t>
            </w:r>
          </w:p>
        </w:tc>
      </w:tr>
      <w:tr>
        <w:trPr>
          <w:cantSplit/>
        </w:trPr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UC-PTY-06 مراجعة التكرار والدمج</w:t>
            </w:r>
          </w:p>
        </w:tc>
        <w:tc>
          <w:tcPr>
            <w:tcW w:type="dxa" w:w="3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أو FO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‎party.merge‎</w:t>
            </w:r>
          </w:p>
        </w:tc>
        <w:tc>
          <w:tcPr>
            <w:tcW w:type="dxa" w:w="18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أزواج بدرجة التشابه (2) مقارنة (3) اختيار الباقي وحسم التعارض (4) دمج في معاملة واحدة؛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‎party.merged‎</w:t>
            </w:r>
          </w:p>
        </w:tc>
        <w:tc>
          <w:tcPr>
            <w:tcW w:type="dxa" w:w="15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«ليسا نفس الشخص» يغلق الزوج؛ لا دمج لنوعين مختلفين ولا لمرآة</w:t>
            </w:r>
          </w:p>
        </w:tc>
        <w:tc>
          <w:tcPr>
            <w:tcW w:type="dxa" w:w="18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FR-PTY-016، BR-PTY-016؛ AC-PTY-2 · S1</w:t>
            </w:r>
          </w:p>
        </w:tc>
      </w:tr>
      <w:tr>
        <w:trPr>
          <w:cantSplit/>
        </w:trPr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UC-PTY-07 تعطيل شخص</w:t>
            </w:r>
          </w:p>
        </w:tc>
        <w:tc>
          <w:tcPr>
            <w:tcW w:type="dxa" w:w="3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أو FO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8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طلب التعطيل (2) فحص الاستخدام النشط (3) إخفاء من الاختيار</w:t>
            </w:r>
          </w:p>
        </w:tc>
        <w:tc>
          <w:tcPr>
            <w:tcW w:type="dxa" w:w="15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استخدام نشط (كفالة سارية): رفض</w:t>
            </w:r>
          </w:p>
        </w:tc>
        <w:tc>
          <w:tcPr>
            <w:tcW w:type="dxa" w:w="18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FR-PTY-018، BR-PTY-017 · S1</w:t>
            </w:r>
          </w:p>
        </w:tc>
      </w:tr>
      <w:tr>
        <w:trPr>
          <w:cantSplit/>
        </w:trPr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UC-PTY-08 نظرة شاملة للشخص</w:t>
            </w:r>
          </w:p>
        </w:tc>
        <w:tc>
          <w:tcPr>
            <w:tcW w:type="dxa" w:w="3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الخزينة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8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الأدوار المشتقة بأعدادها من المزوّدين (2) الوثائق والاكتمال والسجل</w:t>
            </w:r>
          </w:p>
        </w:tc>
        <w:tc>
          <w:tcPr>
            <w:tcW w:type="dxa" w:w="15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تُعرض الاستخدامات المسموحة فقط</w:t>
            </w:r>
          </w:p>
        </w:tc>
        <w:tc>
          <w:tcPr>
            <w:tcW w:type="dxa" w:w="18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FR-PTY-017، FR-PTY-028، BR-PTY-001 · S1</w:t>
            </w:r>
          </w:p>
        </w:tc>
      </w:tr>
      <w:tr>
        <w:trPr>
          <w:cantSplit/>
        </w:trPr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UC-PTY-09 تعريف الحقول المخصصة</w:t>
            </w:r>
          </w:p>
        </w:tc>
        <w:tc>
          <w:tcPr>
            <w:tcW w:type="dxa" w:w="3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أو FO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‎party.field.manage‎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8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المفتاح والتسمية والنوع والحساسية والبنك الاختياري (2) حفظ</w:t>
            </w:r>
          </w:p>
        </w:tc>
        <w:tc>
          <w:tcPr>
            <w:tcW w:type="dxa" w:w="15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تعريف له قيم يُعطَّل ولا يُحذف</w:t>
            </w:r>
          </w:p>
        </w:tc>
        <w:tc>
          <w:tcPr>
            <w:tcW w:type="dxa" w:w="18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FR-PTY-013، BR-PTY-014، BR-PTY-019 · S1</w:t>
            </w:r>
          </w:p>
        </w:tc>
      </w:tr>
      <w:tr>
        <w:trPr>
          <w:cantSplit/>
        </w:trPr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UC-PTY-10 ملفات الاكتمال (KycProfile)</w:t>
            </w:r>
          </w:p>
        </w:tc>
        <w:tc>
          <w:tcPr>
            <w:tcW w:type="dxa" w:w="3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أو FO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‎party.kyc.manage‎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8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البنك والدور (2) البنود وشروطها (3) تفعيل يسحب السابقة</w:t>
            </w:r>
          </w:p>
        </w:tc>
        <w:tc>
          <w:tcPr>
            <w:tcW w:type="dxa" w:w="15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بلا INSTITUTIONS لا تعمل؛ تعديل بنود نسخة فعّالة أو مسحوبة أو إعادتها مسودة: يُرفض (50033)، والتعديل نسخة جديدة (ADR 0006)</w:t>
            </w:r>
          </w:p>
        </w:tc>
        <w:tc>
          <w:tcPr>
            <w:tcW w:type="dxa" w:w="18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FR-PTY-023، BR-PTY-013 · S2</w:t>
            </w:r>
          </w:p>
        </w:tc>
      </w:tr>
      <w:tr>
        <w:trPr>
          <w:cantSplit/>
        </w:trPr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UC-PTY-11 تقييم الاكتمال ولوحته</w:t>
            </w:r>
          </w:p>
        </w:tc>
        <w:tc>
          <w:tcPr>
            <w:tcW w:type="dxa" w:w="3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الخزينة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8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اختيار البنك أو التسهيل (2) حالة كل بند والنسبة و«جاهز»</w:t>
            </w:r>
          </w:p>
        </w:tc>
        <w:tc>
          <w:tcPr>
            <w:tcW w:type="dxa" w:w="15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8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FR-PTY-024، FR-PTY-025، BR-PTY-012؛ AC-PTY-3 · S2</w:t>
            </w:r>
          </w:p>
        </w:tc>
      </w:tr>
      <w:tr>
        <w:trPr>
          <w:cantSplit/>
        </w:trPr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UC-PTY-12 حزمة بيانات الكفيل</w:t>
            </w:r>
          </w:p>
        </w:tc>
        <w:tc>
          <w:tcPr>
            <w:tcW w:type="dxa" w:w="3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أو FO؛ TE للمسودة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‎party.pack.export‎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7A1F1F"/>
                <w:sz w:val="18"/>
                <w:szCs w:val="18"/>
                <w:rtl/>
              </w:rPr>
              <w:t xml:space="preserve">◆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أو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‎party.pack.draft‎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8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البنك والملف والصور (2) كاملة أو مسودة مقنَّعة (3) توليد PDF وتدقيقه بلا تخزين</w:t>
            </w:r>
          </w:p>
        </w:tc>
        <w:tc>
          <w:tcPr>
            <w:tcW w:type="dxa" w:w="15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بلا الصلاحيتين: مسودة مقنَّعة فقط</w:t>
            </w:r>
          </w:p>
        </w:tc>
        <w:tc>
          <w:tcPr>
            <w:tcW w:type="dxa" w:w="18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FR-PTY-026، BR-PTY-011؛ AC-PTY-3 · S2</w:t>
            </w:r>
          </w:p>
        </w:tc>
      </w:tr>
      <w:tr>
        <w:trPr>
          <w:cantSplit/>
        </w:trPr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UC-PTY-13 تصدير قوائم الأشخاص</w:t>
            </w:r>
          </w:p>
        </w:tc>
        <w:tc>
          <w:tcPr>
            <w:tcW w:type="dxa" w:w="3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أو FO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‎party.export‎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والمقيّد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‎party.export.sensitive‎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7A1F1F"/>
                <w:sz w:val="18"/>
                <w:szCs w:val="18"/>
                <w:rtl/>
              </w:rPr>
              <w:t xml:space="preserve">◆</w:t>
            </w:r>
          </w:p>
        </w:tc>
        <w:tc>
          <w:tcPr>
            <w:tcW w:type="dxa" w:w="18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اختيار الأعمدة (2) إعادة مصادقة للمقيّد (3) ملف مدقَّق</w:t>
            </w:r>
          </w:p>
        </w:tc>
        <w:tc>
          <w:tcPr>
            <w:tcW w:type="dxa" w:w="15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بلا صلاحية: حذف الأعمدة المقيّدة وذكر ذلك في الملف</w:t>
            </w:r>
          </w:p>
        </w:tc>
        <w:tc>
          <w:tcPr>
            <w:tcW w:type="dxa" w:w="18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FR-PTY-027 · S2</w:t>
            </w:r>
          </w:p>
        </w:tc>
      </w:tr>
      <w:tr>
        <w:trPr>
          <w:cantSplit/>
        </w:trPr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UC-PTY-14 إخفاء هوية غير المستخدمين</w:t>
            </w:r>
          </w:p>
        </w:tc>
        <w:tc>
          <w:tcPr>
            <w:tcW w:type="dxa" w:w="3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 مع TM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‎cfg.retention.approve‎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8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قائمة بعد مدة الاحتفاظ (2) موافقة (3) إزالة الأرقام والصور</w:t>
            </w:r>
          </w:p>
        </w:tc>
        <w:tc>
          <w:tcPr>
            <w:tcW w:type="dxa" w:w="15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تنفيذ بلا موافقة</w:t>
            </w:r>
          </w:p>
        </w:tc>
        <w:tc>
          <w:tcPr>
            <w:tcW w:type="dxa" w:w="18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FR-PTY-029 · S5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42" w:id="4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9. ما ليس حالة استخدام</w:t>
      </w:r>
      <w:bookmarkEnd w:id="4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93"/>
        <w:gridCol w:w="1793"/>
        <w:gridCol w:w="6278"/>
      </w:tblGrid>
      <w:tr>
        <w:trPr>
          <w:cantSplit/>
          <w:tblHeader/>
        </w:trPr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السبب</w:t>
            </w:r>
          </w:p>
        </w:tc>
        <w:tc>
          <w:tcPr>
            <w:tcW w:type="dxa" w:w="62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أين يُتحقق منه</w:t>
            </w:r>
          </w:p>
        </w:tc>
      </w:tr>
      <w:tr>
        <w:trPr>
          <w:cantSplit/>
        </w:trPr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FR-PLT-021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قاعدة تقييم تسري على كل حالة</w:t>
            </w:r>
          </w:p>
        </w:tc>
        <w:tc>
          <w:tcPr>
            <w:tcW w:type="dxa" w:w="62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اختبار على كل نقطة API (DOC-B04)</w:t>
            </w:r>
          </w:p>
        </w:tc>
      </w:tr>
      <w:tr>
        <w:trPr>
          <w:cantSplit/>
        </w:trPr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FR-PLT-023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محتوى حدث التدقيق</w:t>
            </w:r>
          </w:p>
        </w:tc>
        <w:tc>
          <w:tcPr>
            <w:tcW w:type="dxa" w:w="62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الحالات؛ ويُعرض في UC-PLT-20</w:t>
            </w:r>
          </w:p>
        </w:tc>
      </w:tr>
      <w:tr>
        <w:trPr>
          <w:cantSplit/>
        </w:trPr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FR-PLT-032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لغة الواجهة وملفات الموارد (غير وظيفي)</w:t>
            </w:r>
          </w:p>
        </w:tc>
        <w:tc>
          <w:tcPr>
            <w:tcW w:type="dxa" w:w="62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DOC-B03، DOC-B10؛ التفضيل في UC-PLT-23</w:t>
            </w:r>
          </w:p>
        </w:tc>
      </w:tr>
      <w:tr>
        <w:trPr>
          <w:cantSplit/>
        </w:trPr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FR-PLT-033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قاعدة إدخال التاريخ الهجري في الحقول المعلَّمة</w:t>
            </w:r>
          </w:p>
        </w:tc>
        <w:tc>
          <w:tcPr>
            <w:tcW w:type="dxa" w:w="62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مكوّن الحقل في الواجهة (DOC-B07)</w:t>
            </w:r>
          </w:p>
        </w:tc>
      </w:tr>
      <w:tr>
        <w:trPr>
          <w:cantSplit/>
        </w:trPr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FR-PLT-035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خدمة حساب أيام العمل (S2)</w:t>
            </w:r>
          </w:p>
        </w:tc>
        <w:tc>
          <w:tcPr>
            <w:tcW w:type="dxa" w:w="62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اختبار وحدة؛ بيانات العطل في UC-PLT-06</w:t>
            </w:r>
          </w:p>
        </w:tc>
      </w:tr>
      <w:tr>
        <w:trPr>
          <w:cantSplit/>
        </w:trPr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FR-PLT-036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العزل وRLS</w:t>
            </w:r>
          </w:p>
        </w:tc>
        <w:tc>
          <w:tcPr>
            <w:tcW w:type="dxa" w:w="62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AC-PLT-1، db/tests/tenant_isolation_tests.sql</w:t>
            </w:r>
          </w:p>
        </w:tc>
      </w:tr>
      <w:tr>
        <w:trPr>
          <w:cantSplit/>
        </w:trPr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FR-PLT-041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REST أولًا</w:t>
            </w:r>
          </w:p>
        </w:tc>
        <w:tc>
          <w:tcPr>
            <w:tcW w:type="dxa" w:w="62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DOC-B04</w:t>
            </w:r>
          </w:p>
        </w:tc>
      </w:tr>
      <w:tr>
        <w:trPr>
          <w:cantSplit/>
        </w:trPr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FR-PLT-042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طابور الإرسال (Outbox)</w:t>
            </w:r>
          </w:p>
        </w:tc>
        <w:tc>
          <w:tcPr>
            <w:tcW w:type="dxa" w:w="62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DOC-F17</w:t>
            </w:r>
          </w:p>
        </w:tc>
      </w:tr>
      <w:tr>
        <w:trPr>
          <w:cantSplit/>
        </w:trPr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FR-PLT-045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سياسة الإصدارات وبوابة التكامل المستمر</w:t>
            </w:r>
          </w:p>
        </w:tc>
        <w:tc>
          <w:tcPr>
            <w:tcW w:type="dxa" w:w="62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AC-PLT-4، DOC-B11</w:t>
            </w:r>
          </w:p>
        </w:tc>
      </w:tr>
      <w:tr>
        <w:trPr>
          <w:cantSplit/>
        </w:trPr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FR-PLT-047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قابلية نقل حزمة النشر</w:t>
            </w:r>
          </w:p>
        </w:tc>
        <w:tc>
          <w:tcPr>
            <w:tcW w:type="dxa" w:w="62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DOC-B11</w:t>
            </w:r>
          </w:p>
        </w:tc>
      </w:tr>
      <w:tr>
        <w:trPr>
          <w:cantSplit/>
        </w:trPr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FR-ORG-030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مؤشر إلى FR-ACC-018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‎11‎</w:t>
            </w:r>
          </w:p>
        </w:tc>
        <w:tc>
          <w:tcPr>
            <w:tcW w:type="dxa" w:w="62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DOC-F09</w:t>
            </w:r>
          </w:p>
        </w:tc>
      </w:tr>
      <w:tr>
        <w:trPr>
          <w:cantSplit/>
        </w:trPr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FR-PTY-019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قاعدة رؤية تسري على كل حالات PTY</w:t>
            </w:r>
          </w:p>
        </w:tc>
        <w:tc>
          <w:tcPr>
            <w:tcW w:type="dxa" w:w="62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اختبار تكامل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43" w:id="4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10. القرارات المطلوبة</w:t>
      </w:r>
      <w:bookmarkEnd w:id="43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17"/>
        <w:gridCol w:w="1707"/>
        <w:gridCol w:w="2658"/>
        <w:gridCol w:w="1327"/>
        <w:gridCol w:w="2655"/>
      </w:tblGrid>
      <w:tr>
        <w:trPr>
          <w:cantSplit/>
          <w:tblHeader/>
        </w:trPr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26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13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يقرر</w:t>
            </w:r>
          </w:p>
        </w:tc>
        <w:tc>
          <w:tcPr>
            <w:tcW w:type="dxa" w:w="26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DQ-F07-1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اعتماد رموز الصلاحيات المقترحة في §3</w:t>
            </w:r>
          </w:p>
        </w:tc>
        <w:tc>
          <w:tcPr>
            <w:tcW w:type="dxa" w:w="26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تُعتمد كما هي تحت ModuleCode = CORE، وتُضاف إلى مصفوفة 10-m0-m1</w:t>
            </w:r>
          </w:p>
        </w:tc>
        <w:tc>
          <w:tcPr>
            <w:tcW w:type="dxa" w:w="13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 مع محلل الأعمال</w:t>
            </w:r>
          </w:p>
        </w:tc>
        <w:tc>
          <w:tcPr>
            <w:tcW w:type="dxa" w:w="26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بذور sec.Permission (DOC-B05)، واختبار FR-PLT-017</w:t>
            </w:r>
          </w:p>
        </w:tc>
      </w:tr>
      <w:tr>
        <w:trPr>
          <w:cantSplit/>
        </w:trPr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DQ-F07-2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نطاق شركات مدير الحساب الأول</w:t>
            </w:r>
          </w:p>
        </w:tc>
        <w:tc>
          <w:tcPr>
            <w:tcW w:type="dxa" w:w="26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ALL عند التهيئة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وSELECTED افتراضيًا لغيره كما في النموذج</w:t>
            </w:r>
          </w:p>
        </w:tc>
        <w:tc>
          <w:tcPr>
            <w:tcW w:type="dxa" w:w="13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</w:t>
            </w:r>
          </w:p>
        </w:tc>
        <w:tc>
          <w:tcPr>
            <w:tcW w:type="dxa" w:w="26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UC-PLT-02، خروج S0</w:t>
            </w:r>
          </w:p>
        </w:tc>
      </w:tr>
      <w:tr>
        <w:trPr>
          <w:cantSplit/>
        </w:trPr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DQ-F07-3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ينشئ حسابات المشغّلين</w:t>
            </w:r>
          </w:p>
        </w:tc>
        <w:tc>
          <w:tcPr>
            <w:tcW w:type="dxa" w:w="26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أول OPERATOR_ADMIN يُبذر عند النشر، ثم يديرها OPERATOR_ADMIN من لوحة المشغّل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والسياسة في DOC-S04 §12</w:t>
            </w:r>
          </w:p>
        </w:tc>
        <w:tc>
          <w:tcPr>
            <w:tcW w:type="dxa" w:w="13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 مع DOC-S08</w:t>
            </w:r>
          </w:p>
        </w:tc>
        <w:tc>
          <w:tcPr>
            <w:tcW w:type="dxa" w:w="26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UC-PLT-01، DOC-B07</w:t>
            </w:r>
          </w:p>
        </w:tc>
      </w:tr>
      <w:tr>
        <w:trPr>
          <w:cantSplit/>
        </w:trPr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DQ-F07-4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خدمة المستندات في S0 بلا شاشة أعمال</w:t>
            </w:r>
          </w:p>
        </w:tc>
        <w:tc>
          <w:tcPr>
            <w:tcW w:type="dxa" w:w="26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S0 يسلّم الخدمة والواجهة البرمجية واختباراتها ومكوّن رفع مشترك؛ أول شاشة أعمال في S1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3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</w:t>
            </w:r>
          </w:p>
        </w:tc>
        <w:tc>
          <w:tcPr>
            <w:tcW w:type="dxa" w:w="26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UC-PLT-21، UC-PLT-22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قرارات تمس هذا الكتالوج ويملكها غيره: دخول المشغّل (DQ-S04-10، DQ-B04-7)، قبول الدعوة (DQ-F03-5)، ربط مستخدم بلا MFA (DQ-F03-4)، فك القفل بإعادة التعيين (DQ-S04-12)، تجديد رموز الاسترداد (DOC-S04 §9 و§11)، التهيئة (DQ-F05-1، DQ-F05-2، DQ-F05-5)، الدخول في SUSPENDED (O-18 (erd_open_items)).</w:t>
      </w:r>
    </w:p>
    <w:p>
      <w:pPr>
        <w:pStyle w:val="Heading1"/>
        <w:bidi/>
      </w:pPr>
      <w:bookmarkStart w:name="_sec44" w:id="4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11. تعارضات وفجوات في المصادر</w:t>
      </w:r>
      <w:bookmarkEnd w:id="44"/>
    </w:p>
    <w:p>
      <w:pPr>
        <w:pStyle w:val="ListParagraph"/>
        <w:numPr>
          <w:ilvl w:val="0"/>
          <w:numId w:val="3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مصفوفة الأدوار بلا رموز لمعظم الصفوف (docs/10-detailed-analysis/10-m0-m1-platform-organization.md:43-67)، بينما يشترط معيار FR-PLT-017 أن يوجد كل رمز في الكتالوج (docs/10-detailed-analysis/10-m0-m1-platform-organization.md:119). المقترح في §3.</w:t>
      </w:r>
    </w:p>
    <w:p>
      <w:pPr>
        <w:pStyle w:val="ListParagraph"/>
        <w:numPr>
          <w:ilvl w:val="0"/>
          <w:numId w:val="3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BR-PLT-002 يسمح بالتصدير 30 يومًا لمشترك CLOSED (docs/10-detailed-analysis/10-m0-m1-platform-organization.md:228)، والإجراءان يرفضان CLOSED (db/static/030_session_context.sql:68 و:187). يُحسم في DOC-F04.</w:t>
      </w:r>
    </w:p>
    <w:p>
      <w:pPr>
        <w:pStyle w:val="ListParagraph"/>
        <w:numPr>
          <w:ilvl w:val="0"/>
          <w:numId w:val="3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BR-PLT-002 يقصر الدخول في SUSPENDED على مدير الحساب، والإجراء يقبل أي مستخدم فعّال (db/static/030_session_context.sql:68): O-18 (erd_open_items).</w:t>
      </w:r>
    </w:p>
    <w:p>
      <w:pPr>
        <w:pStyle w:val="ListParagraph"/>
        <w:numPr>
          <w:ilvl w:val="0"/>
          <w:numId w:val="3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FR-PLT-011 يجعل MFA إلزاميًا (docs/10-detailed-analysis/10-m0-m1-platform-organization.md:113)، والربط يقبل جلسة بلا MFA حين MfaEnabled = 0 (db/static/030_session_context.sql:198)، وهي القيمة الافتراضية (db/model/10-platform.model:126).</w:t>
      </w:r>
    </w:p>
    <w:p>
      <w:pPr>
        <w:pStyle w:val="ListParagraph"/>
        <w:numPr>
          <w:ilvl w:val="0"/>
          <w:numId w:val="3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مسار في القاعدة لقبول الدعوة: usp_StartSession يرفض INVITED (db/static/030_session_context.sql:82). يتبع DOC-F03.</w:t>
      </w:r>
    </w:p>
    <w:p>
      <w:pPr>
        <w:pStyle w:val="ListParagraph"/>
        <w:numPr>
          <w:ilvl w:val="0"/>
          <w:numId w:val="3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إجراء دخول للمشغّل (db/static/030_session_context.sql:3-17 يعدّد إجراءات AppUser فقط).</w:t>
      </w:r>
    </w:p>
    <w:p>
      <w:pPr>
        <w:pStyle w:val="ListParagraph"/>
        <w:numPr>
          <w:ilvl w:val="0"/>
          <w:numId w:val="3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إجراء التهيئة خطة لم تُنفَّذ (docs/20-database-design.md:470-475)، وtp_platform بلا وصول لجداول المشترك (docs/20-database-design.md:24)؛ O-12 (20-database-design) في docs/20-database-design.md:540.</w:t>
      </w:r>
    </w:p>
    <w:p>
      <w:pPr>
        <w:pStyle w:val="ListParagraph"/>
        <w:numPr>
          <w:ilvl w:val="0"/>
          <w:numId w:val="3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sec.UserToken.RequestedByUserId يشير إلى sec.AppUser (db/model/10-platform.model:254)، فلا يُسجَّل المشغّل الذي دعا المدير الأول في الصف نفسه؛ يبقى في التدقيق بـ ActorType = OPERATOR.</w:t>
      </w:r>
    </w:p>
    <w:p>
      <w:pPr>
        <w:pStyle w:val="ListParagraph"/>
        <w:numPr>
          <w:ilvl w:val="0"/>
          <w:numId w:val="3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قائمة الشاشات §7.1 لا تحوي قبول الدعوة ولا تسجيل MFA ولا دخول المشغّل ولا حسابات المشغّلين ولا شاشة المهام (docs/10-detailed-analysis/10-m0-m1-platform-organization.md:371-398). تكملها DOC-B07.</w:t>
      </w:r>
    </w:p>
    <w:p>
      <w:pPr>
        <w:bidi/>
        <w:spacing w:after="60" w:before="0"/>
      </w:pPr>
    </w:p>
    <w:p>
      <w:pPr>
        <w:pStyle w:val="Heading1"/>
        <w:bidi/>
      </w:pPr>
      <w:bookmarkStart w:name="_sec45" w:id="45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12. التتبع</w:t>
      </w:r>
      <w:bookmarkEnd w:id="45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متطلب في 10-m0-m1 (107) مربوط بحالة استخدام أو مذكور في §9.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44"/>
        <w:gridCol w:w="1644"/>
        <w:gridCol w:w="1644"/>
        <w:gridCol w:w="1644"/>
        <w:gridCol w:w="1644"/>
        <w:gridCol w:w="1644"/>
      </w:tblGrid>
      <w:tr>
        <w:trPr>
          <w:cantSplit/>
          <w:tblHeader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UC-PLT-03، UC-PLT-26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UC-PLT-04، UC-PLT-02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UC-PLT-05، UC-PLT-12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UC-PLT-05، UC-PLT-03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UC-PLT-02، UC-PLT-04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UC-PLT-25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UC-PLT-09، UC-PLT-08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UC-PLT-09، UC-PLT-08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UC-PLT-09، UC-PLT-13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UC-PLT-08، UC-PLT-10، UC-PLT-12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UC-PLT-11، UC-PLT-13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UC-PLT-33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UC-PLT-12، UC-PLT-13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UC-PLT-15، UC-PLT-06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UC-PLT-14، UC-PLT-15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UC-PLT-14، UC-PLT-15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UC-PLT-16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§9، UC-PLT-20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UC-PLT-20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UC-PLT-30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UC-PLT-18، UC-PLT-19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UC-PLT-30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§9، UC-PLT-23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UC-PLT-23، UC-PLT-17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§9، UC-PLT-06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UC-PLT-28، UC-PLT-29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UC-PLT-31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UC-PLT-32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UC-PLT-17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UC-PLT-24، UC-PLT-26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UC-PLT-09، UC-PLT-02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UC-ORG-01، UC-ORG-03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UC-ORG-03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FR-ORG-013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UC-ORG-06، UC-PLT-29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FR-ORG-014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FR-ORG-015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FR-ORG-016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UC-ORG-07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FR-ORG-017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FR-ORG-018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FR-ORG-019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UC-ORG-09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FR-ORG-020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FR-ORG-021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FR-ORG-022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UC-ORG-09، UC-PLT-29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FR-ORG-023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FR-ORG-024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FR-ORG-025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UC-ORG-13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FR-ORG-026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UC-ORG-10، UC-ORG-11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FR-ORG-027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UC-ORG-13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FR-ORG-028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UC-ORG-12، UC-PLT-29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FR-ORG-029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UC-ORG-14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FR-ORG-030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FR-ORG-031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UC-ORG-15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UC-PTY-04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UC-PTY-04، UC-PTY-05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UC-PTY-03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FR-PTY-013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UC-PTY-03، UC-PTY-09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FR-PTY-014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FR-PTY-015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FR-PTY-016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FR-PTY-017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FR-PTY-018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UC-PTY-07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FR-PTY-019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§9، UC-PTY-02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FR-PTY-020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FR-PTY-021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UC-PLT-29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FR-PTY-022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FR-PTY-023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FR-PTY-024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UC-PTY-11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FR-PTY-025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FR-PTY-026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FR-PTY-027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UC-PTY-13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FR-PTY-028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FR-PTY-029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UC-PTY-14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سيناريوهات القبول لحالات S0. المعرّفات AC-PLT-5 وما بعدها مقترحة في DOC-B02.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66"/>
        <w:gridCol w:w="2466"/>
        <w:gridCol w:w="2466"/>
        <w:gridCol w:w="2466"/>
      </w:tblGrid>
      <w:tr>
        <w:trPr>
          <w:cantSplit/>
          <w:tblHeader/>
        </w:trPr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حالة الاستخدام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القبول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حالة الاستخدام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القبول</w:t>
            </w:r>
          </w:p>
        </w:tc>
      </w:tr>
      <w:tr>
        <w:trPr>
          <w:cantSplit/>
        </w:trPr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UC-PLT-01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AC-PLT-7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UC-PLT-02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AC-PLT-5</w:t>
            </w:r>
          </w:p>
        </w:tc>
      </w:tr>
      <w:tr>
        <w:trPr>
          <w:cantSplit/>
        </w:trPr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UC-PLT-03، UC-PLT-26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AC-PLT-6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UC-PLT-04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AC-PLT-5</w:t>
            </w:r>
          </w:p>
        </w:tc>
      </w:tr>
      <w:tr>
        <w:trPr>
          <w:cantSplit/>
        </w:trPr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UC-PLT-05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AC-PLT-7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UC-PLT-06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AC-PLT-7</w:t>
            </w:r>
          </w:p>
        </w:tc>
      </w:tr>
      <w:tr>
        <w:trPr>
          <w:cantSplit/>
        </w:trPr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UC-PLT-07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AC-PLT-8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UC-PLT-08، UC-PLT-10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AC-PLT-11</w:t>
            </w:r>
          </w:p>
        </w:tc>
      </w:tr>
      <w:tr>
        <w:trPr>
          <w:cantSplit/>
        </w:trPr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UC-PLT-09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AC-PLT-2، AC-PLT-10، AC-PLT-21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UC-PLT-11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AC-PLT-12</w:t>
            </w:r>
          </w:p>
        </w:tc>
      </w:tr>
      <w:tr>
        <w:trPr>
          <w:cantSplit/>
        </w:trPr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UC-PLT-12، UC-PLT-13، UC-PLT-14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AC-PLT-13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UC-PLT-15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AC-PLT-13، AC-PTY-1</w:t>
            </w:r>
          </w:p>
        </w:tc>
      </w:tr>
      <w:tr>
        <w:trPr>
          <w:cantSplit/>
        </w:trPr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UC-PLT-16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UC-PLT-17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AC-PLT-19</w:t>
            </w:r>
          </w:p>
        </w:tc>
      </w:tr>
      <w:tr>
        <w:trPr>
          <w:cantSplit/>
        </w:trPr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UC-PLT-18، UC-PLT-19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AC-PLT-3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UC-PLT-20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AC-PLT-14</w:t>
            </w:r>
          </w:p>
        </w:tc>
      </w:tr>
      <w:tr>
        <w:trPr>
          <w:cantSplit/>
        </w:trPr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UC-PLT-21، UC-PLT-22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AC-PLT-15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UC-PLT-23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AC-PLT-16</w:t>
            </w:r>
          </w:p>
        </w:tc>
      </w:tr>
      <w:tr>
        <w:trPr>
          <w:cantSplit/>
        </w:trPr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UC-PLT-24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AC-PLT-20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UC-PLT-25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AC-PLT-9</w:t>
            </w:r>
          </w:p>
        </w:tc>
      </w:tr>
      <w:tr>
        <w:trPr>
          <w:cantSplit/>
        </w:trPr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UC-PLT-27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AC-PLT-17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</w:tbl>
    <w:p>
      <w:pPr>
        <w:bidi/>
        <w:spacing w:after="120" w:before="0"/>
      </w:pP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96"/>
        <w:gridCol w:w="2192"/>
        <w:gridCol w:w="6576"/>
      </w:tblGrid>
      <w:tr>
        <w:trPr>
          <w:cantSplit/>
          <w:tblHeader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 في هذه الوثيقة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 أو القاعدة أو القرار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 قواعد عامة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FR-PLT-021، FR-PLT-023، FR-PLT-036، FR-PLT-041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docs/10-detailed-analysis/10-m0-m1-platform-organization.md:123-143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 الفاعلون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00 §3، مصفوفة 10-m0-m1 §2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docs/10-detailed-analysis/00-overview-and-cross-cutting.md:54-67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§3 رموز الصلاحيات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FR-PLT-017، BR-PLT-008، BR-PLT-019، DQ-F07-1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docs/10-detailed-analysis/10-m0-m1-platform-organization.md:41-69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UC-PLT-08 إلى UC-PLT-11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ADR 0002، O-24 (erd_open_items)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docs/adr/0002-login-and-session-bound-context.md، db/static/030_session_context.sql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UC-PLT-02، UC-PLT-05، UC-PLT-07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O-12 (20-database-design)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docs/20-database-design.md:540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UC-PLT-03، UC-PLT-09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O-18 (erd_open_items)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tools/dbgen/erd_open_items.py:116-120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UC-PLT-18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O-12 (erd_open_items)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tools/dbgen/erd_open_items.py:80-83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§7 و§8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سيناريوهات القبول AC-ORG-1…3، AC-PTY-1…3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docs/10-detailed-analysis/10-m0-m1-platform-organization.md:660-693</w:t>
            </w:r>
          </w:p>
        </w:tc>
      </w:tr>
    </w:tbl>
    <w:p>
      <w:pPr>
        <w:bidi/>
        <w:spacing w:after="120" w:before="0"/>
      </w:pPr>
    </w:p>
    <w:sectPr>
      <w:headerReference w:type="default" r:id="rId7"/>
      <w:footerReference w:type="default" r:id="rId8"/>
      <w:pgSz w:w="11906" w:h="16838" w:orient="portrait"/>
      <w:pgMar w:top="1134" w:right="1021" w:bottom="1134" w:left="1021" w:header="500" w:footer="500" w:gutter="0"/>
      <w:pgNumType/>
      <w:bidi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Arial" w:cs="Arial" w:eastAsia="Arial" w:hAnsi="Arial"/>
        <w:color w:val="5B6670"/>
        <w:sz w:val="17"/>
        <w:szCs w:val="17"/>
        <w:rtl/>
      </w:rPr>
      <w:t xml:space="preserve">صفحة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B6670"/>
        <w:sz w:val="17"/>
        <w:szCs w:val="17"/>
        <w:rtl/>
      </w:rPr>
      <w:t xml:space="preserve"> من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9D6" w:sz="4" w:space="4"/>
      </w:pBdr>
      <w:bidi/>
      <w:spacing w:after="0"/>
    </w:pPr>
    <w:r>
      <w:rPr>
        <w:rFonts w:ascii="Arial" w:cs="Arial" w:eastAsia="Arial" w:hAnsi="Arial"/>
        <w:color w:val="5B6670"/>
        <w:sz w:val="17"/>
        <w:szCs w:val="17"/>
        <w:rtl/>
      </w:rPr>
      <w:t xml:space="preserve">DOC-F07 · BankFas · مستندات الجاهزية P0 · 0.1 مسودة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74" w:hanging="284"/>
      </w:pPr>
    </w:lvl>
    <w:lvl w:ilvl="1" w15:tentative="1">
      <w:start w:val="1"/>
      <w:numFmt w:val="bullet"/>
      <w:lvlText w:val="–"/>
      <w:lvlJc w:val="left"/>
      <w:pPr>
        <w:ind w:left="1028" w:hanging="284"/>
      </w:pPr>
    </w:lvl>
    <w:lvl w:ilvl="2" w15:tentative="1">
      <w:start w:val="1"/>
      <w:numFmt w:val="bullet"/>
      <w:lvlText w:val="·"/>
      <w:lvlJc w:val="left"/>
      <w:pPr>
        <w:ind w:left="1482" w:hanging="284"/>
      </w:pPr>
    </w:lvl>
    <w:lvl w:ilvl="3" w15:tentative="1">
      <w:start w:val="1"/>
      <w:numFmt w:val="bullet"/>
      <w:lvlText w:val="·"/>
      <w:lvlJc w:val="left"/>
      <w:pPr>
        <w:ind w:left="1936" w:hanging="284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2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2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2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2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2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2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2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2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2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2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3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  <w:num w:numId="8">
    <w:abstractNumId w:val="8"/>
    <w:lvlOverride w:ilvl="0">
      <w:startOverride w:val="1"/>
    </w:lvlOverride>
  </w:num>
  <w:num w:numId="9">
    <w:abstractNumId w:val="9"/>
    <w:lvlOverride w:ilvl="0">
      <w:startOverride w:val="1"/>
    </w:lvlOverride>
  </w:num>
  <w:num w:numId="10">
    <w:abstractNumId w:val="10"/>
    <w:lvlOverride w:ilvl="0">
      <w:startOverride w:val="1"/>
    </w:lvlOverride>
  </w:num>
  <w:num w:numId="11">
    <w:abstractNumId w:val="11"/>
    <w:lvlOverride w:ilvl="0">
      <w:startOverride w:val="1"/>
    </w:lvlOverride>
  </w:num>
  <w:num w:numId="12">
    <w:abstractNumId w:val="12"/>
    <w:lvlOverride w:ilvl="0">
      <w:startOverride w:val="1"/>
    </w:lvlOverride>
  </w:num>
  <w:num w:numId="13">
    <w:abstractNumId w:val="13"/>
    <w:lvlOverride w:ilvl="0">
      <w:startOverride w:val="1"/>
    </w:lvlOverride>
  </w:num>
  <w:num w:numId="14">
    <w:abstractNumId w:val="14"/>
    <w:lvlOverride w:ilvl="0">
      <w:startOverride w:val="1"/>
    </w:lvlOverride>
  </w:num>
  <w:num w:numId="15">
    <w:abstractNumId w:val="15"/>
    <w:lvlOverride w:ilvl="0">
      <w:startOverride w:val="1"/>
    </w:lvlOverride>
  </w:num>
  <w:num w:numId="16">
    <w:abstractNumId w:val="16"/>
    <w:lvlOverride w:ilvl="0">
      <w:startOverride w:val="1"/>
    </w:lvlOverride>
  </w:num>
  <w:num w:numId="17">
    <w:abstractNumId w:val="17"/>
    <w:lvlOverride w:ilvl="0">
      <w:startOverride w:val="1"/>
    </w:lvlOverride>
  </w:num>
  <w:num w:numId="18">
    <w:abstractNumId w:val="18"/>
    <w:lvlOverride w:ilvl="0">
      <w:startOverride w:val="1"/>
    </w:lvlOverride>
  </w:num>
  <w:num w:numId="19">
    <w:abstractNumId w:val="19"/>
    <w:lvlOverride w:ilvl="0">
      <w:startOverride w:val="1"/>
    </w:lvlOverride>
  </w:num>
  <w:num w:numId="20">
    <w:abstractNumId w:val="20"/>
    <w:lvlOverride w:ilvl="0">
      <w:startOverride w:val="1"/>
    </w:lvlOverride>
  </w:num>
  <w:num w:numId="21">
    <w:abstractNumId w:val="21"/>
    <w:lvlOverride w:ilvl="0">
      <w:startOverride w:val="1"/>
    </w:lvlOverride>
  </w:num>
  <w:num w:numId="22">
    <w:abstractNumId w:val="22"/>
    <w:lvlOverride w:ilvl="0">
      <w:startOverride w:val="1"/>
    </w:lvlOverride>
  </w:num>
  <w:num w:numId="23">
    <w:abstractNumId w:val="23"/>
    <w:lvlOverride w:ilvl="0">
      <w:startOverride w:val="1"/>
    </w:lvlOverride>
  </w:num>
  <w:num w:numId="24">
    <w:abstractNumId w:val="24"/>
    <w:lvlOverride w:ilvl="0">
      <w:startOverride w:val="1"/>
    </w:lvlOverride>
  </w:num>
  <w:num w:numId="25">
    <w:abstractNumId w:val="25"/>
    <w:lvlOverride w:ilvl="0">
      <w:startOverride w:val="1"/>
    </w:lvlOverride>
  </w:num>
  <w:num w:numId="26">
    <w:abstractNumId w:val="26"/>
    <w:lvlOverride w:ilvl="0">
      <w:startOverride w:val="1"/>
    </w:lvlOverride>
  </w:num>
  <w:num w:numId="27">
    <w:abstractNumId w:val="27"/>
    <w:lvlOverride w:ilvl="0">
      <w:startOverride w:val="1"/>
    </w:lvlOverride>
  </w:num>
  <w:num w:numId="28">
    <w:abstractNumId w:val="28"/>
    <w:lvlOverride w:ilvl="0">
      <w:startOverride w:val="1"/>
    </w:lvlOverride>
  </w:num>
  <w:num w:numId="29">
    <w:abstractNumId w:val="29"/>
    <w:lvlOverride w:ilvl="0">
      <w:startOverride w:val="1"/>
    </w:lvlOverride>
  </w:num>
  <w:num w:numId="30">
    <w:abstractNumId w:val="30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  <w:rtl/>
        <w:lang w:val="ar-SA" w:bidi="ar-SA"/>
      </w:rPr>
    </w:rPrDefault>
    <w:pPrDefault>
      <w:pPr>
        <w:bidi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bidi/>
      <w:spacing w:after="160" w:before="0"/>
    </w:pPr>
    <w:rPr>
      <w:b/>
      <w:bCs/>
      <w:color w:val="1F3A5F"/>
      <w:sz w:val="48"/>
      <w:szCs w:val="48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1F3A5F" w:sz="8" w:space="3"/>
      </w:pBdr>
      <w:bidi/>
      <w:spacing w:after="140" w:before="380"/>
      <w:outlineLvl w:val="0"/>
    </w:pPr>
    <w:rPr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bidi/>
      <w:spacing w:after="100" w:before="260"/>
      <w:outlineLvl w:val="1"/>
    </w:pPr>
    <w:rPr>
      <w:b/>
      <w:bCs/>
      <w:color w:val="2B5C8A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bidi/>
      <w:spacing w:after="80" w:before="200"/>
      <w:outlineLvl w:val="2"/>
    </w:pPr>
    <w:rPr>
      <w:b/>
      <w:bCs/>
      <w:color w:val="2B5C8A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02221eec7a20fa010e8b23ed21df8778fbd38a28.png"/><Relationship Id="rId10" Type="http://schemas.openxmlformats.org/officeDocument/2006/relationships/image" Target="media/1703f09d1dc973feffa78fa3b84d4b2658b318a3.png"/><Relationship Id="rId11" Type="http://schemas.openxmlformats.org/officeDocument/2006/relationships/image" Target="media/a08ede12ca9564999a8be295c1c29bad7538a877.png"/><Relationship Id="rId12" Type="http://schemas.openxmlformats.org/officeDocument/2006/relationships/image" Target="media/c7fc16372e263601772c913f2f9d98cbd32c7e6c.png"/><Relationship Id="rId13" Type="http://schemas.openxmlformats.org/officeDocument/2006/relationships/image" Target="media/a78defb61e86c46b185191f35721a19b49e5e010.png"/><Relationship Id="rId14" Type="http://schemas.openxmlformats.org/officeDocument/2006/relationships/image" Target="media/020c215b1460c536be3f8e65bafd3145e5d90434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DOC-F07 — كتالوج حالات الاستخدام: المنصة والهيكل المؤسسي والأشخاص (M0 وM1)</dc:title>
  <dc:creator>Claude</dc:creator>
  <dc:description>BankFas database design document</dc:description>
  <cp:lastModifiedBy>Un-named</cp:lastModifiedBy>
  <cp:revision>1</cp:revision>
  <dcterms:created xsi:type="dcterms:W3CDTF">2026-10-13T14:58:35.190Z</dcterms:created>
  <dcterms:modified xsi:type="dcterms:W3CDTF">2026-10-13T14:58:35.190Z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