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pPr>
        <w:bidi/>
        <w:spacing w:after="50" w:before="0"/>
        <w:ind w:left="0"/>
      </w:pPr>
      <w:hyperlink w:history="1" w:anchor="_sec25">
        <w:r>
          <w:rPr>
            <w:rFonts w:ascii="Arial" w:cs="Arial" w:eastAsia="Arial" w:hAnsi="Arial"/>
            <w:b/>
            <w:bCs/>
            <w:color w:val="1F3A5F"/>
            <w:sz w:val="20"/>
            <w:szCs w:val="20"/>
            <w:rtl/>
          </w:rPr>
          <w:t xml:space="preserve">9. ملحق S1-ب (2026-10-22)</w:t>
        </w:r>
      </w:hyperlink>
    </w:p>
    <w:p>
      <w:pPr>
        <w:bidi/>
        <w:spacing w:after="50" w:before="0"/>
        <w:ind w:left="0"/>
      </w:pPr>
      <w:hyperlink w:history="1" w:anchor="_sec26">
        <w:r>
          <w:rPr>
            <w:rFonts w:ascii="Arial" w:cs="Arial" w:eastAsia="Arial" w:hAnsi="Arial"/>
            <w:b/>
            <w:bCs/>
            <w:color w:val="1F3A5F"/>
            <w:sz w:val="20"/>
            <w:szCs w:val="20"/>
            <w:rtl/>
          </w:rPr>
          <w:t xml:space="preserve">10. ملحق S2 (2026-10-22)</w:t>
        </w:r>
      </w:hyperlink>
    </w:p>
    <w:p>
      <w:pPr>
        <w:bidi/>
        <w:spacing w:after="50" w:before="0"/>
        <w:ind w:left="0"/>
      </w:pPr>
      <w:hyperlink w:history="1" w:anchor="_sec27">
        <w:r>
          <w:rPr>
            <w:rFonts w:ascii="Arial" w:cs="Arial" w:eastAsia="Arial" w:hAnsi="Arial"/>
            <w:b/>
            <w:bCs/>
            <w:color w:val="1F3A5F"/>
            <w:sz w:val="20"/>
            <w:szCs w:val="20"/>
            <w:rtl/>
          </w:rPr>
          <w:t xml:space="preserve">11. ملحق S2-ب (2026-10-23)</w:t>
        </w:r>
      </w:hyperlink>
    </w:p>
    <w:p>
      <w:pPr>
        <w:bidi/>
        <w:spacing w:after="50" w:before="0"/>
        <w:ind w:left="0"/>
      </w:pPr>
      <w:hyperlink w:history="1" w:anchor="_sec28">
        <w:r>
          <w:rPr>
            <w:rFonts w:ascii="Arial" w:cs="Arial" w:eastAsia="Arial" w:hAnsi="Arial"/>
            <w:b/>
            <w:bCs/>
            <w:color w:val="1F3A5F"/>
            <w:sz w:val="20"/>
            <w:szCs w:val="20"/>
            <w:rtl/>
          </w:rPr>
          <w:t xml:space="preserve">12. ملحق S3 (2026-10-23)</w:t>
        </w:r>
      </w:hyperlink>
    </w:p>
    <w:p>
      <w:pPr>
        <w:bidi/>
        <w:spacing w:after="50" w:before="0"/>
        <w:ind w:left="0"/>
      </w:pPr>
      <w:hyperlink w:history="1" w:anchor="_sec29">
        <w:r>
          <w:rPr>
            <w:rFonts w:ascii="Arial" w:cs="Arial" w:eastAsia="Arial" w:hAnsi="Arial"/>
            <w:b/>
            <w:bCs/>
            <w:color w:val="1F3A5F"/>
            <w:sz w:val="20"/>
            <w:szCs w:val="20"/>
            <w:rtl/>
          </w:rPr>
          <w:t xml:space="preserve">13. ملحق S4 (2026-10-24)</w:t>
        </w:r>
      </w:hyperlink>
    </w:p>
    <w:p>
      <w:pPr>
        <w:bidi/>
        <w:spacing w:after="50" w:before="0"/>
        <w:ind w:left="0"/>
      </w:pPr>
      <w:hyperlink w:history="1" w:anchor="_sec30">
        <w:r>
          <w:rPr>
            <w:rFonts w:ascii="Arial" w:cs="Arial" w:eastAsia="Arial" w:hAnsi="Arial"/>
            <w:b/>
            <w:bCs/>
            <w:color w:val="1F3A5F"/>
            <w:sz w:val="20"/>
            <w:szCs w:val="20"/>
            <w:rtl/>
          </w:rPr>
          <w:t xml:space="preserve">14. ملحق S5 (2026-10-24)</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9. ملحق S1-ب (2026-10-22)</w:t>
      </w:r>
      <w:bookmarkEnd w:id="25"/>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1"/>
        <w:bidi/>
      </w:pPr>
      <w:bookmarkStart w:name="_sec26" w:id="26"/>
      <w:r>
        <w:rPr>
          <w:rFonts w:ascii="Arial" w:cs="Arial" w:eastAsia="Arial" w:hAnsi="Arial"/>
          <w:b/>
          <w:bCs/>
          <w:color w:val="1F3A5F"/>
          <w:sz w:val="32"/>
          <w:szCs w:val="32"/>
          <w:rtl/>
        </w:rPr>
        <w:t xml:space="preserve">10. ملحق S2 (2026-10-22)</w:t>
      </w:r>
      <w:bookmarkEnd w:id="26"/>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وAC-FAC-11 وAC-FAC-12 معياران إلزاميان للخروج، بعد أن اعتمد المالك OQ-1 وOQ-17 في 2026-10-23.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p>
      <w:pPr>
        <w:pStyle w:val="Heading1"/>
        <w:bidi/>
      </w:pPr>
      <w:bookmarkStart w:name="_sec27" w:id="27"/>
      <w:r>
        <w:rPr>
          <w:rFonts w:ascii="Arial" w:cs="Arial" w:eastAsia="Arial" w:hAnsi="Arial"/>
          <w:b/>
          <w:bCs/>
          <w:color w:val="1F3A5F"/>
          <w:sz w:val="32"/>
          <w:szCs w:val="32"/>
          <w:rtl/>
        </w:rPr>
        <w:t xml:space="preserve">11. ملحق S2-ب (2026-10-23)</w:t>
      </w:r>
      <w:bookmarkEnd w:id="27"/>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ADR 0044). الخروج بالافتراضين OQ-11 وOQ-17، وقد اعتمدهما المالك في 2026-10-23: </w:t>
      </w:r>
      <w:r>
        <w:rPr>
          <w:rFonts w:ascii="Arial" w:cs="Arial" w:eastAsia="Arial" w:hAnsi="Arial"/>
          <w:b/>
          <w:bCs/>
          <w:sz w:val="21"/>
          <w:szCs w:val="21"/>
          <w:rtl/>
        </w:rPr>
        <w:t xml:space="preserve">AC-FAC-7</w:t>
      </w:r>
      <w:r>
        <w:rPr>
          <w:rFonts w:ascii="Arial" w:cs="Arial" w:eastAsia="Arial" w:hAnsi="Arial"/>
          <w:b w:val="false"/>
          <w:bCs w:val="false"/>
          <w:sz w:val="21"/>
          <w:szCs w:val="21"/>
          <w:rtl/>
        </w:rPr>
        <w:t xml:space="preserve"> مقسومًا على معطياته، و</w:t>
      </w:r>
      <w:r>
        <w:rPr>
          <w:rFonts w:ascii="Arial" w:cs="Arial" w:eastAsia="Arial" w:hAnsi="Arial"/>
          <w:b/>
          <w:bCs/>
          <w:sz w:val="21"/>
          <w:szCs w:val="21"/>
          <w:rtl/>
        </w:rPr>
        <w:t xml:space="preserve">AC-FAC-13</w:t>
      </w:r>
      <w:r>
        <w:rPr>
          <w:rFonts w:ascii="Arial" w:cs="Arial" w:eastAsia="Arial" w:hAnsi="Arial"/>
          <w:b w:val="false"/>
          <w:bCs w:val="false"/>
          <w:sz w:val="21"/>
          <w:szCs w:val="21"/>
          <w:rtl/>
        </w:rPr>
        <w:t xml:space="preserve"> الجديد، ومعهما AC-FIN-1 إلى 9، وهي اختبارات الدفعات من B إلى G.</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3041"/>
        <w:gridCol w:w="4799"/>
        <w:gridCol w:w="972"/>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على قائمة مدققة منفردة: 12,000,000 ÷ 10,500,000 = 1.142857، مخالفة بهامش ‎−0.057143 (‎−4.76%‎)، وتُفتح مخالفة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‎AcFac7Tests.Given_a_current_ratio_below_*‎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(2)</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من مدير الخزينة يجعل المخالفة WAIVED، ويبقى الاختبار BREACH، ويزول سبب الأحمر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‎AcFac7Tests.Given_a_waiver_*‎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(3)</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العرض بأصول متداولة 12,800,000: التقييم 2 بقيمة 1.219048 وإنذار (1.59%)، وNeedsReview، ولا إغلاق</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‎AcFac7Tests.Given_a_restatement_*‎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(4)</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على 620,000 و480,000 و700,000: «كل شهر» 480,000 مخالفة (‎−4%‎)، و«متوسط الفترة» 600,000 ممتثل (‎+20%‎)</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‎AcFac7Tests.Given_monthly_balances_*‎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(5)</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من إيراد 100,000,000: تحويل 14,200,000 يعطي 14.2% مخالفة ويبقى 800,000، و15,900,000 يعطي 15.9% إنذارًا (6%)</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‎AcFac7Tests.Given_a_share_of_revenue_*‎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(6)</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 بلا حد وقيمته 2.0: النتيجة NOT_ASSESSED_NO_THRESHOLD، لا «ممتثل»، واللون لا يتغير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‎AcFac7Tests.Given_no_threshold_*‎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(7)</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تنتهي 2026-09-30 بمهلة 30 يومًا بلا أرصدة: PENDING_DATA حتى 2026-10-30، ثم MISSING_DATA وFIN.DATA_MISSING في 2026-10-31 (ساعة مُحقَنة)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(8)</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لا يعتمد قائمته وإن حمل الصلاحيتين</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‎AcFac7Tests.Given_one_user_with_both_*‎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AC-FAC-13 (جديد)</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الاتفاقيتان C وD من DS-AGR مع حزمة DS-FIN-C الاصطناعية عبر الواجهة. لوحة C في 2028-02-15: كل تعهد مقيس بآخر نتيجة وهامش؛ ولون أحمر بأسبابه (مخالفة غير متنازل عنها، ومخالفة مفتوحة، وسريان غير مؤكد)؛ وصافي القيمة الملموسة أعيد تقييمه بعد إعادة العرض بالتقييم 2 ممتثلًا، ومخالفته معلَّمة للمراجعة؛ وعدادات العائلات؛ والنزول إلى مدخلات الاختبار. وتعهدات D الثلاثة بلا حد عدّاد لا لون. والتسهيل بلا التزامات رمادي. وصف R-OBL-05 يطابق R-OBL-04. والزمن دون ثانيتين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‎S2bExitTests.AC_FAC_13_*‎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S2-ب وإعداداتها في حساب جديد، وحراسات 063</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‎FinanceFoundationTests‎</w:t>
            </w:r>
            <w:r>
              <w:rPr>
                <w:rFonts w:ascii="Arial" w:cs="Arial" w:eastAsia="Arial" w:hAnsi="Arial"/>
                <w:b w:val="false"/>
                <w:bCs w:val="false"/>
                <w:sz w:val="18"/>
                <w:szCs w:val="18"/>
                <w:rtl/>
              </w:rPr>
              <w:t xml:space="preserve"> (اثنان)</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AC-FIN-2</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الإدخال والتوازن والتقديم والاعتماد من غير المُعِدّ والإصدارات</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‎StatementTests.Statement_entry_*‎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AC-FIN-3</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ووحداتها، وتقديرات الإيراد، والكتالوج، واللصق بمعاينة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‎StatementTests.Consolidation_*‎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AC-FIN-4</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الأرصدة الشهرية: إدخال وتأكيد وإعادة فتح بمستخدمين مختلفين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‎MonthlyFigureTests.Monthly_balances_*‎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AC-FIN-5</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التحويلات بمستوى واحد، والأداء في تاريخ (BR-FIN-017)، وإغلاق الفترة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‎MonthlyFigureTests.Bank_flows_*‎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AC-FIN-6</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الرفض عند الحفظ بالموضع، والإصدار والاعتماد، والحساب على قائمة. ومحلل Core بكل قالب</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‎FormulaTests‎</w:t>
            </w:r>
            <w:r>
              <w:rPr>
                <w:rFonts w:ascii="Arial" w:cs="Arial" w:eastAsia="Arial" w:hAnsi="Arial"/>
                <w:b w:val="false"/>
                <w:bCs w:val="false"/>
                <w:sz w:val="18"/>
                <w:szCs w:val="18"/>
                <w:rtl/>
              </w:rPr>
              <w:t xml:space="preserve"> (تكامل ووحدة)</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AC-FIN-7</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الاختبارات من نهاية السنة المالية، والمحرك، والمخالفات وNeedsReview، والقيمة اليدوية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‎CovenantEngineTests‎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‎CovenantPeriodsTests‎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‎CovenantJudgeTests‎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AC-FIN-8</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المحلول CA2 عبر الواجهة بأرقام المرجع، ورفض التقديم بعد تغيّر ما قُرئ، والتجريبي يبقى مسودة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‎CreditTests.CA2_*‎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AC-FIN-9</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CA23 عبر العامل، والجاهزية، والتصنيفات، والتصديق (AU ينجح وTM يُرفض)، وثبات بصمة حزمة الأدلة، واعتماد نسبة الخسارة من غير مُعِدّها</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‎ReadinessTests‎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يغطيه هذا الملحق مكتوب في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ومنه: لا اختبار متصفح لـ S2-ب، وتحوّل AMBER إلى RED في CA23 مغطى في اختبار القاعدة وحده.</w:t>
      </w:r>
    </w:p>
    <w:p>
      <w:pPr>
        <w:bidi/>
        <w:spacing w:after="110" w:before="0" w:line="312"/>
      </w:pPr>
      <w:r>
        <w:rPr>
          <w:rFonts w:ascii="Arial" w:cs="Arial" w:eastAsia="Arial" w:hAnsi="Arial"/>
          <w:b w:val="false"/>
          <w:bCs w:val="false"/>
          <w:sz w:val="21"/>
          <w:szCs w:val="21"/>
          <w:rtl/>
        </w:rPr>
        <w:t xml:space="preserve">تنبيه على الحزمة DS-FIN-C: كتبها وكيل ذكاء اصطناعي، وأرقامها مخترعة. أدوار المُعِدّ والمراجع والمعتمِد تُوقَّع قبل UAT، وحالتها في البيان PROPOSED.</w:t>
      </w:r>
    </w:p>
    <w:p>
      <w:pPr>
        <w:pStyle w:val="Heading1"/>
        <w:bidi/>
      </w:pPr>
      <w:bookmarkStart w:name="_sec28" w:id="28"/>
      <w:r>
        <w:rPr>
          <w:rFonts w:ascii="Arial" w:cs="Arial" w:eastAsia="Arial" w:hAnsi="Arial"/>
          <w:b/>
          <w:bCs/>
          <w:color w:val="1F3A5F"/>
          <w:sz w:val="32"/>
          <w:szCs w:val="32"/>
          <w:rtl/>
        </w:rPr>
        <w:t xml:space="preserve">12. ملحق S3 (2026-10-23)</w:t>
      </w:r>
      <w:bookmarkEnd w:id="28"/>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ADR 0045). بُني S3 على الافتراضات التسعة عشر (OQ-1 إلى OQ-19) في موجزه،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مسار الخروج بالافتراض OQ-19: </w:t>
      </w:r>
      <w:r>
        <w:rPr>
          <w:rFonts w:ascii="Arial" w:cs="Arial" w:eastAsia="Arial" w:hAnsi="Arial"/>
          <w:b/>
          <w:bCs/>
          <w:sz w:val="21"/>
          <w:szCs w:val="21"/>
          <w:rtl/>
        </w:rPr>
        <w:t xml:space="preserve">AC-REQ-1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AC-WFL-3</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AC-LCI-1</w:t>
      </w:r>
      <w:r>
        <w:rPr>
          <w:rFonts w:ascii="Arial" w:cs="Arial" w:eastAsia="Arial" w:hAnsi="Arial"/>
          <w:b w:val="false"/>
          <w:bCs w:val="false"/>
          <w:sz w:val="21"/>
          <w:szCs w:val="21"/>
          <w:rtl/>
        </w:rPr>
        <w:t xml:space="preserve">، ومعها اختبارات التعديلات والطابور والتفويض والمهل، وAC-FAC-12 عبر الخطاف، والخروج على البيانات الاصطناعية بالافتراض OQ-13.</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كُتبت الاختبارات مع البناء ثم شُغِّلت كلها في الفحص الكامل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على الإيداع 5991dad: 157 اختبار وحدة، واختبار المتصفح، و104 اختبارات تكامل، كلها ناجحة. ونجح فحص قاعدة البيانات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كله على a9f8d5f. وكشفت الدورات قبله أخطاء أُصلحت (§5 من docs/48): كلمة محجوزة في لوحة المدير، وجمود في قاعدة البيانات تحت التزامن، وساعة التفويض.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3"/>
        <w:gridCol w:w="2476"/>
        <w:gridCol w:w="4955"/>
        <w:gridCol w:w="970"/>
      </w:tblGrid>
      <w:tr>
        <w:trPr>
          <w:cantSplit/>
          <w:tblHeader/>
        </w:trPr>
        <w:tc>
          <w:tcPr>
            <w:tcW w:type="dxa" w:w="1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AC-REQ-1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شراء من المسودة إلى الإغلاق: الشروط وفحصها (V-LCT) وقفلها عند التقديم؛ موافقة المدير المباشر؛ الرقم مع الأصل الموقّع؛ اختيار الخط؛ حجز 3,000,000 مع التسامح 5% = 3,150,000 عند موافقة مدير الخزينة؛ مرجع ERP والموافقة الثانية؛ تسجيل التنفيذ بإيصال البنك (V-LCI-RECEIPT دونه)؛ الإصدار يحوّل الحجز إلى استخدام في معاملة واحدة؛ الإغلاق</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‎PurchaseLcTests.AC_REQ_1_*‎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يجد الاعتماد برقمه مكتوبًا بشكل آخر؛ تقديم ضمن الانكشاف وآخر فوقه مرفوض (V-LCI-05)؛ قبول البنك والسداد يخفضان الاستخدام؛ الإغلاق ينتظر التقديمات المفتوحة؛ والتسوية الليلية لا تجد فرقًا؛ واعتماد بعد انتهائه EXPIRED بالمهمة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‎PurchaseLcTests.An_issued_credit_*‎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 وAC-WFL-7</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500,000 تُحجز عند موافقة مدير الخزينة، وتعديل ثانٍ مرفوض وهي مفتوحة (V-LCI-07)، وقبول المستفيد يطبقها؛ وزيادة ثانية مرفوضة INSUFFICIENT_AVAILABLE</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‎PurchaseLcTests.An_increase_*‎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على حد واحد: الثاني مرفوض حتى يُلغى الأول</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‎PurchaseLcTests.AC_WFL_3_*‎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 (فصل المهام)</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اختار الخط لا يوافق على حجزه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‎PurchaseLcTests.The_user_who_chose_*‎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المنتهي يُفرج عنه ويفقده الطلب</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‎PurchaseLcTests.An_expired_reservation_*‎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يوافق عن المدير، والتفويض الملغى لا يُظهر شيئًا</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سباق الاستلام، والإفراج وإعادة الإسناد، والحالة الفرعية التي توقف المهلة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‎WorkflowQueueTests.AC_WFL_2_*‎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المهل: «في خطر» مرة، و«متجاوز» مرة، والتصعيد عند الفتح التالي</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‎WorkflowQueueTests.AC_WFL_5_*‎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بعد 24 و48 و72 ساعة عمل، والموافقة تنهيه</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‎WorkflowQueueTests.AC_WFL_10_*‎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الستة منشورة لكل مشترك جديد بخطافاتها، والمنشور لا يُعدّل</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‎WorkflowFoundationTests.A_new_account_*‎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عبر الخطاف (NFR-PERF-03)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طلب بـ 100,000 بلا تسامح على خط 4,000,000، تُعدّ واحدًا بعد واحد، ثم مئة موافقة لمدير الخزينة في آن واحد: أربعون تنجح وتحجز 4,000,000، وستون مرفوضة INSUFFICIENT_AVAILABLE لا تحجز شيئًا؛ وإعادة الإرسال بالمفاتيح نفسها لا تغير شيئًا</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‎PurchaseLcTests.AC_FAC_12_*_over_HTTP‎</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IBAN والطباعة ونموذج البنك واللوحات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مرفوض برقم تحقق خاطئ، ويُختم ويُعرض مقنّعًا، ويُقفل مع الشروط، ولا يُكشف إلا لحامل lc.view.internal بسبب؛ الشروط المطبوعة بسياسة CSP خاصة وحاشية UCP لا تُطفأ ما دامت مادة مستعملة غير محققة؛ نموذج البنك ينتظر قالبًا فعالًا ثم يملأ أهدافه ويعدّ الناقص الإلزامي؛ واللوحات الثلاث بحسب الصلاحية</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‎PurchaseLcTests.The_IBAN_the_printed_terms_*‎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خروج S3 على DS-LC-C (OQ-13)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الاعتمادات في الاتفاقية C (50,000,000) مع الاعتمادات الأربعة في الحزمة: اثنان يُصدران (13,200,000 و21,000,000)، والأول يُسحب منه 5,000,000 ويُسدد؛ والثالث يُعتمد ويبقى حجزه 19,800,000؛ والرابع يحتاج 2,000,000 والمتبقي 1,000,000 فتُرفض موافقته. وأرقام الخط بعد كل خطوة كما في الحزمة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‎PurchaseLcTests.S3_exit_*‎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العام ومحرك الطلبات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المسودة إلى الإغلاق، والإعادة دورة جديدة، والتعليقات الداخلية، والاستلامان المتزامنان، والإلغاء</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‎RequestEngineTests‎</w:t>
            </w:r>
            <w:r>
              <w:rPr>
                <w:rFonts w:ascii="Arial" w:cs="Arial" w:eastAsia="Arial" w:hAnsi="Arial"/>
                <w:b w:val="false"/>
                <w:bCs w:val="false"/>
                <w:sz w:val="18"/>
                <w:szCs w:val="18"/>
                <w:rtl/>
              </w:rPr>
              <w:t xml:space="preserve"> (أربعة)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البنود وتحويل الحقول</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نص البند من المعاملات، ومراجع UCP، وتحويلات النموذج (الحروف الكبيرة والتاريخ والهجري والمربع)</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‎ClauseTextTests‎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‎FormFieldTransformTests‎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BR-FAC-021 مرجع المنصة (طلب المالك)</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رمزا الشركة والبنك يؤخذان من رمزيهما، والرمز بشكل آخر مرفوض، ورمز البنك المكرر مرفوض؛ تسهيل بلا فئة لا يُعتمد (V-FAC-REF)؛ الاعتماد الأول يكتب </w:t>
            </w:r>
            <w:r>
              <w:rPr>
                <w:rFonts w:ascii="Courier New" w:cs="Courier New" w:eastAsia="Courier New" w:hAnsi="Courier New"/>
                <w:b w:val="false"/>
                <w:bCs w:val="false"/>
                <w:color w:val="1F2937"/>
                <w:sz w:val="16"/>
                <w:szCs w:val="16"/>
                <w:shd w:fill="F1F3F5" w:color="auto" w:val="clear"/>
                <w:rtl/>
              </w:rPr>
              <w:t xml:space="preserve">‎IMP-SNB-CAP-yy‎</w:t>
            </w:r>
            <w:r>
              <w:rPr>
                <w:rFonts w:ascii="Arial" w:cs="Arial" w:eastAsia="Arial" w:hAnsi="Arial"/>
                <w:b w:val="false"/>
                <w:bCs w:val="false"/>
                <w:sz w:val="18"/>
                <w:szCs w:val="18"/>
                <w:rtl/>
              </w:rPr>
              <w:t xml:space="preserve">، والفئة لا تتغير بعده، وتغيير رمز الشركة لا يغير المرجع المكتوب؛ تسهيل ثانٍ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والبحث يجده؛ والتجديد يرث الجذع بسنته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‎FacilityTests.BR_FAC_021_*‎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‎FacilityReferenceTests‎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المتصفح (مقطع S3)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المدير، وصندوق المهام، وقوالب نماذج البنوك في بوابة المشترك</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‎e2e/s0.spec.ts‎</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تنبيه على الحزمة DS-LC-C: كتبها وكيل ذكاء اصطناعي، وأرقامها ومورّدوها مخترعون. تُحمَّل الاتفاقية C في الاختبار بعد نقل تواريخها بأشهر كاملة لتكون سارية في يوم التشغيل؛ والملف نفسه لا يتغير وبصمته تُفحص. أدوار المُعِدّ والمراجع والمعتمِد تُوقَّع قبل UAT، وحالتها في البيان PROPOSED.</w:t>
      </w:r>
    </w:p>
    <w:p>
      <w:pPr>
        <w:pStyle w:val="Heading1"/>
        <w:bidi/>
      </w:pPr>
      <w:bookmarkStart w:name="_sec29" w:id="29"/>
      <w:r>
        <w:rPr>
          <w:rFonts w:ascii="Arial" w:cs="Arial" w:eastAsia="Arial" w:hAnsi="Arial"/>
          <w:b/>
          <w:bCs/>
          <w:color w:val="1F3A5F"/>
          <w:sz w:val="32"/>
          <w:szCs w:val="32"/>
          <w:rtl/>
        </w:rPr>
        <w:t xml:space="preserve">13. ملحق S4 (2026-10-24)</w:t>
      </w:r>
      <w:bookmarkEnd w:id="29"/>
    </w:p>
    <w:p>
      <w:pPr>
        <w:bidi/>
        <w:spacing w:after="110" w:before="0" w:line="312"/>
      </w:pPr>
      <w:r>
        <w:rPr>
          <w:rFonts w:ascii="Arial" w:cs="Arial" w:eastAsia="Arial" w:hAnsi="Arial"/>
          <w:b w:val="false"/>
          <w:bCs w:val="false"/>
          <w:sz w:val="21"/>
          <w:szCs w:val="21"/>
          <w:rtl/>
        </w:rPr>
        <w:t xml:space="preserve">كتبه وكيل ذكاء اصطناعي مع بناء S4 (</w:t>
      </w:r>
      <w:r>
        <w:rPr>
          <w:rFonts w:ascii="Courier New" w:cs="Courier New" w:eastAsia="Courier New" w:hAnsi="Courier New"/>
          <w:b w:val="false"/>
          <w:bCs w:val="false"/>
          <w:color w:val="1F2937"/>
          <w:sz w:val="18"/>
          <w:szCs w:val="18"/>
          <w:shd w:fill="F1F3F5" w:color="auto" w:val="clear"/>
          <w:rtl/>
        </w:rPr>
        <w:t xml:space="preserve">‎docs/49‎</w:t>
      </w:r>
      <w:r>
        <w:rPr>
          <w:rFonts w:ascii="Arial" w:cs="Arial" w:eastAsia="Arial" w:hAnsi="Arial"/>
          <w:b w:val="false"/>
          <w:bCs w:val="false"/>
          <w:sz w:val="21"/>
          <w:szCs w:val="21"/>
          <w:rtl/>
        </w:rPr>
        <w:t xml:space="preserve">، ADR 0049). بُني S4 على الافتراضات الاثني عشر (OQ-1 إلى OQ-12) في </w:t>
      </w:r>
      <w:r>
        <w:rPr>
          <w:rFonts w:ascii="Courier New" w:cs="Courier New" w:eastAsia="Courier New" w:hAnsi="Courier New"/>
          <w:b w:val="false"/>
          <w:bCs w:val="false"/>
          <w:color w:val="1F2937"/>
          <w:sz w:val="18"/>
          <w:szCs w:val="18"/>
          <w:shd w:fill="F1F3F5" w:color="auto" w:val="clear"/>
          <w:rtl/>
        </w:rPr>
        <w:t xml:space="preserve">‎docs/49‎</w:t>
      </w:r>
      <w:r>
        <w:rPr>
          <w:rFonts w:ascii="Arial" w:cs="Arial" w:eastAsia="Arial" w:hAnsi="Arial"/>
          <w:b w:val="false"/>
          <w:bCs w:val="false"/>
          <w:sz w:val="21"/>
          <w:szCs w:val="21"/>
          <w:rtl/>
        </w:rPr>
        <w:t xml:space="preserve"> §4،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مسار الخروج: </w:t>
      </w:r>
      <w:r>
        <w:rPr>
          <w:rFonts w:ascii="Arial" w:cs="Arial" w:eastAsia="Arial" w:hAnsi="Arial"/>
          <w:b/>
          <w:bCs/>
          <w:sz w:val="21"/>
          <w:szCs w:val="21"/>
          <w:rtl/>
        </w:rPr>
        <w:t xml:space="preserve">AC-LCE-1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AC-LCE-2</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AC-LCE-3</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كُتبت الاختبارات مع البناء، ثم شُغِّلت كلها في الفحص الكامل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في 2026-10-25 مع S5: 165 اختبار وحدة، واختبار المتصفح، و121 اختبار تكامل، كلها ناجحة. وكشف الفحص اختبار S3 لعدد الأنواع المبذورة لم يُحدَّث مع S4، فحُدّث (</w:t>
      </w:r>
      <w:r>
        <w:rPr>
          <w:rFonts w:ascii="Courier New" w:cs="Courier New" w:eastAsia="Courier New" w:hAnsi="Courier New"/>
          <w:b w:val="false"/>
          <w:bCs w:val="false"/>
          <w:color w:val="1F2937"/>
          <w:sz w:val="18"/>
          <w:szCs w:val="18"/>
          <w:shd w:fill="F1F3F5" w:color="auto" w:val="clear"/>
          <w:rtl/>
        </w:rPr>
        <w:t xml:space="preserve">‎docs/50‎</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6"/>
        <w:gridCol w:w="2666"/>
        <w:gridCol w:w="4391"/>
        <w:gridCol w:w="991"/>
      </w:tblGrid>
      <w:tr>
        <w:trPr>
          <w:cantSplit/>
          <w:tblHeader/>
        </w:trPr>
        <w:tc>
          <w:tcPr>
            <w:tcW w:type="dxa" w:w="1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AC-LCE-1</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من الطلب إلى الإصدار: بندان (1 LOT × 3,000,000 و2,400 M × 222.80)، والمجموع 3,534,720، والضريبة 15% = 530,208، والإجمالي 4,064,928؛ تقديم بلا بند مرفوض (V-LCE-03)؛ رقم </w:t>
            </w:r>
            <w:r>
              <w:rPr>
                <w:rFonts w:ascii="Courier New" w:cs="Courier New" w:eastAsia="Courier New" w:hAnsi="Courier New"/>
                <w:b w:val="false"/>
                <w:bCs w:val="false"/>
                <w:color w:val="1F2937"/>
                <w:sz w:val="16"/>
                <w:szCs w:val="16"/>
                <w:shd w:fill="F1F3F5" w:color="auto" w:val="clear"/>
                <w:rtl/>
              </w:rPr>
              <w:t xml:space="preserve">‎001-XX05-yy‎</w:t>
            </w:r>
            <w:r>
              <w:rPr>
                <w:rFonts w:ascii="Arial" w:cs="Arial" w:eastAsia="Arial" w:hAnsi="Arial"/>
                <w:b w:val="false"/>
                <w:bCs w:val="false"/>
                <w:sz w:val="18"/>
                <w:szCs w:val="18"/>
                <w:rtl/>
              </w:rPr>
              <w:t xml:space="preserve"> بلا فجوات لكل شركة؛ شركة بلا رمز ERP يُرفض إصدارها ولا تأخذ رقمًا (V-LCE-01)؛ الوثيقة مختومة وفيها الرقم؛ النسخ يأخذ 002 ويحل محل 001؛ الإلغاء لمدير الخزينة بتأكيد جديد، ويبقى الرقم مستعملًا، والإلغاء الثاني مرفوض</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‎ProformaTests.AC_LCE_1_*‎</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AC-LCE-2</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بـ 400,000 و300,000 يُحجزان، والثالث بـ 400,000 مرفوض (V-LCE-05)؛ مستندات 350,000 على الأمر الأول، ورفض البنك يعيد كل شيء؛ ثم 350,000 بين الأمر الثاني والمتاح؛ ومعادلة الأرصدة ثابتة في كل خطوة؛ والبحث يجد الاعتماد برقمه مكتوبًا بشكل آخر، ولا يرى موظف المبيعات المراجع الداخلية</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‎SalesLcTests.AC_LCE_2_and_3_*‎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‎SalesRulesTests‎</w:t>
            </w:r>
            <w:r>
              <w:rPr>
                <w:rFonts w:ascii="Arial" w:cs="Arial" w:eastAsia="Arial" w:hAnsi="Arial"/>
                <w:b w:val="false"/>
                <w:bCs w:val="false"/>
                <w:sz w:val="18"/>
                <w:szCs w:val="18"/>
                <w:rtl/>
              </w:rPr>
              <w:t xml:space="preserve"> (وحدة)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AC-LCE-3</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المبلغ بـ 300,000 مع 800,000 محجوز ومسحوب ينقصه 100,000 فيُرفض (V-LCE-11)، وبـ 200,000 يُقبل ويُنشئ نسخة شروط جديدة</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‎SalesLcTests.AC_LCE_2_and_3_*‎</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 وLC.RECEIVED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يزيد على إجمالي البروفورما تنبيه يُقَرّ بسبب؛ والإشعار يصل إلى طالب البروفورما؛ والسجل يعدّ الاعتماد</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وBR-LCT-021</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مع البروفورما: 90 يومًا مقابل 120 أسوأ لنا، والتأكيد أفضل لنا، والمبلغ الأكبر أفضل لنا؛ وتصير REVIEWED بعد قرار كل فرق</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‎TermsComparisonTests‎</w:t>
            </w:r>
            <w:r>
              <w:rPr>
                <w:rFonts w:ascii="Arial" w:cs="Arial" w:eastAsia="Arial" w:hAnsi="Arial"/>
                <w:b w:val="false"/>
                <w:bCs w:val="false"/>
                <w:sz w:val="18"/>
                <w:szCs w:val="18"/>
                <w:rtl/>
              </w:rPr>
              <w:t xml:space="preserve"> (وحدة)</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يُتنازل عنها فتعود المستندات مقدَّمة؛ وأخرى تُرفض فتُرفض المستندات ويعود المبلغ؛ ولا يقرر المخالفة إلا صاحب الصلاحية</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الليلية</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 تذكّر مرة واحدة بعد 30 يومًا لا قبلها؛ وJOB-LC-RECONCILE لا تجد فرقًا؛ وJOB-LC-EXPIRY تجعل الاعتماد EXPIRED فلا يقبل أمرًا جديدًا (LC_NOT_ACTIVE)</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(مقطع S4)</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شاشتا البروفورما والاعتمادات الواردة تفتحان، ولا رابط لهما لمن لا صلاحية له</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‎e2e/s0.spec.ts‎</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14. ملحق S5 (2026-10-24)</w:t>
      </w:r>
      <w:bookmarkEnd w:id="30"/>
    </w:p>
    <w:p>
      <w:pPr>
        <w:bidi/>
        <w:spacing w:after="110" w:before="0" w:line="312"/>
      </w:pPr>
      <w:r>
        <w:rPr>
          <w:rFonts w:ascii="Arial" w:cs="Arial" w:eastAsia="Arial" w:hAnsi="Arial"/>
          <w:b w:val="false"/>
          <w:bCs w:val="false"/>
          <w:sz w:val="21"/>
          <w:szCs w:val="21"/>
          <w:rtl/>
        </w:rPr>
        <w:t xml:space="preserve">كتبه وكيل ذكاء اصطناعي مع بناء S5 (</w:t>
      </w:r>
      <w:r>
        <w:rPr>
          <w:rFonts w:ascii="Courier New" w:cs="Courier New" w:eastAsia="Courier New" w:hAnsi="Courier New"/>
          <w:b w:val="false"/>
          <w:bCs w:val="false"/>
          <w:color w:val="1F2937"/>
          <w:sz w:val="18"/>
          <w:szCs w:val="18"/>
          <w:shd w:fill="F1F3F5" w:color="auto" w:val="clear"/>
          <w:rtl/>
        </w:rPr>
        <w:t xml:space="preserve">‎docs/50‎</w:t>
      </w:r>
      <w:r>
        <w:rPr>
          <w:rFonts w:ascii="Arial" w:cs="Arial" w:eastAsia="Arial" w:hAnsi="Arial"/>
          <w:b w:val="false"/>
          <w:bCs w:val="false"/>
          <w:sz w:val="21"/>
          <w:szCs w:val="21"/>
          <w:rtl/>
        </w:rPr>
        <w:t xml:space="preserve">، ADR 0050). بُني S5 على الافتراضات الثمانية (OQ-1 إلى OQ-8) في </w:t>
      </w:r>
      <w:r>
        <w:rPr>
          <w:rFonts w:ascii="Courier New" w:cs="Courier New" w:eastAsia="Courier New" w:hAnsi="Courier New"/>
          <w:b w:val="false"/>
          <w:bCs w:val="false"/>
          <w:color w:val="1F2937"/>
          <w:sz w:val="18"/>
          <w:szCs w:val="18"/>
          <w:shd w:fill="F1F3F5" w:color="auto" w:val="clear"/>
          <w:rtl/>
        </w:rPr>
        <w:t xml:space="preserve">‎docs/50‎</w:t>
      </w:r>
      <w:r>
        <w:rPr>
          <w:rFonts w:ascii="Arial" w:cs="Arial" w:eastAsia="Arial" w:hAnsi="Arial"/>
          <w:b w:val="false"/>
          <w:bCs w:val="false"/>
          <w:sz w:val="21"/>
          <w:szCs w:val="21"/>
          <w:rtl/>
        </w:rPr>
        <w:t xml:space="preserve"> §4،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لا معايير قبول مكتوبة لـ S5 في المواصفات (§7 من هذا السجل)، فالمعايير هنا من نصوص المتطلبات نفسها.</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شُغِّلت في الفحص الكامل في 2026-10-25 مع S4 (165 اختبار وحدة، واختبار المتصفح، و121 اختبار تكامل)، كلها ناجحة. ونجح فحص قاعدة البيانات كله على f56d1f7.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0"/>
        <w:gridCol w:w="2098"/>
        <w:gridCol w:w="5483"/>
        <w:gridCol w:w="973"/>
      </w:tblGrid>
      <w:tr>
        <w:trPr>
          <w:cantSplit/>
          <w:tblHeader/>
        </w:trPr>
        <w:tc>
          <w:tcPr>
            <w:tcW w:type="dxa" w:w="1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وFR-LCE-028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تقرير في فهرس مدير الخزينة يعمل؛ سجل البروفورمات يجد البروفورما الصادرة؛ مطابقة الثوابت (R-LCE-08) فارغة؛ موظف المبيعات يرى تقارير المبيعات وحدها ويُرفض له تقرير المشتريات (403)؛ التاريخ بصيغة أخرى مرفوض؛ التصدير CSV بعناوينه وصفوفه، ويُسجَّل REPORT_EXPORTED</w:t>
            </w:r>
          </w:p>
        </w:tc>
        <w:tc>
          <w:tcPr>
            <w:tcW w:type="dxa" w:w="5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‎S5Tests.Reports_run_in_scope_and_export_as_csv‎</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وFR-REQ-026 وFR-REQ-022</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عام في مسودة جديدة بحقوله؛ قائمة الطلبات CSV بأعمدة الطالب وحدها، والصيغة الأخرى مرفوضة؛ الأنواع الخمسة الأمثلة لا تُعرض ولا يُنشأ منها طلب</w:t>
            </w:r>
          </w:p>
        </w:tc>
        <w:tc>
          <w:tcPr>
            <w:tcW w:type="dxa" w:w="5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‎S5Tests.Requests_are_copied_exported_*‎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‎WorkflowFoundationTests‎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وFR-NTF-020</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للبريد وحده (طلبه للتطبيق مرفوض)؛ إشعاران محتجزان لا يرسلهما الإرسال الفوري؛ صباح اليوم التالي رسالة واحدة، وتشغيل ثانٍ لا يرسل شيئًا؛ المقروء يُؤرشف بعد 180 يومًا لا قبلها، وغير المقروء يبقى</w:t>
            </w:r>
          </w:p>
        </w:tc>
        <w:tc>
          <w:tcPr>
            <w:tcW w:type="dxa" w:w="5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‎S5Tests.A_digest_gathers_*‎</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2026-10-25T01:22:11.711Z</dcterms:created>
  <dcterms:modified xsi:type="dcterms:W3CDTF">2026-10-25T01:22:11.711Z</dcterms:modified>
</cp:coreProperties>
</file>

<file path=docProps/custom.xml><?xml version="1.0" encoding="utf-8"?>
<Properties xmlns="http://schemas.openxmlformats.org/officeDocument/2006/custom-properties" xmlns:vt="http://schemas.openxmlformats.org/officeDocument/2006/docPropsVTypes"/>
</file>