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DOC-B03 — مواصفة المتطلبات غير الوظيفية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DOC-B03 (docs/30-readiness-documents.md)، ويشمل DOC-S14 المدمج فيه</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مدير التشغيل؛ والقسم الأمني مع مهندس الأمن</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 §6.1 و§6.2 و§6.4، X-SEC-1 إلى X-SEC-7، FR-PLT-010 إلى 014، FR-PLT-032 إلى 034، FR-PLT-044، FR-PLT-045، O-14 (20-database-design)، O-08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DOC-B02، DOC-B11، DOC-S02، DOC-S03، DOC-S04، DOC-S05، DOC-S06، DOC-S09، DOC-S12، DOC-S13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docs/10-detailed-analysis/11-m2-m4-institutions-accounts-catalogs.md، docs/20-database-design.md، docs/adr/0001-schema-work-on-linux.md، docs/adr/0002-login-and-session-bound-context.md، db/static/030_session_context.sql، tools/ci/db_ci.sh</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الأداء والتزامن (NFR-PERF)</w:t>
        </w:r>
      </w:hyperlink>
    </w:p>
    <w:p>
      <w:pPr>
        <w:bidi/>
        <w:spacing w:after="50" w:before="0"/>
        <w:ind w:left="0"/>
      </w:pPr>
      <w:hyperlink w:history="1" w:anchor="_sec3">
        <w:r>
          <w:rPr>
            <w:rFonts w:ascii="Arial" w:cs="Arial" w:eastAsia="Arial" w:hAnsi="Arial"/>
            <w:b/>
            <w:bCs/>
            <w:color w:val="1F3A5F"/>
            <w:sz w:val="20"/>
            <w:szCs w:val="20"/>
            <w:rtl/>
          </w:rPr>
          <w:t xml:space="preserve">3. التوفر (NFR-AVL)</w:t>
        </w:r>
      </w:hyperlink>
    </w:p>
    <w:p>
      <w:pPr>
        <w:bidi/>
        <w:spacing w:after="50" w:before="0"/>
        <w:ind w:left="0"/>
      </w:pPr>
      <w:hyperlink w:history="1" w:anchor="_sec4">
        <w:r>
          <w:rPr>
            <w:rFonts w:ascii="Arial" w:cs="Arial" w:eastAsia="Arial" w:hAnsi="Arial"/>
            <w:b/>
            <w:bCs/>
            <w:color w:val="1F3A5F"/>
            <w:sz w:val="20"/>
            <w:szCs w:val="20"/>
            <w:rtl/>
          </w:rPr>
          <w:t xml:space="preserve">4. التعافي (NFR-REC)</w:t>
        </w:r>
      </w:hyperlink>
    </w:p>
    <w:p>
      <w:pPr>
        <w:bidi/>
        <w:spacing w:after="50" w:before="0"/>
        <w:ind w:left="0"/>
      </w:pPr>
      <w:hyperlink w:history="1" w:anchor="_sec5">
        <w:r>
          <w:rPr>
            <w:rFonts w:ascii="Arial" w:cs="Arial" w:eastAsia="Arial" w:hAnsi="Arial"/>
            <w:b/>
            <w:bCs/>
            <w:color w:val="1F3A5F"/>
            <w:sz w:val="20"/>
            <w:szCs w:val="20"/>
            <w:rtl/>
          </w:rPr>
          <w:t xml:space="preserve">5. الأمن (NFR-SEC، ويحل محل DOC-S14)</w:t>
        </w:r>
      </w:hyperlink>
    </w:p>
    <w:p>
      <w:pPr>
        <w:bidi/>
        <w:spacing w:after="50" w:before="0"/>
        <w:ind w:left="0"/>
      </w:pPr>
      <w:hyperlink w:history="1" w:anchor="_sec6">
        <w:r>
          <w:rPr>
            <w:rFonts w:ascii="Arial" w:cs="Arial" w:eastAsia="Arial" w:hAnsi="Arial"/>
            <w:b/>
            <w:bCs/>
            <w:color w:val="1F3A5F"/>
            <w:sz w:val="20"/>
            <w:szCs w:val="20"/>
            <w:rtl/>
          </w:rPr>
          <w:t xml:space="preserve">6. قابلية التوسع (NFR-SCL)</w:t>
        </w:r>
      </w:hyperlink>
    </w:p>
    <w:p>
      <w:pPr>
        <w:bidi/>
        <w:spacing w:after="50" w:before="0"/>
        <w:ind w:left="0"/>
      </w:pPr>
      <w:hyperlink w:history="1" w:anchor="_sec7">
        <w:r>
          <w:rPr>
            <w:rFonts w:ascii="Arial" w:cs="Arial" w:eastAsia="Arial" w:hAnsi="Arial"/>
            <w:b/>
            <w:bCs/>
            <w:color w:val="1F3A5F"/>
            <w:sz w:val="20"/>
            <w:szCs w:val="20"/>
            <w:rtl/>
          </w:rPr>
          <w:t xml:space="preserve">7. إمكانية الوصول (NFR-ACC)</w:t>
        </w:r>
      </w:hyperlink>
    </w:p>
    <w:p>
      <w:pPr>
        <w:bidi/>
        <w:spacing w:after="50" w:before="0"/>
        <w:ind w:left="0"/>
      </w:pPr>
      <w:hyperlink w:history="1" w:anchor="_sec8">
        <w:r>
          <w:rPr>
            <w:rFonts w:ascii="Arial" w:cs="Arial" w:eastAsia="Arial" w:hAnsi="Arial"/>
            <w:b/>
            <w:bCs/>
            <w:color w:val="1F3A5F"/>
            <w:sz w:val="20"/>
            <w:szCs w:val="20"/>
            <w:rtl/>
          </w:rPr>
          <w:t xml:space="preserve">8. التشغيل (NFR-OPS)</w:t>
        </w:r>
      </w:hyperlink>
    </w:p>
    <w:p>
      <w:pPr>
        <w:bidi/>
        <w:spacing w:after="50" w:before="0"/>
        <w:ind w:left="0"/>
      </w:pPr>
      <w:hyperlink w:history="1" w:anchor="_sec9">
        <w:r>
          <w:rPr>
            <w:rFonts w:ascii="Arial" w:cs="Arial" w:eastAsia="Arial" w:hAnsi="Arial"/>
            <w:b/>
            <w:bCs/>
            <w:color w:val="1F3A5F"/>
            <w:sz w:val="20"/>
            <w:szCs w:val="20"/>
            <w:rtl/>
          </w:rPr>
          <w:t xml:space="preserve">9. اللغة والتوطين (NFR-I18N)</w:t>
        </w:r>
      </w:hyperlink>
    </w:p>
    <w:p>
      <w:pPr>
        <w:bidi/>
        <w:spacing w:after="50" w:before="0"/>
        <w:ind w:left="0"/>
      </w:pPr>
      <w:hyperlink w:history="1" w:anchor="_sec10">
        <w:r>
          <w:rPr>
            <w:rFonts w:ascii="Arial" w:cs="Arial" w:eastAsia="Arial" w:hAnsi="Arial"/>
            <w:b/>
            <w:bCs/>
            <w:color w:val="1F3A5F"/>
            <w:sz w:val="20"/>
            <w:szCs w:val="20"/>
            <w:rtl/>
          </w:rPr>
          <w:t xml:space="preserve">10. التحقق بحسب الشريحة</w:t>
        </w:r>
      </w:hyperlink>
    </w:p>
    <w:p>
      <w:pPr>
        <w:bidi/>
        <w:spacing w:after="50" w:before="0"/>
        <w:ind w:left="0"/>
      </w:pPr>
      <w:hyperlink w:history="1" w:anchor="_sec11">
        <w:r>
          <w:rPr>
            <w:rFonts w:ascii="Arial" w:cs="Arial" w:eastAsia="Arial" w:hAnsi="Arial"/>
            <w:b/>
            <w:bCs/>
            <w:color w:val="1F3A5F"/>
            <w:sz w:val="20"/>
            <w:szCs w:val="20"/>
            <w:rtl/>
          </w:rPr>
          <w:t xml:space="preserve">11. القرارات المطلوبة</w:t>
        </w:r>
      </w:hyperlink>
    </w:p>
    <w:p>
      <w:pPr>
        <w:bidi/>
        <w:spacing w:after="50" w:before="0"/>
        <w:ind w:left="0"/>
      </w:pPr>
      <w:hyperlink w:history="1" w:anchor="_sec12">
        <w:r>
          <w:rPr>
            <w:rFonts w:ascii="Arial" w:cs="Arial" w:eastAsia="Arial" w:hAnsi="Arial"/>
            <w:b/>
            <w:bCs/>
            <w:color w:val="1F3A5F"/>
            <w:sz w:val="20"/>
            <w:szCs w:val="20"/>
            <w:rtl/>
          </w:rPr>
          <w:t xml:space="preserve">12. تعارضات وفجوات في المصادر</w:t>
        </w:r>
      </w:hyperlink>
    </w:p>
    <w:p>
      <w:pPr>
        <w:bidi/>
        <w:spacing w:after="50" w:before="0"/>
        <w:ind w:left="0"/>
      </w:pPr>
      <w:hyperlink w:history="1" w:anchor="_sec13">
        <w:r>
          <w:rPr>
            <w:rFonts w:ascii="Arial" w:cs="Arial" w:eastAsia="Arial" w:hAnsi="Arial"/>
            <w:b/>
            <w:bCs/>
            <w:color w:val="1F3A5F"/>
            <w:sz w:val="20"/>
            <w:szCs w:val="20"/>
            <w:rtl/>
          </w:rPr>
          <w:t xml:space="preserve">13. التتبع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تحوّل هذه الوثيقة الأهداف غير الوظيفية المتفرقة إلى سجل بمعرّفات، لكل بند هدف وطريقة قياس وإجراء اختبار ومالك ومصدر.</w:t>
      </w:r>
    </w:p>
    <w:p>
      <w:pPr>
        <w:pStyle w:val="ListParagraph"/>
        <w:numPr>
          <w:ilvl w:val="0"/>
          <w:numId w:val="2"/>
        </w:numPr>
        <w:bidi/>
        <w:spacing w:after="70" w:before="0" w:line="300"/>
      </w:pPr>
      <w:r>
        <w:rPr>
          <w:rFonts w:ascii="Arial" w:cs="Arial" w:eastAsia="Arial" w:hAnsi="Arial"/>
          <w:b w:val="false"/>
          <w:bCs w:val="false"/>
          <w:sz w:val="21"/>
          <w:szCs w:val="21"/>
          <w:rtl/>
        </w:rPr>
        <w:t xml:space="preserve">مصدرها الرئيسي جدول §6.4 (docs/10-detailed-analysis/00-overview-and-cross-cutting.md:164-173)، وكل قيمه بوسم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أي مقترحة.</w:t>
      </w:r>
    </w:p>
    <w:p>
      <w:pPr>
        <w:pStyle w:val="ListParagraph"/>
        <w:numPr>
          <w:ilvl w:val="0"/>
          <w:numId w:val="2"/>
        </w:numPr>
        <w:bidi/>
        <w:spacing w:after="70" w:before="0" w:line="300"/>
      </w:pPr>
      <w:r>
        <w:rPr>
          <w:rFonts w:ascii="Arial" w:cs="Arial" w:eastAsia="Arial" w:hAnsi="Arial"/>
          <w:b w:val="false"/>
          <w:bCs w:val="false"/>
          <w:sz w:val="21"/>
          <w:szCs w:val="21"/>
          <w:rtl/>
        </w:rPr>
        <w:t xml:space="preserve">تضم متطلبات الأمن والتدقيق (X-SEC وX-AUD في السطور 134-150) بمعايير قبول، فتحل محل DOC-S14 (docs/30-readiness-documents.md:316-318).</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تكرر ما تملكه وثائق أخرى: قيم كلمات المرور في DOC-S04، وإعدادات TLS في DOC-S05، وإجراءات النسخ والاستعادة في DOC-S09، والسجلات والتنبيهات في DOC-S12، وخطة الاختبار الأمني في DOC-S13.</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رقم لم يرد في مصدر معتمد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ومدرج في §11.</w:t>
      </w:r>
    </w:p>
    <w:p>
      <w:pPr>
        <w:bidi/>
        <w:spacing w:after="60" w:before="0"/>
      </w:pPr>
    </w:p>
    <w:p>
      <w:pPr>
        <w:bidi/>
        <w:spacing w:after="110" w:before="0" w:line="312"/>
      </w:pPr>
      <w:r>
        <w:rPr>
          <w:rFonts w:ascii="Arial" w:cs="Arial" w:eastAsia="Arial" w:hAnsi="Arial"/>
          <w:b w:val="false"/>
          <w:bCs w:val="false"/>
          <w:sz w:val="21"/>
          <w:szCs w:val="21"/>
          <w:rtl/>
        </w:rPr>
        <w:t xml:space="preserve">البادئات: PERF الأداء والتزامن · AVL التوفر · REC التعافي · SEC الأمن · SCL قابلية التوسع · ACC إمكانية الوصول · OPS التشغيل · I18N اللغة والتوطين.</w:t>
      </w:r>
    </w:p>
    <w:p>
      <w:pPr>
        <w:pStyle w:val="Heading1"/>
        <w:bidi/>
      </w:pPr>
      <w:bookmarkStart w:name="_sec2" w:id="2"/>
      <w:r>
        <w:rPr>
          <w:rFonts w:ascii="Arial" w:cs="Arial" w:eastAsia="Arial" w:hAnsi="Arial"/>
          <w:b/>
          <w:bCs/>
          <w:color w:val="1F3A5F"/>
          <w:sz w:val="32"/>
          <w:szCs w:val="32"/>
          <w:rtl/>
        </w:rPr>
        <w:t xml:space="preserve">2. الأداء والتزامن (NFR-PERF)</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14"/>
        <w:gridCol w:w="1876"/>
        <w:gridCol w:w="914"/>
        <w:gridCol w:w="914"/>
        <w:gridCol w:w="914"/>
        <w:gridCol w:w="4332"/>
      </w:tblGrid>
      <w:tr>
        <w:trPr>
          <w:cantSplit/>
          <w:tblHeader/>
        </w:trPr>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3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الشاشات الرئيسية: زمن الطلب على الخادم p95 ≤ 2 ثانية، وتحميل الصفحة ≤ 2 ثانية، ببيانات NFR-SCL-02</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p95 من سجلات التطبيق، وزمن التحميل من المتصفح</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حمل في بيئة الاختبار بعشرين مستخدمًا متزامنًا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قبل خروج S2</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docs/10-detailed-analysis/00-overview-and-cross-cutting.md:167</w:t>
            </w:r>
          </w:p>
        </w:tc>
      </w:tr>
      <w:tr>
        <w:trPr>
          <w:cantSplit/>
        </w:trPr>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NFR-PERF-02</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الموحّد في المنشآت وجهات الاتصال &lt; 2 ثانية على 5,000 جهة</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p95 لنقطة البحث</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 قبل خروج S1</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docs/10-detailed-analysis/11-m2-m4-institutions-accounts-catalogs.md:128</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NFR-PERF-03</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طلب حجز متزامن على الحد نفسه: لا تجاوز للمتاح، ولكل طلب نتيجة محددة</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المحجوز مقابل المتاح بعد التشغيل، وعدد النتائج لكل نوع</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تزامني على SQL Server 2025 قبل خروج S2</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docs/20-database-design.md:271</w:t>
            </w:r>
          </w:p>
        </w:tc>
      </w:tr>
      <w:tr>
        <w:trPr>
          <w:cantSplit/>
        </w:trPr>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NFR-PERF-04</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50 طلبًا متزامنًا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بلا رقم مكرر ولا فجوة</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التسلسل الناتج</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ضمن AC-PLT-3</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docs/10-detailed-analysis/10-m0-m1-platform-organization.md:128</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NFR-PERF-05</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p95 ≤ 1 ثانية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بعشرين دخولًا متزامنًا، مع سقف للتجزئات المتزامنة لأن كل تجزئة Argon2id تحجز 64 ميغابايت</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الزمن، وذروة ذاكرة عملية التطبيق</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حمل لنقطة الدخول</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docs/adr/0002-login-and-session-bound-context.md:14</w:t>
            </w:r>
          </w:p>
        </w:tc>
      </w:tr>
      <w:tr>
        <w:trPr>
          <w:cantSplit/>
        </w:trPr>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NFR-PERF-06</w:t>
            </w:r>
          </w:p>
        </w:tc>
        <w:tc>
          <w:tcPr>
            <w:tcW w:type="dxa" w:w="1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السياق لكل طلب بـ sec.usp_SetSessionContext: p95 ≤ 20 مللي ثانية </w:t>
            </w:r>
            <w:r>
              <w:rPr>
                <w:rFonts w:ascii="Arial" w:cs="Arial" w:eastAsia="Arial" w:hAnsi="Arial"/>
                <w:color w:val="E0A800"/>
                <w:sz w:val="18"/>
                <w:szCs w:val="18"/>
                <w:rtl/>
              </w:rPr>
              <w:t xml:space="preserve">●</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الاستدعاء من قياس التطبيق</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اختبار NFR-PERF-01</w:t>
            </w:r>
          </w:p>
        </w:tc>
        <w:tc>
          <w:tcPr>
            <w:tcW w:type="dxa" w:w="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docs/adr/0002-login-and-session-bound-context.md:22</w:t>
            </w:r>
          </w:p>
        </w:tc>
      </w:tr>
      <w:tr>
        <w:trPr>
          <w:cantSplit/>
        </w:trPr>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NFR-PERF-07</w:t>
            </w:r>
          </w:p>
        </w:tc>
        <w:tc>
          <w:tcPr>
            <w:tcW w:type="dxa" w:w="1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تعديلان متزامنان لسجل واحد: يُقبل الأول ويُرفض الثاني برمز تعارض ثابت</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الطلبين</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API</w:t>
            </w:r>
          </w:p>
        </w:tc>
        <w:tc>
          <w:tcPr>
            <w:tcW w:type="dxa" w:w="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docs/20-database-design.md:232</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b w:val="false"/>
          <w:bCs w:val="false"/>
          <w:sz w:val="21"/>
          <w:szCs w:val="21"/>
          <w:rtl/>
        </w:rPr>
        <w:t xml:space="preserve">مستوى العزل READ_COMMITTED مع قفل صريح للحد (docs/20-database-design.md:239)، وREAD_COMMITTED_SNAPSHOT توصية تشغيل غير مضمَّنة في السكربتات (السطر 462). يُقاس NFR-PERF-01 بالإعداد الذي يُعتمد للإنتاج.</w:t>
      </w:r>
    </w:p>
    <w:p>
      <w:pPr>
        <w:pStyle w:val="ListParagraph"/>
        <w:numPr>
          <w:ilvl w:val="0"/>
          <w:numId w:val="2"/>
        </w:numPr>
        <w:bidi/>
        <w:spacing w:after="70" w:before="0" w:line="300"/>
      </w:pPr>
      <w:r>
        <w:rPr>
          <w:rFonts w:ascii="Arial" w:cs="Arial" w:eastAsia="Arial" w:hAnsi="Arial"/>
          <w:b w:val="false"/>
          <w:bCs w:val="false"/>
          <w:sz w:val="21"/>
          <w:szCs w:val="21"/>
          <w:rtl/>
        </w:rPr>
        <w:t xml:space="preserve">يُقاس الأداء على بيئة اختبار بحجم الإنتاج نفسه (DQ-B03-9)، لا على CI.</w:t>
      </w:r>
    </w:p>
    <w:p>
      <w:pPr>
        <w:pStyle w:val="ListParagraph"/>
        <w:numPr>
          <w:ilvl w:val="0"/>
          <w:numId w:val="2"/>
        </w:numPr>
        <w:bidi/>
        <w:spacing w:after="70" w:before="0" w:line="300"/>
      </w:pPr>
      <w:r>
        <w:rPr>
          <w:rFonts w:ascii="Arial" w:cs="Arial" w:eastAsia="Arial" w:hAnsi="Arial"/>
          <w:b/>
          <w:bCs/>
          <w:sz w:val="21"/>
          <w:szCs w:val="21"/>
          <w:rtl/>
        </w:rPr>
        <w:t xml:space="preserve">قياس أول على القاعدة وحدها (2026-10-21، ADR 0036، docs/40):</w:t>
      </w:r>
    </w:p>
    <w:p>
      <w:pPr>
        <w:pStyle w:val="ListParagraph"/>
        <w:numPr>
          <w:ilvl w:val="1"/>
          <w:numId w:val="2"/>
        </w:numPr>
        <w:bidi/>
        <w:spacing w:after="70" w:before="0" w:line="300"/>
      </w:pPr>
      <w:r>
        <w:rPr>
          <w:rFonts w:ascii="Arial" w:cs="Arial" w:eastAsia="Arial" w:hAnsi="Arial"/>
          <w:b w:val="false"/>
          <w:bCs w:val="false"/>
          <w:sz w:val="21"/>
          <w:szCs w:val="21"/>
          <w:rtl/>
        </w:rPr>
        <w:t xml:space="preserve">أداة القياس </w:t>
      </w:r>
      <w:r>
        <w:rPr>
          <w:rFonts w:ascii="Courier New" w:cs="Courier New" w:eastAsia="Courier New" w:hAnsi="Courier New"/>
          <w:b w:val="false"/>
          <w:bCs w:val="false"/>
          <w:color w:val="1F2937"/>
          <w:sz w:val="18"/>
          <w:szCs w:val="18"/>
          <w:shd w:fill="F1F3F5" w:color="auto" w:val="clear"/>
          <w:rtl/>
        </w:rPr>
        <w:t xml:space="preserve">‎tools/perf/run_perf.sh‎</w:t>
      </w:r>
      <w:r>
        <w:rPr>
          <w:rFonts w:ascii="Arial" w:cs="Arial" w:eastAsia="Arial" w:hAnsi="Arial"/>
          <w:b w:val="false"/>
          <w:bCs w:val="false"/>
          <w:sz w:val="21"/>
          <w:szCs w:val="21"/>
          <w:rtl/>
        </w:rPr>
        <w:t xml:space="preserve"> تبني قاعدة جديدة ببيانات اصطناعية. حجمها الافتراضي 300 مشترك، منها ثلاثة بأحجام NFR-SCL-02 على جداول المسارات التي تنفّذها القاعدة.</w:t>
      </w:r>
    </w:p>
    <w:p>
      <w:pPr>
        <w:pStyle w:val="ListParagraph"/>
        <w:numPr>
          <w:ilvl w:val="1"/>
          <w:numId w:val="2"/>
        </w:numPr>
        <w:bidi/>
        <w:spacing w:after="70" w:before="0" w:line="300"/>
      </w:pPr>
      <w:r>
        <w:rPr>
          <w:rFonts w:ascii="Arial" w:cs="Arial" w:eastAsia="Arial" w:hAnsi="Arial"/>
          <w:b w:val="false"/>
          <w:bCs w:val="false"/>
          <w:sz w:val="21"/>
          <w:szCs w:val="21"/>
          <w:rtl/>
        </w:rPr>
        <w:t xml:space="preserve">تقيس ربط الجلسة (NFR-PERF-06)، وما تقرؤه الشاشات، والكتابات، والمهام، ونافذة النشر.</w:t>
      </w:r>
    </w:p>
    <w:p>
      <w:pPr>
        <w:pStyle w:val="ListParagraph"/>
        <w:numPr>
          <w:ilvl w:val="1"/>
          <w:numId w:val="2"/>
        </w:numPr>
        <w:bidi/>
        <w:spacing w:after="70" w:before="0" w:line="300"/>
      </w:pPr>
      <w:r>
        <w:rPr>
          <w:rFonts w:ascii="Arial" w:cs="Arial" w:eastAsia="Arial" w:hAnsi="Arial"/>
          <w:b w:val="false"/>
          <w:bCs w:val="false"/>
          <w:sz w:val="21"/>
          <w:szCs w:val="21"/>
          <w:rtl/>
        </w:rPr>
        <w:t xml:space="preserve">جرى القياس الأول في حاوية بأربعة معالجات و15 غيغابايت، لا في بيئة الإنتاج، فأرقامه دلالية. وتُعاد الأداة نفسها في بيئة DQ-B03-9.</w:t>
      </w:r>
    </w:p>
    <w:p>
      <w:pPr>
        <w:pStyle w:val="ListParagraph"/>
        <w:numPr>
          <w:ilvl w:val="1"/>
          <w:numId w:val="2"/>
        </w:numPr>
        <w:bidi/>
        <w:spacing w:after="70" w:before="0" w:line="300"/>
      </w:pPr>
      <w:r>
        <w:rPr>
          <w:rFonts w:ascii="Arial" w:cs="Arial" w:eastAsia="Arial" w:hAnsi="Arial"/>
          <w:b w:val="false"/>
          <w:bCs w:val="false"/>
          <w:sz w:val="21"/>
          <w:szCs w:val="21"/>
          <w:rtl/>
        </w:rPr>
        <w:t xml:space="preserve">وجزء الخادم من NFR-PERF-01 يقاس مع طبقة الخدمة.</w:t>
      </w:r>
    </w:p>
    <w:p>
      <w:pPr>
        <w:bidi/>
        <w:spacing w:after="60" w:before="0"/>
      </w:pPr>
    </w:p>
    <w:p>
      <w:pPr>
        <w:pStyle w:val="Heading1"/>
        <w:bidi/>
      </w:pPr>
      <w:bookmarkStart w:name="_sec3" w:id="3"/>
      <w:r>
        <w:rPr>
          <w:rFonts w:ascii="Arial" w:cs="Arial" w:eastAsia="Arial" w:hAnsi="Arial"/>
          <w:b/>
          <w:bCs/>
          <w:color w:val="1F3A5F"/>
          <w:sz w:val="32"/>
          <w:szCs w:val="32"/>
          <w:rtl/>
        </w:rPr>
        <w:t xml:space="preserve">3. التوفر (NFR-AVL)</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8"/>
        <w:gridCol w:w="928"/>
        <w:gridCol w:w="928"/>
        <w:gridCol w:w="928"/>
        <w:gridCol w:w="928"/>
        <w:gridCol w:w="5224"/>
      </w:tblGrid>
      <w:tr>
        <w:trPr>
          <w:cantSplit/>
          <w:tblHeader/>
        </w:trPr>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52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NFR-AVL-01</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شهريًا للإنتاج في المرحلة الأولى، أي نحو 3.6 ساعات توقف في شهر من 30 يومًا</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 خارجي يطلب نقطة الصحة كل دقيقة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خارج نوافذ الصيانة المعلنة</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شهري</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5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docs/10-detailed-analysis/00-overview-and-cross-cutting.md:168</w:t>
            </w:r>
          </w:p>
        </w:tc>
      </w:tr>
      <w:tr>
        <w:trPr>
          <w:cantSplit/>
        </w:trPr>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NFR-AVL-02</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صيانة معلنة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ساعتان أسبوعيًا خارج ساعات العمل بإشعار 48 ساعة</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الصيانة المنشور</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شهرية</w:t>
            </w:r>
          </w:p>
        </w:tc>
        <w:tc>
          <w:tcPr>
            <w:tcW w:type="dxa" w:w="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5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DQ-B03-5</w:t>
            </w:r>
          </w:p>
        </w:tc>
      </w:tr>
      <w:tr>
        <w:trPr>
          <w:cantSplit/>
        </w:trPr>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NFR-AVL-03</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صحة للتطبيق والقاعدة والمهام والمخزن، لا تكشف بيانات مشترك</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استجابة النقطة</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 بعد كل نشر (DOC-B11)</w:t>
            </w:r>
          </w:p>
        </w:tc>
        <w:tc>
          <w:tcPr>
            <w:tcW w:type="dxa" w:w="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5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w:t>
            </w:r>
          </w:p>
        </w:tc>
      </w:tr>
    </w:tbl>
    <w:p>
      <w:pPr>
        <w:bidi/>
        <w:spacing w:after="120" w:before="0"/>
      </w:pPr>
    </w:p>
    <w:p>
      <w:pPr>
        <w:bidi/>
        <w:spacing w:after="110" w:before="0" w:line="312"/>
      </w:pPr>
      <w:r>
        <w:rPr>
          <w:rFonts w:ascii="Arial" w:cs="Arial" w:eastAsia="Arial" w:hAnsi="Arial"/>
          <w:b w:val="false"/>
          <w:bCs w:val="false"/>
          <w:sz w:val="21"/>
          <w:szCs w:val="21"/>
          <w:rtl/>
        </w:rPr>
        <w:t xml:space="preserve">الإنتاج خادم VPS واحد لقاعدة البيانات (docs/adr/0001-schema-work-on-linux.md:16)، فلا تكرار تلقائي. استعادة كاملة بزمن RTO المعتمد (4 ساعات، DQ-B03-2) تستهلك أكثر من ميزانية الشهر (3.6 ساعات). القرار في DQ-B03-3.</w:t>
      </w:r>
    </w:p>
    <w:p>
      <w:pPr>
        <w:pStyle w:val="Heading1"/>
        <w:bidi/>
      </w:pPr>
      <w:bookmarkStart w:name="_sec4" w:id="4"/>
      <w:r>
        <w:rPr>
          <w:rFonts w:ascii="Arial" w:cs="Arial" w:eastAsia="Arial" w:hAnsi="Arial"/>
          <w:b/>
          <w:bCs/>
          <w:color w:val="1F3A5F"/>
          <w:sz w:val="32"/>
          <w:szCs w:val="32"/>
          <w:rtl/>
        </w:rPr>
        <w:t xml:space="preserve">4. التعافي (NFR-REC)</w:t>
      </w:r>
      <w:bookmarkEnd w:id="4"/>
    </w:p>
    <w:p>
      <w:pPr>
        <w:bidi/>
        <w:spacing w:after="110" w:before="0" w:line="312"/>
      </w:pPr>
      <w:r>
        <w:rPr>
          <w:rFonts w:ascii="Arial" w:cs="Arial" w:eastAsia="Arial" w:hAnsi="Arial"/>
          <w:b w:val="false"/>
          <w:bCs w:val="false"/>
          <w:sz w:val="21"/>
          <w:szCs w:val="21"/>
          <w:rtl/>
        </w:rPr>
        <w:t xml:space="preserve">كل قيم هذا القسم مقترحة وغير معتمدة: §6.4 يذكرها بوسم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(docs/10-detailed-analysis/00-overview-and-cross-cutting.md:169)، و10-m0-m1 يقول إنها «تُثبَّت مع الاستضافة» (docs/10-detailed-analysis/10-m0-m1-platform-organization.md:590)، ووثيقة القاعدة تقول إنها «لم تُحدَّد بعد» (docs/20-database-design.md:463) وتسجلها O-14 (20-database-design، السطر 542). إجراءات النسخ والاستعادة في DOC-S09.</w:t>
      </w:r>
    </w:p>
    <w:p>
      <w:pPr>
        <w:keepNext/>
        <w:bidi/>
        <w:spacing w:after="60" w:before="160"/>
        <w:jc w:val="center"/>
      </w:pPr>
      <w:r>
        <w:drawing>
          <wp:inline distT="0" distB="0" distL="0" distR="0">
            <wp:extent cx="6096000" cy="4572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572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2"/>
        <w:gridCol w:w="932"/>
        <w:gridCol w:w="932"/>
        <w:gridCol w:w="932"/>
        <w:gridCol w:w="932"/>
        <w:gridCol w:w="5204"/>
      </w:tblGrid>
      <w:tr>
        <w:trPr>
          <w:cantSplit/>
          <w:tblHeader/>
        </w:trPr>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52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NFR-REC-01</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 ≤ 15 دقيقة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(DQ-B03-2)</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الفارق بين آخر نسخة سجل ناجحة منسوخة خارج الخادم ووقت الحادث</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استعادة</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 مع DBA</w:t>
            </w:r>
          </w:p>
        </w:tc>
        <w:tc>
          <w:tcPr>
            <w:tcW w:type="dxa" w:w="5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docs/10-detailed-analysis/00-overview-and-cross-cutting.md:169</w:t>
            </w:r>
          </w:p>
        </w:tc>
      </w:tr>
      <w:tr>
        <w:trPr>
          <w:cantSplit/>
        </w:trPr>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NFR-REC-02</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RTO ≤ 4 ساعات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(DQ-B03-2)</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إعلان الحادث إلى نجاح فحص الدخان</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استعادة كامل ربع سنوي </w:t>
            </w:r>
            <w:r>
              <w:rPr>
                <w:rFonts w:ascii="Arial" w:cs="Arial" w:eastAsia="Arial" w:hAnsi="Arial"/>
                <w:color w:val="E0A800"/>
                <w:sz w:val="18"/>
                <w:szCs w:val="18"/>
                <w:rtl/>
              </w:rPr>
              <w:t xml:space="preserve">●</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5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docs/10-detailed-analysis/00-overview-and-cross-cutting.md:169</w:t>
            </w:r>
          </w:p>
        </w:tc>
      </w:tr>
      <w:tr>
        <w:trPr>
          <w:cantSplit/>
        </w:trPr>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NFR-REC-03</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كامل ليلي وتفاضلي وسجل معاملات كل 15 دقيقة بنموذج FULL، ونسخة في موقع منفصل</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مهام النسخ</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 يومي لنجاح المهام</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docs/20-database-design.md:458</w:t>
            </w:r>
          </w:p>
        </w:tc>
      </w:tr>
      <w:tr>
        <w:trPr>
          <w:cantSplit/>
        </w:trPr>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NFR-REC-04</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استعادة دوري مع فك تشفير عيّنة</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الاستعادة وقراءة عمود مشفّر</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في بيئة معزولة</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docs/20-database-design.md:460</w:t>
            </w:r>
          </w:p>
        </w:tc>
      </w:tr>
      <w:tr>
        <w:trPr>
          <w:cantSplit/>
        </w:trPr>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NFR-REC-05</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الرئيسية في نسخ منفصل عن القاعدة ونسخها</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جرد مواقع النسخ</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استعادة المفتاح (DOC-S02)</w:t>
            </w:r>
          </w:p>
        </w:tc>
        <w:tc>
          <w:tcPr>
            <w:tcW w:type="dxa" w:w="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حفظ المفاتيح</w:t>
            </w:r>
          </w:p>
        </w:tc>
        <w:tc>
          <w:tcPr>
            <w:tcW w:type="dxa" w:w="52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docs/20-database-design.md:459</w:t>
            </w:r>
          </w:p>
        </w:tc>
      </w:tr>
      <w:tr>
        <w:trPr>
          <w:cantSplit/>
        </w:trPr>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NFR-REC-06</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استرجاع مشترك واحد دون المساس بغيره خلال 8 ساعات </w:t>
            </w:r>
            <w:r>
              <w:rPr>
                <w:rFonts w:ascii="Arial" w:cs="Arial" w:eastAsia="Arial" w:hAnsi="Arial"/>
                <w:color w:val="E0A800"/>
                <w:sz w:val="18"/>
                <w:szCs w:val="18"/>
                <w:rtl/>
              </w:rPr>
              <w:t xml:space="preserve">●</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الإجراء</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نصف سنوي </w:t>
            </w:r>
            <w:r>
              <w:rPr>
                <w:rFonts w:ascii="Arial" w:cs="Arial" w:eastAsia="Arial" w:hAnsi="Arial"/>
                <w:color w:val="E0A800"/>
                <w:sz w:val="18"/>
                <w:szCs w:val="18"/>
                <w:rtl/>
              </w:rPr>
              <w:t xml:space="preserve">●</w:t>
            </w:r>
          </w:p>
        </w:tc>
        <w:tc>
          <w:tcPr>
            <w:tcW w:type="dxa" w:w="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52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docs/20-database-design.md:461</w:t>
            </w:r>
          </w:p>
        </w:tc>
      </w:tr>
    </w:tbl>
    <w:p>
      <w:pPr>
        <w:bidi/>
        <w:spacing w:after="120" w:before="0"/>
      </w:pPr>
    </w:p>
    <w:p>
      <w:pPr>
        <w:bidi/>
        <w:spacing w:after="110" w:before="0" w:line="312"/>
      </w:pPr>
      <w:r>
        <w:rPr>
          <w:rFonts w:ascii="Arial" w:cs="Arial" w:eastAsia="Arial" w:hAnsi="Arial"/>
          <w:b w:val="false"/>
          <w:bCs w:val="false"/>
          <w:sz w:val="21"/>
          <w:szCs w:val="21"/>
          <w:rtl/>
        </w:rPr>
        <w:t xml:space="preserve">شرط NFR-REC-01: نسخة السجل كل 15 دقيقة لا تحقق RPO 15 دقيقة إن بقيت على الخادم نفسه وفُقد الخادم. فالقياس من آخر نسخة وصلت الموقع المنفصل.</w:t>
      </w:r>
    </w:p>
    <w:p>
      <w:pPr>
        <w:pStyle w:val="Heading1"/>
        <w:bidi/>
      </w:pPr>
      <w:bookmarkStart w:name="_sec5" w:id="5"/>
      <w:r>
        <w:rPr>
          <w:rFonts w:ascii="Arial" w:cs="Arial" w:eastAsia="Arial" w:hAnsi="Arial"/>
          <w:b/>
          <w:bCs/>
          <w:color w:val="1F3A5F"/>
          <w:sz w:val="32"/>
          <w:szCs w:val="32"/>
          <w:rtl/>
        </w:rPr>
        <w:t xml:space="preserve">5. الأمن (NFR-SEC، ويحل محل DOC-S14)</w:t>
      </w:r>
      <w:bookmarkEnd w:id="5"/>
    </w:p>
    <w:p>
      <w:pPr>
        <w:bidi/>
        <w:spacing w:after="110" w:before="0" w:line="312"/>
      </w:pPr>
      <w:r>
        <w:rPr>
          <w:rFonts w:ascii="Arial" w:cs="Arial" w:eastAsia="Arial" w:hAnsi="Arial"/>
          <w:b w:val="false"/>
          <w:bCs w:val="false"/>
          <w:sz w:val="21"/>
          <w:szCs w:val="21"/>
          <w:rtl/>
        </w:rPr>
        <w:t xml:space="preserve">معيار القبول لكل بند هو الهدف نفسه، ويُثبت بالاختبار المذكور. الحالات T-n في db/tests/tenant_isolation_tests.sql، والسيناريوهات AC في DOC-B02.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12"/>
        <w:gridCol w:w="912"/>
        <w:gridCol w:w="912"/>
        <w:gridCol w:w="1878"/>
        <w:gridCol w:w="912"/>
        <w:gridCol w:w="4338"/>
      </w:tblGrid>
      <w:tr>
        <w:trPr>
          <w:cantSplit/>
          <w:tblHeader/>
        </w:trPr>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 ومعيار القبول</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3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NFR-SEC-01</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المشتركين: صفر صفوف عابرة؛ 41 حالة قاعدة تمر في كل بناء؛ كل نقطة API تعيد 404 لمعرّف مشترك آخر</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 لكل حالة</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خطوة CI 7 (tools/ci/db_ci.sh:75-92)، واختبار العبور المولَّد من OpenAPI</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X-SEC-4 (docs/10-detailed-analysis/00-overview-and-cross-cutting.md:139)؛ O-09 (erd_open_items)</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مغلق: بلا ربط صحيح صفر صفوف، حتى الصفوف العامة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وT16c وT28</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docs/10-detailed-analysis/10-m0-m1-platform-organization.md:138</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NFR-SEC-03</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المرور: Argon2id بصيغة PHC بمعاملات لا تقل عن m=65536 وt=3 وp=4؛ tp_app لا يقرأ التجزئة</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 في القاعدة، ونتيجة الحالات</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وT35، ومراجعة كود</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docs/adr/0002-login-and-session-bound-context.md:14-15</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كلمة المرور: 12 خانة افتراضيًا وحد المنصة 10، ومنع المسرَّب وآخر 5 (القيم في DOC-S04)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docs/10-detailed-analysis/10-m0-m1-platform-organization.md:230</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 5 إخفاقات خلال 15 دقيقة تقفل 15 دقيقة؛ القفل الثالث خلال 24 ساعة يحتاج المدير</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 وAC-PLT-2</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db/static/030_session_context.sql:90-98</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NFR-SEC-06</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TOTP إلزامي؛ لا ربط قبل تسجيل نتيجته؛ 10 رموز استرداد لمرة واحدة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 وAC-PLT-2؛ مستخدم MfaEnabled = 0 يربط اليوم بلا MFA (O-24)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docs/10-detailed-analysis/10-m0-m1-platform-organization.md:113؛ db/static/030_session_context.sql:143</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NFR-SEC-07</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خمول 30 دقيقة ومطلقة 12 ساعة؛ الإنهاء والتعطيل يسحبان الربط فورًا</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وT32 وT35 وT37 وAC-PLT-12؛ T35 يمنع tp_app من تمديد المهلة المطلقة، ولا حالة لانقضائها بعد</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db/static/030_session_context.sql:116-118</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NFR-SEC-08</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كشف لوجود الحسابات: خطأ واحد 50005 لكل فشل دخول، ورسالة واجهة واحدة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وAC-PLT-2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db/static/030_session_context.sql:140</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NFR-SEC-09</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1.2 حدًا أدنى و1.3 مفضّلًا مع HSTS؛ لا SSLv3 ولا TLS 1.0 أو 1.1</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فحص الخادم</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TLS آلي بعد كل نشر (DOC-S05)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O-08 (erd_open_items)</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المقيّدة مشفّرة على مستوى العمود، تُعرض مقنَّعة، وكل كشف مدقَّق؛ tp_readonly لا يقرؤها</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وT23، والقاعدتان R7 وR8 في check_grants.py، وAC-PTY-1</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وX-SEC-3 (docs/10-detailed-analysis/00-overview-and-cross-cutting.md:137-138)</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NFR-SEC-11</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للإدراج فقط: tp_app لا يعدّل ولا يحذف؛ سلسلة بصمات في S2 بمرساة خارجية</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 إلى T15، والقاعدة R9، وFR-PLT-025 في S2</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X-AUD-1 (docs/10-detailed-analysis/00-overview-and-cross-cutting.md:147)؛ O-13 (20-database-design)</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صلاحية في القاعدة: القواعد R1 إلى R10 تمر في كل بناء</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الأداة 0</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خطوة CI 3 (tools/ci/db_ci.sh:49)</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docs/20-database-design.md:488</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NFR-SEC-13</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التطبيق: OWASP ASVS المستوى 2 هدفًا؛ ملفات ارتباط آمنة بـ SameSite، وCSRF، وCSP، وتقييد المعدل</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قائمة ASVS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 وتفاصيل الضوابط في DOC-S03</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X-SEC-5 (docs/10-detailed-analysis/00-overview-and-cross-cutting.md:140)؛ docs/10-detailed-analysis/10-m0-m1-platform-organization.md:585</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NFR-SEC-14</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السجلات خالية من أرقام الهويات وكلمات المرور ورموز الجلسات</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التطابقات = 0</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آلي لسجلات اختبار القبول بأنماط محظورة </w:t>
            </w:r>
            <w:r>
              <w:rPr>
                <w:rFonts w:ascii="Arial" w:cs="Arial" w:eastAsia="Arial" w:hAnsi="Arial"/>
                <w:color w:val="E0A800"/>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docs/10-detailed-analysis/10-m0-m1-platform-organization.md:586</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الرفع: فحص المحتوى لا الامتداد، حد 25 ميغابايت، فحص البرمجيات الخبيثة قبل الإتاحة</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docs/10-detailed-analysis/10-m0-m1-platform-organization.md:131</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NFR-SEC-16</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 لا Preview ولا RC، ولا ثغرة معروفة عالية أو حرجة بلا معالجة عند الإصدار </w:t>
            </w:r>
            <w:r>
              <w:rPr>
                <w:rFonts w:ascii="Arial" w:cs="Arial" w:eastAsia="Arial" w:hAnsi="Arial"/>
                <w:color w:val="E0A800"/>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البوابة وفحص الحزم</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FR-PLT-045 وAC-PLT-4 (DOC-B11)</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NFR-SEC-17</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المُعِدّ غير المعتمِد، والصلاحيات الحساسة مقفلة على TM وFO</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 وسيناريوهات S1-ب</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4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X-SEC-7 (docs/10-detailed-analysis/00-overview-and-cross-cutting.md:142)؛ BR-PLT-019</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NFR-SEC-18</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اختراق قبل التجربة، بلا نتيجة حرجة أو عالية مفتوحة</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الاختبار</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 وDOC-B12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الأمن</w:t>
            </w:r>
          </w:p>
        </w:tc>
        <w:tc>
          <w:tcPr>
            <w:tcW w:type="dxa" w:w="4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docs/10-detailed-analysis/10-m0-m1-platform-organization.md:591</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المخاطر المتبقية داخل المشترك الواحد مسجلة في O-24 (erd_open_items، tools/dbgen/erd_open_items.py:151-156)، ومنها تعديل tp_app لتجزئة كلمة المرور وعدّادات القفل، وحذف سجلات محاولات الدخول، وربط مستخدم بلا MFA. البند نفسه يطلب إغلاقها بإجراءات قبل كتابة كود الدخول في S0، فتصير معايير قبول لـ NFR-SEC-03 و05 و06 بعد القرار؛ وتحليلها في DOC-S01.</w:t>
      </w:r>
    </w:p>
    <w:p>
      <w:pPr>
        <w:pStyle w:val="Heading1"/>
        <w:bidi/>
      </w:pPr>
      <w:bookmarkStart w:name="_sec6" w:id="6"/>
      <w:r>
        <w:rPr>
          <w:rFonts w:ascii="Arial" w:cs="Arial" w:eastAsia="Arial" w:hAnsi="Arial"/>
          <w:b/>
          <w:bCs/>
          <w:color w:val="1F3A5F"/>
          <w:sz w:val="32"/>
          <w:szCs w:val="32"/>
          <w:rtl/>
        </w:rPr>
        <w:t xml:space="preserve">6. قابلية التوسع (NFR-SCL)</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00"/>
        <w:gridCol w:w="1893"/>
        <w:gridCol w:w="900"/>
        <w:gridCol w:w="900"/>
        <w:gridCol w:w="900"/>
        <w:gridCol w:w="4371"/>
      </w:tblGrid>
      <w:tr>
        <w:trPr>
          <w:cantSplit/>
          <w:tblHeader/>
        </w:trPr>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3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NFR-SCL-01</w:t>
            </w:r>
          </w:p>
        </w:tc>
        <w:tc>
          <w:tcPr>
            <w:tcW w:type="dxa" w:w="1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300 مشترك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في قاعدة واحدة دون تقسيم، تفسيرًا لـ«مئات المشتركين»</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 عند 300 مشترك اصطناعي</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حجم قبل S5 </w:t>
            </w:r>
            <w:r>
              <w:rPr>
                <w:rFonts w:ascii="Arial" w:cs="Arial" w:eastAsia="Arial" w:hAnsi="Arial"/>
                <w:color w:val="E0A800"/>
                <w:sz w:val="18"/>
                <w:szCs w:val="18"/>
                <w:rtl/>
              </w:rPr>
              <w:t xml:space="preserve">●</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4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docs/10-detailed-analysis/00-overview-and-cross-cutting.md:170</w:t>
            </w:r>
          </w:p>
        </w:tc>
      </w:tr>
      <w:tr>
        <w:trPr>
          <w:cantSplit/>
        </w:trPr>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NFR-SCL-02</w:t>
            </w:r>
          </w:p>
        </w:tc>
        <w:tc>
          <w:tcPr>
            <w:tcW w:type="dxa" w:w="1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50,000 سجل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لكل جدول رئيسي لكل مشترك، تفسيرًا لـ«عشرات الآلاف»</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مجموعة بيانات الاختبار</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 بيانات اصطناعية (DOC-B06)</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4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docs/10-detailed-analysis/00-overview-and-cross-cutting.md:167</w:t>
            </w:r>
          </w:p>
        </w:tc>
      </w:tr>
      <w:tr>
        <w:trPr>
          <w:cantSplit/>
        </w:trPr>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NFR-SCL-03</w:t>
            </w:r>
          </w:p>
        </w:tc>
        <w:tc>
          <w:tcPr>
            <w:tcW w:type="dxa" w:w="18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مراقبة نمو aud.AuditLog وwfl.RequestAction وntf.NotificationDelivery، وقرار أرشفة عند 10 ملايين صف </w:t>
            </w:r>
            <w:r>
              <w:rPr>
                <w:rFonts w:ascii="Arial" w:cs="Arial" w:eastAsia="Arial" w:hAnsi="Arial"/>
                <w:color w:val="E0A800"/>
                <w:sz w:val="18"/>
                <w:szCs w:val="18"/>
                <w:rtl/>
              </w:rPr>
              <w:t xml:space="preserve">●</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 الصفوف شهريًا</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تشغيل</w:t>
            </w:r>
          </w:p>
        </w:tc>
        <w:tc>
          <w:tcPr>
            <w:tcW w:type="dxa" w:w="9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docs/20-database-design.md:466</w:t>
            </w:r>
          </w:p>
        </w:tc>
      </w:tr>
      <w:tr>
        <w:trPr>
          <w:cantSplit/>
        </w:trPr>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NFR-SCL-04</w:t>
            </w:r>
          </w:p>
        </w:tc>
        <w:tc>
          <w:tcPr>
            <w:tcW w:type="dxa" w:w="18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الباقة الناعمة تنبّه عند 90% ولا تمنع</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عدّادات الاستخدام</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9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4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docs/10-detailed-analysis/10-m0-m1-platform-organization.md:106</w:t>
            </w:r>
          </w:p>
        </w:tc>
      </w:tr>
    </w:tbl>
    <w:p>
      <w:pPr>
        <w:bidi/>
        <w:spacing w:after="120" w:before="0"/>
      </w:pPr>
    </w:p>
    <w:p>
      <w:pPr>
        <w:pStyle w:val="Heading1"/>
        <w:bidi/>
      </w:pPr>
      <w:bookmarkStart w:name="_sec7" w:id="7"/>
      <w:r>
        <w:rPr>
          <w:rFonts w:ascii="Arial" w:cs="Arial" w:eastAsia="Arial" w:hAnsi="Arial"/>
          <w:b/>
          <w:bCs/>
          <w:color w:val="1F3A5F"/>
          <w:sz w:val="32"/>
          <w:szCs w:val="32"/>
          <w:rtl/>
        </w:rPr>
        <w:t xml:space="preserve">7. إمكانية الوصول (NFR-ACC)</w:t>
      </w:r>
      <w:bookmarkEnd w:id="7"/>
    </w:p>
    <w:p>
      <w:pPr>
        <w:bidi/>
        <w:spacing w:after="110" w:before="0" w:line="312"/>
      </w:pPr>
      <w:r>
        <w:rPr>
          <w:rFonts w:ascii="Arial" w:cs="Arial" w:eastAsia="Arial" w:hAnsi="Arial"/>
          <w:b w:val="false"/>
          <w:bCs w:val="false"/>
          <w:sz w:val="21"/>
          <w:szCs w:val="21"/>
          <w:rtl/>
        </w:rPr>
        <w:t xml:space="preserve">§6.4 يطلب «واجهة تدعم لوحة المفاتيح وقارئات الشاشة بحدود معقولة، وعربية RTL كاملة» (docs/10-detailed-analysis/00-overview-and-cross-cutting.md:172). الشق الأول يُفسَّر هنا بمعيار قابل للقياس، والشق الثاني يحسمه قرار اللغة في DQ-B03-1.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5184"/>
      </w:tblGrid>
      <w:tr>
        <w:trPr>
          <w:cantSplit/>
          <w:tblHeader/>
        </w:trPr>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51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WCAG 2.1 المستوى AA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لشاشات S0 وS1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مخالفات حرجة أو جسيمة في الفحص الآلي</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axe-core ضمن اختبارات Playwright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ومراجعة يدوية لكل شريحة</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مصمم UX</w:t>
            </w:r>
          </w:p>
        </w:tc>
        <w:tc>
          <w:tcPr>
            <w:tcW w:type="dxa" w:w="51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NFR-ACC-02</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إجراء في الشاشات ممكن بلوحة المفاتيح، والتركيز ظاهر</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فحص لكل شاشة</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 لكل شاشة في DOC-B07</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51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w:t>
            </w:r>
          </w:p>
        </w:tc>
      </w:tr>
      <w:tr>
        <w:trPr>
          <w:cantSplit/>
        </w:trPr>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NFR-ACC-03</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حقل تسمية مقروءة، والأخطاء تُعلن لقارئ الشاشة</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الآلي واليدوي</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NFR-ACC-01</w:t>
            </w:r>
          </w:p>
        </w:tc>
        <w:tc>
          <w:tcPr>
            <w:tcW w:type="dxa" w:w="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مصمم UX</w:t>
            </w:r>
          </w:p>
        </w:tc>
        <w:tc>
          <w:tcPr>
            <w:tcW w:type="dxa" w:w="51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w:t>
            </w:r>
          </w:p>
        </w:tc>
      </w:tr>
      <w:tr>
        <w:trPr>
          <w:cantSplit/>
        </w:trPr>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NFR-ACC-04</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الإنجليزية LTR الآن، والتخطيط جاهز لـ RTL دون إعادة بناء</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المحليّة التجريبية RTL بلا كسر</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c>
          <w:tcPr>
            <w:tcW w:type="dxa" w:w="51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docs/10-detailed-analysis/10-m0-m1-platform-organization.md:134</w:t>
            </w:r>
          </w:p>
        </w:tc>
      </w:tr>
    </w:tbl>
    <w:p>
      <w:pPr>
        <w:bidi/>
        <w:spacing w:after="120" w:before="0"/>
      </w:pPr>
    </w:p>
    <w:p>
      <w:pPr>
        <w:pStyle w:val="Heading1"/>
        <w:bidi/>
      </w:pPr>
      <w:bookmarkStart w:name="_sec8" w:id="8"/>
      <w:r>
        <w:rPr>
          <w:rFonts w:ascii="Arial" w:cs="Arial" w:eastAsia="Arial" w:hAnsi="Arial"/>
          <w:b/>
          <w:bCs/>
          <w:color w:val="1F3A5F"/>
          <w:sz w:val="32"/>
          <w:szCs w:val="32"/>
          <w:rtl/>
        </w:rPr>
        <w:t xml:space="preserve">8. التشغيل (NFR-OPS)</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97"/>
        <w:gridCol w:w="1844"/>
        <w:gridCol w:w="897"/>
        <w:gridCol w:w="897"/>
        <w:gridCol w:w="897"/>
        <w:gridCol w:w="4432"/>
      </w:tblGrid>
      <w:tr>
        <w:trPr>
          <w:cantSplit/>
          <w:tblHeader/>
        </w:trPr>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4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NFR-OPS-01</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تشغيل مركزية بمعرّف ارتباط واحد للطلب يمر إلى sec.usp_SetSessionContext عبر @CorrelationId</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المعرّف نفسه في سجل التطبيق وسجل التدقيق</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(المواصفة في DOC-S12)</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 db/static/030_session_context.sql:169</w:t>
            </w:r>
          </w:p>
        </w:tc>
      </w:tr>
      <w:tr>
        <w:trPr>
          <w:cantSplit/>
        </w:trPr>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NFR-OPS-02</w:t>
            </w:r>
          </w:p>
        </w:tc>
        <w:tc>
          <w:tcPr>
            <w:tcW w:type="dxa" w:w="1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تتبّع الأخطاء ولوحة صحة للمشغّل</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وجود اللوحة وتغطيتها للمكونات</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قبل الإطلاق</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4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NFR-OPS-03</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 آخر تشغيل ومدته ونتيجته ظاهرة، وإعادة المحاولة خلال ساعة</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المهام</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docs/10-detailed-analysis/10-m0-m1-platform-organization.md:146</w:t>
            </w:r>
          </w:p>
        </w:tc>
      </w:tr>
      <w:tr>
        <w:trPr>
          <w:cantSplit/>
        </w:trPr>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NFR-OPS-04</w:t>
            </w:r>
          </w:p>
        </w:tc>
        <w:tc>
          <w:tcPr>
            <w:tcW w:type="dxa" w:w="1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الحدث الأمني الفوري يصل مستلمه خلال دقيقة</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الفارق بين الحدث والتسليم</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docs/10-detailed-analysis/13-m6-workflow-engine-notifications.md:217</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NFR-OPS-05</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إصدار GA دائمًا، ومراجعة كل GA جديد خلال 30 يومًا، وتنبيه أسبوعي</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الإصدارات وتاريخ المراجعة</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w:t>
            </w:r>
          </w:p>
        </w:tc>
      </w:tr>
      <w:tr>
        <w:trPr>
          <w:cantSplit/>
        </w:trPr>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NFR-OPS-06</w:t>
            </w:r>
          </w:p>
        </w:tc>
        <w:tc>
          <w:tcPr>
            <w:tcW w:type="dxa" w:w="1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قابل للتكرار من خط واحد: القاعدة بـ deploy.sh والترحيلات المرقّمة</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النشر على قاعدة جديدة وعلى نسخة الإصدار السابق</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docs/adr/0001-schema-work-on-linux.md:19</w:t>
            </w:r>
          </w:p>
        </w:tc>
      </w:tr>
      <w:tr>
        <w:trPr>
          <w:cantSplit/>
        </w:trPr>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NFR-OPS-07</w:t>
            </w:r>
          </w:p>
        </w:tc>
        <w:tc>
          <w:tcPr>
            <w:tcW w:type="dxa" w:w="1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مزامنة ساعات الخوادم بفارق ≤ 1 ثانية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لأن القفل والجلسات تُحسب بـ SYSUTCDATETIME وTOTP يُحسب في التطبيق</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فارق الساعة عن مصدر الوقت</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مراقبة دوري</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c>
          <w:tcPr>
            <w:tcW w:type="dxa" w:w="44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db/static/030_session_context.sql:56</w:t>
            </w:r>
          </w:p>
        </w:tc>
      </w:tr>
    </w:tbl>
    <w:p>
      <w:pPr>
        <w:bidi/>
        <w:spacing w:after="120" w:before="0"/>
      </w:pPr>
    </w:p>
    <w:p>
      <w:pPr>
        <w:pStyle w:val="Heading1"/>
        <w:bidi/>
      </w:pPr>
      <w:bookmarkStart w:name="_sec9" w:id="9"/>
      <w:r>
        <w:rPr>
          <w:rFonts w:ascii="Arial" w:cs="Arial" w:eastAsia="Arial" w:hAnsi="Arial"/>
          <w:b/>
          <w:bCs/>
          <w:color w:val="1F3A5F"/>
          <w:sz w:val="32"/>
          <w:szCs w:val="32"/>
          <w:rtl/>
        </w:rPr>
        <w:t xml:space="preserve">9. اللغة والتوطين (NFR-I18N)</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18"/>
        <w:gridCol w:w="1547"/>
        <w:gridCol w:w="918"/>
        <w:gridCol w:w="918"/>
        <w:gridCol w:w="918"/>
        <w:gridCol w:w="4645"/>
      </w:tblGrid>
      <w:tr>
        <w:trPr>
          <w:cantSplit/>
          <w:tblHeader/>
        </w:trPr>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5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القياس</w:t>
            </w:r>
          </w:p>
        </w:tc>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إجراء الاختبار</w:t>
            </w:r>
          </w:p>
        </w:tc>
        <w:tc>
          <w:tcPr>
            <w:tcW w:type="dxa" w:w="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c>
          <w:tcPr>
            <w:tcW w:type="dxa" w:w="46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NFR-I18N-01</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الإنجليزية لغة الواجهة الأساس، وكل نص مرئي من ملفات الموارد</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نصوص ثابتة</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 ضمن AC-PLT-16</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docs/10-detailed-analysis/10-m0-m1-platform-organization.md:134</w:t>
            </w:r>
          </w:p>
        </w:tc>
      </w:tr>
      <w:tr>
        <w:trPr>
          <w:cantSplit/>
        </w:trPr>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NFR-I18N-02</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جاهزية RTL بخصائص CSS منطقية، والمحليّة التجريبية RTL لا تكسر أي صفحة</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تداخل أو قص</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تخطيط آلي ضمن AC-PLT-16</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الواجهة الأمامية</w:t>
            </w:r>
          </w:p>
        </w:tc>
        <w:tc>
          <w:tcPr>
            <w:tcW w:type="dxa" w:w="4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docs/10-detailed-analysis/10-m0-m1-platform-organization.md:134</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NFR-I18N-03</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ميلادي مخزَّن، وهجري أم القرى معروض ومدخل في حقول معلَّمة</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docs/10-detailed-analysis/10-m0-m1-platform-organization.md:135</w:t>
            </w:r>
          </w:p>
        </w:tc>
      </w:tr>
      <w:tr>
        <w:trPr>
          <w:cantSplit/>
        </w:trPr>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NFR-I18N-04</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الوقت مخزَّن UTC ومعروض بتوقيت المشترك، والأرقام 0-9 افتراضيًا</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docs/10-detailed-analysis/10-m0-m1-platform-organization.md:136</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NFR-I18N-05</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الكتالوجات بلغتين</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كتالوج يحمل الاسمين</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النموذج </w:t>
            </w:r>
            <w:r>
              <w:rPr>
                <w:rFonts w:ascii="Arial" w:cs="Arial" w:eastAsia="Arial" w:hAnsi="Arial"/>
                <w:color w:val="E0A800"/>
                <w:sz w:val="18"/>
                <w:szCs w:val="18"/>
                <w:rtl/>
              </w:rPr>
              <w:t xml:space="preserve">●</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X-DAT-6 (docs/10-detailed-analysis/00-overview-and-cross-cutting.md:160)</w:t>
            </w:r>
          </w:p>
        </w:tc>
      </w:tr>
      <w:tr>
        <w:trPr>
          <w:cantSplit/>
        </w:trPr>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NFR-I18N-06</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العربي بالتطبيع، وترتيب القاعدة Arabic_100_CI_AS_SC، ومقارنة ثنائية حيث تلزم حساسية الحالة</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البحث والمقارنة</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4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db/deploy.sql:18؛ docs/adr/0002-login-and-session-bound-context.md:20</w:t>
            </w:r>
          </w:p>
        </w:tc>
      </w:tr>
      <w:tr>
        <w:trPr>
          <w:cantSplit/>
        </w:trPr>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NFR-I18N-07</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الإشعار: مفضّلة المستخدم ثم لغة المشترك ثم الإنجليزية </w:t>
            </w:r>
            <w:r>
              <w:rPr>
                <w:rFonts w:ascii="Arial" w:cs="Arial" w:eastAsia="Arial" w:hAnsi="Arial"/>
                <w:color w:val="E0A800"/>
                <w:sz w:val="18"/>
                <w:szCs w:val="18"/>
                <w:rtl/>
              </w:rPr>
              <w:t xml:space="preserve">●</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السيناريو</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c>
          <w:tcPr>
            <w:tcW w:type="dxa" w:w="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c>
          <w:tcPr>
            <w:tcW w:type="dxa" w:w="4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docs/10-detailed-analysis/13-m6-workflow-engine-notifications.md:223</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10. التحقق بحسب الشريحة</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81"/>
        <w:gridCol w:w="6683"/>
      </w:tblGrid>
      <w:tr>
        <w:trPr>
          <w:cantSplit/>
          <w:tblHeader/>
        </w:trPr>
        <w:tc>
          <w:tcPr>
            <w:tcW w:type="dxa" w:w="3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66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البنود التي تُثبت قبل الخروج</w:t>
            </w:r>
          </w:p>
        </w:tc>
      </w:tr>
      <w:tr>
        <w:trPr>
          <w:cantSplit/>
        </w:trPr>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6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NFR-SEC-01 إلى 12 و14 و16، NFR-PERF-05 و06، NFR-AVL-03 في بيئة الاختبار، NFR-ACC-01 إلى 04 لشاشات S0، NFR-OPS-01 و03 و05 و06 و07، NFR-I18N-01 إلى 04</w:t>
            </w:r>
          </w:p>
        </w:tc>
      </w:tr>
      <w:tr>
        <w:trPr>
          <w:cantSplit/>
        </w:trPr>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6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NFR-PERF-02، NFR-SEC-15 و17، NFR-I18N-05 إلى 07، NFR-ACC لشاشات S1</w:t>
            </w:r>
          </w:p>
        </w:tc>
      </w:tr>
      <w:tr>
        <w:trPr>
          <w:cantSplit/>
        </w:trPr>
        <w:tc>
          <w:tcPr>
            <w:tcW w:type="dxa" w:w="3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6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 و03 و04 و07، NFR-SCL-02، NFR-SEC-11 للسلسلة</w:t>
            </w:r>
          </w:p>
        </w:tc>
      </w:tr>
      <w:tr>
        <w:trPr>
          <w:cantSplit/>
        </w:trPr>
        <w:tc>
          <w:tcPr>
            <w:tcW w:type="dxa" w:w="3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الإطلاق</w:t>
            </w:r>
          </w:p>
        </w:tc>
        <w:tc>
          <w:tcPr>
            <w:tcW w:type="dxa" w:w="6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NFR-AVL-01 و02، NFR-REC-01 إلى 06 بعد اعتماد الأرقام، NFR-SCL-01 و03، NFR-SEC-13 و18، NFR-OPS-02 و04</w:t>
            </w:r>
          </w:p>
        </w:tc>
      </w:tr>
    </w:tbl>
    <w:p>
      <w:pPr>
        <w:bidi/>
        <w:spacing w:after="120" w:before="0"/>
      </w:pPr>
    </w:p>
    <w:p>
      <w:pPr>
        <w:pStyle w:val="Heading1"/>
        <w:bidi/>
      </w:pPr>
      <w:bookmarkStart w:name="_sec11" w:id="11"/>
      <w:r>
        <w:rPr>
          <w:rFonts w:ascii="Arial" w:cs="Arial" w:eastAsia="Arial" w:hAnsi="Arial"/>
          <w:b/>
          <w:bCs/>
          <w:color w:val="1F3A5F"/>
          <w:sz w:val="32"/>
          <w:szCs w:val="32"/>
          <w:rtl/>
        </w:rPr>
        <w:t xml:space="preserve">11. القرارات المطلوبة</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2"/>
        <w:gridCol w:w="3412"/>
        <w:gridCol w:w="952"/>
        <w:gridCol w:w="3411"/>
        <w:gridCol w:w="1137"/>
      </w:tblGrid>
      <w:tr>
        <w:trPr>
          <w:cantSplit/>
          <w:tblHeader/>
        </w:trPr>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34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34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1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DQ-B03-1</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يطلب «عربية RTL كاملة» (docs/10-detailed-analysis/00-overview-and-cross-cutting.md:172)، وقرار 2026-10-10 يجعل الإنجليزية الأساس والعربية لاحقًا</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قرار مسجَّل ومحسوم: الإنجليزية LTR الآن مع تخطيط جاهز لـ RTL (NFR-ACC-04 وNFR-I18N-01 و02)، والعربية الكاملة إصدار لاحق؛ ويُصحَّح نص السطر 172</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وقد قرر في 2026-10-10 (docs/10-detailed-analysis/00-overview-and-cross-cutting.md:320)</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S0</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DQ-B03-2</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RPO ≤ 15 دقيقة وRTO ≤ 4 ساعات</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اعتمادهما مع شرط النسخ خارج الخادم، وتثبيتهما بعد أول تمرين استعادة مقاس</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مدير التشغيل</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الإطلاق، O-14 (20-database-design)</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DQ-B03-3</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99.5% مع خادم واحد وRTO 4 ساعات: استعادة كاملة واحدة تتجاوز ميزانية الشهر</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الإبقاء على الرقمين، وتسجيل الشهر الذي تقع فيه استعادة كاملة خرقًا معلنًا، ومراجعتهما بعد التمرين</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مدير التشغيل</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NFR-AVL-01</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DQ-B03-4</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تفسير «عشرات الآلاف» و«مئات المشتركين»</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50,000 سجل لكل جدول رئيسي لكل مشترك، و300 مشترك</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مالك المنتج</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NFR-PERF-01، NFR-SCL</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DQ-B03-5</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الصيانة</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ساعتان أسبوعيًا خارج ساعات العمل بإشعار 48 ساعة</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NFR-AVL-02</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DQ-B03-6</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معيار إمكانية الوصول</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WCAG 2.1 المستوى AA</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NFR-ACC-01</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DQ-B03-7</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التجزئات المتزامنة للدخول</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طابور بحد 8 تجزئات متزامنة لكل عقدة تطبيق، يُضبط بعد NFR-PERF-05</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 مع مهندس الأمن</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خادم التطبيق</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DQ-B03-8</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الرجوع في الإشعار</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الإنجليزية (DQ-B02-2)</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NFR-I18N-07</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DQ-B03-9</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قياس الأداء</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اختبار بموارد خادم الإنتاج نفسها</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DQ-B03-10</w:t>
            </w:r>
          </w:p>
        </w:tc>
        <w:tc>
          <w:tcPr>
            <w:tcW w:type="dxa" w:w="34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 الزمنية الأخرى غير الموثقة (زمن فتح الصفحة الأولى، زمن التصدير)</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أهداف إضافية الآن، ويُكتفى بـ NFR-PERF-01</w:t>
            </w:r>
          </w:p>
        </w:tc>
        <w:tc>
          <w:tcPr>
            <w:tcW w:type="dxa" w:w="34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DQ-B03-11</w:t>
            </w:r>
          </w:p>
        </w:tc>
        <w:tc>
          <w:tcPr>
            <w:tcW w:type="dxa" w:w="34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القاعدة من زمن الشاشة في NFR-PERF-01</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200 مللي ثانية في p95 لما تقرؤه الشاشة من القاعدة، أي عُشر الثانيتين، والباقي للخدمة والشبكة والعرض. يستعمله تقرير القياس هدفًا (docs/40)</w:t>
            </w:r>
          </w:p>
        </w:tc>
        <w:tc>
          <w:tcPr>
            <w:tcW w:type="dxa" w:w="34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قائد قاعدة البيانات</w:t>
            </w:r>
          </w:p>
        </w:tc>
        <w:tc>
          <w:tcPr>
            <w:tcW w:type="dxa" w:w="1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ميزانية الاستعلامات</w:t>
            </w:r>
          </w:p>
        </w:tc>
      </w:tr>
    </w:tbl>
    <w:p>
      <w:pPr>
        <w:bidi/>
        <w:spacing w:after="120" w:before="0"/>
      </w:pPr>
    </w:p>
    <w:p>
      <w:pPr>
        <w:pStyle w:val="Heading1"/>
        <w:bidi/>
      </w:pPr>
      <w:bookmarkStart w:name="_sec12" w:id="12"/>
      <w:r>
        <w:rPr>
          <w:rFonts w:ascii="Arial" w:cs="Arial" w:eastAsia="Arial" w:hAnsi="Arial"/>
          <w:b/>
          <w:bCs/>
          <w:color w:val="1F3A5F"/>
          <w:sz w:val="32"/>
          <w:szCs w:val="32"/>
          <w:rtl/>
        </w:rPr>
        <w:t xml:space="preserve">12. تعارضات وفجوات في المصادر</w:t>
      </w:r>
      <w:bookmarkEnd w:id="12"/>
    </w:p>
    <w:p>
      <w:pPr>
        <w:pStyle w:val="ListParagraph"/>
        <w:numPr>
          <w:ilvl w:val="0"/>
          <w:numId w:val="3"/>
        </w:numPr>
        <w:bidi/>
        <w:spacing w:after="70" w:before="0" w:line="300"/>
      </w:pPr>
      <w:r>
        <w:rPr>
          <w:rFonts w:ascii="Arial" w:cs="Arial" w:eastAsia="Arial" w:hAnsi="Arial"/>
          <w:b w:val="false"/>
          <w:bCs w:val="false"/>
          <w:sz w:val="21"/>
          <w:szCs w:val="21"/>
          <w:rtl/>
        </w:rPr>
        <w:t xml:space="preserve">اللغة: «عربية RTL كاملة» في docs/10-detailed-analysis/00-overview-and-cross-cutting.md:172، و«واجهة ويب RTL عربي/إنجليزي» في السطر 107، والافتراضي القديم «عربية كاملة» في السطر 303، كلها تخالف القرار في السطر 320 وFR-PLT-032 (docs/10-detailed-analysis/10-m0-m1-platform-organization.md:134). وكذلك docs/01-preliminary-analysis.md:333 («اللغة: عربية RTL») وFR-NTF-024 الذي يرجع إلى العربية (docs/10-detailed-analysis/13-m6-workflow-engine-notifications.md:223).</w:t>
      </w:r>
    </w:p>
    <w:p>
      <w:pPr>
        <w:pStyle w:val="ListParagraph"/>
        <w:numPr>
          <w:ilvl w:val="0"/>
          <w:numId w:val="3"/>
        </w:numPr>
        <w:bidi/>
        <w:spacing w:after="70" w:before="0" w:line="300"/>
      </w:pPr>
      <w:r>
        <w:rPr>
          <w:rFonts w:ascii="Arial" w:cs="Arial" w:eastAsia="Arial" w:hAnsi="Arial"/>
          <w:b w:val="false"/>
          <w:bCs w:val="false"/>
          <w:sz w:val="21"/>
          <w:szCs w:val="21"/>
          <w:rtl/>
        </w:rPr>
        <w:t xml:space="preserve">RPO/RTO: تظهر قيمًا في docs/10-detailed-analysis/00-overview-and-cross-cutting.md:169 وdocs/10-detailed-analysis/10-m0-m1-platform-organization.md:590، بينما تقول docs/20-database-design.md:463 إنها لم تُحدَّد، وتسجلها O-14 في السطر 542.</w:t>
      </w:r>
    </w:p>
    <w:p>
      <w:pPr>
        <w:pStyle w:val="ListParagraph"/>
        <w:numPr>
          <w:ilvl w:val="0"/>
          <w:numId w:val="3"/>
        </w:numPr>
        <w:bidi/>
        <w:spacing w:after="70" w:before="0" w:line="300"/>
      </w:pPr>
      <w:r>
        <w:rPr>
          <w:rFonts w:ascii="Arial" w:cs="Arial" w:eastAsia="Arial" w:hAnsi="Arial"/>
          <w:b w:val="false"/>
          <w:bCs w:val="false"/>
          <w:sz w:val="21"/>
          <w:szCs w:val="21"/>
          <w:rtl/>
        </w:rPr>
        <w:t xml:space="preserve">تصادم المعرّف O-14: في docs/20-database-design.md:542 هو أرقام RPO/RTO، وفي tools/dbgen/erd_open_items.py:98-101 هو خطة الشرائح. هذه الوثيقة تقصد الأول.</w:t>
      </w:r>
    </w:p>
    <w:p>
      <w:pPr>
        <w:pStyle w:val="ListParagraph"/>
        <w:numPr>
          <w:ilvl w:val="0"/>
          <w:numId w:val="3"/>
        </w:numPr>
        <w:bidi/>
        <w:spacing w:after="70" w:before="0" w:line="300"/>
      </w:pPr>
      <w:r>
        <w:rPr>
          <w:rFonts w:ascii="Arial" w:cs="Arial" w:eastAsia="Arial" w:hAnsi="Arial"/>
          <w:b w:val="false"/>
          <w:bCs w:val="false"/>
          <w:sz w:val="21"/>
          <w:szCs w:val="21"/>
          <w:rtl/>
        </w:rPr>
        <w:t xml:space="preserve">docs/10-detailed-analysis/00-overview-and-cross-cutting.md:170 يفترض «مئات المشتركين»، وdocs/20-database-design.md:466 يفترض حملًا منخفضًا دون رقم؛ لا تعارض، لكن لا رقم معتمدًا في أي منهما.</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يوجد هدف رقمي للتزامن غير اختبار الحجز (docs/20-database-design.md:271)، ولا هدف لحجم البيانات، قبل هذه الوثيقة.</w:t>
      </w:r>
    </w:p>
    <w:p>
      <w:pPr>
        <w:pStyle w:val="ListParagraph"/>
        <w:numPr>
          <w:ilvl w:val="0"/>
          <w:numId w:val="3"/>
        </w:numPr>
        <w:bidi/>
        <w:spacing w:after="70" w:before="0" w:line="300"/>
      </w:pPr>
      <w:r>
        <w:rPr>
          <w:rFonts w:ascii="Arial" w:cs="Arial" w:eastAsia="Arial" w:hAnsi="Arial"/>
          <w:b w:val="false"/>
          <w:bCs w:val="false"/>
          <w:sz w:val="21"/>
          <w:szCs w:val="21"/>
          <w:rtl/>
        </w:rPr>
        <w:t xml:space="preserve">docs/30-readiness-documents.md:357 يذكر أن 00-overview يقول إن الاستضافة «ويندوز» في السطرين 126 و226 خلافًا لـ ADR 0001؛ النص الحالي فيهما يجعل مضيف القاعدة Ubuntu 24.04 LTS وفق ADR 0001، ويُبقي طبقة التطبيق على Windows Server وفق 01 §13 مطروحة للمراجعة بعد ADR 0001، وهو ما يقوله FR-PLT-045 (docs/10-detailed-analysis/10-m0-m1-platform-organization.md:147)، فلا تعارض مع ADR 0001 الذي يغيّر مضيف القاعدة وحده (docs/adr/0001-schema-work-on-linux.md:10). وملاحظة التحقق في السطر 359 تقول إن ذكر ويندوز صُحّح وفق ADR 0001.</w:t>
      </w:r>
    </w:p>
    <w:p>
      <w:pPr>
        <w:bidi/>
        <w:spacing w:after="60" w:before="0"/>
      </w:pPr>
    </w:p>
    <w:p>
      <w:pPr>
        <w:pStyle w:val="Heading1"/>
        <w:bidi/>
      </w:pPr>
      <w:bookmarkStart w:name="_sec13" w:id="13"/>
      <w:r>
        <w:rPr>
          <w:rFonts w:ascii="Arial" w:cs="Arial" w:eastAsia="Arial" w:hAnsi="Arial"/>
          <w:b/>
          <w:bCs/>
          <w:color w:val="1F3A5F"/>
          <w:sz w:val="32"/>
          <w:szCs w:val="32"/>
          <w:rtl/>
        </w:rPr>
        <w:t xml:space="preserve">13. التتبع</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9"/>
        <w:gridCol w:w="2218"/>
        <w:gridCol w:w="6657"/>
      </w:tblGrid>
      <w:tr>
        <w:trPr>
          <w:cantSplit/>
          <w:tblHeader/>
        </w:trPr>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الأداء، اختبار التزامن، FR-INS-019</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docs/10-detailed-analysis/00-overview-and-cross-cutting.md:167؛ docs/20-database-design.md:271؛ docs/10-detailed-analysis/11-m2-m4-institutions-accounts-catalogs.md:128</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التوفر، ADR 0001</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docs/10-detailed-analysis/00-overview-and-cross-cutting.md:168؛ docs/adr/0001-schema-work-on-linux.md:16</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التعافي، O-14 (20-database-design)</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docs/10-detailed-analysis/00-overview-and-cross-cutting.md:169؛ docs/20-database-design.md:457-463، 542</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X-SEC-1 إلى 7، X-AUD-1، ADR 0002، DOC-S14</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docs/10-detailed-analysis/00-overview-and-cross-cutting.md:134-150؛ docs/adr/0002-login-and-session-bound-context.md؛ docs/30-readiness-documents.md:316-323</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قابلية التوسع، FR-PLT-004</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docs/10-detailed-analysis/00-overview-and-cross-cutting.md:170؛ docs/10-detailed-analysis/10-m0-m1-platform-organization.md:106</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§9</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إمكانية الوصول، FR-PLT-032 إلى 034، Q-PLT-05</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docs/10-detailed-analysis/00-overview-and-cross-cutting.md:172، 320؛ docs/10-detailed-analysis/10-m0-m1-platform-organization.md:134-136</w:t>
            </w:r>
          </w:p>
        </w:tc>
      </w:tr>
      <w:tr>
        <w:trPr>
          <w:cantSplit/>
        </w:trPr>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2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قابلية الدعم، FR-PLT-044، FR-PLT-045، FR-NTF-018</w:t>
            </w:r>
          </w:p>
        </w:tc>
        <w:tc>
          <w:tcPr>
            <w:tcW w:type="dxa" w:w="66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 docs/10-detailed-analysis/10-m0-m1-platform-organization.md:146-147؛ docs/10-detailed-analysis/13-m6-workflow-engine-notifications.md:217</w:t>
            </w:r>
          </w:p>
        </w:tc>
      </w:tr>
      <w:tr>
        <w:trPr>
          <w:cantSplit/>
        </w:trPr>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DQ-B03-1</w:t>
            </w:r>
          </w:p>
        </w:tc>
        <w:tc>
          <w:tcPr>
            <w:tcW w:type="dxa" w:w="22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اللغة 2026-10-10</w:t>
            </w:r>
          </w:p>
        </w:tc>
        <w:tc>
          <w:tcPr>
            <w:tcW w:type="dxa" w:w="66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docs/10-detailed-analysis/00-overview-and-cross-cutting.md:320؛ docs/10-detailed-analysis/90-consolidated-open-questions.md:15</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DOC-B03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685153b6c403ece7a2b9fb221acc7809d41d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DOC-B03 — مواصفة المتطلبات غير الوظيفية</dc:title>
  <dc:creator>Claude</dc:creator>
  <dc:description>BankFas database design document</dc:description>
  <cp:lastModifiedBy>Un-named</cp:lastModifiedBy>
  <cp:revision>1</cp:revision>
  <dcterms:created xsi:type="dcterms:W3CDTF">2026-10-25T01:22:14.502Z</dcterms:created>
  <dcterms:modified xsi:type="dcterms:W3CDTF">2026-10-25T01:22:14.502Z</dcterms:modified>
</cp:coreProperties>
</file>

<file path=docProps/custom.xml><?xml version="1.0" encoding="utf-8"?>
<Properties xmlns="http://schemas.openxmlformats.org/officeDocument/2006/custom-properties" xmlns:vt="http://schemas.openxmlformats.org/officeDocument/2006/docPropsVTypes"/>
</file>