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 بندًا من البنود المعيارية (db/seed/104)، تُعرض منها 51 أولًا (S2-ب OQ-1)؛ يولّدها </w:t>
            </w:r>
            <w:r>
              <w:rPr>
                <w:rFonts w:ascii="Courier New" w:cs="Courier New" w:eastAsia="Courier New" w:hAnsi="Courier New"/>
                <w:b w:val="false"/>
                <w:bCs w:val="false"/>
                <w:color w:val="1F2937"/>
                <w:sz w:val="16"/>
                <w:szCs w:val="16"/>
                <w:shd w:fill="F1F3F5" w:color="auto" w:val="clear"/>
                <w:rtl/>
              </w:rPr>
              <w:t xml:space="preserve">‎tools/dbgen/fin_lines_pack.py‎</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db/model/14-collateral-obligations-financials.model:422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2026-10-25T01:22:24.086Z</dcterms:created>
  <dcterms:modified xsi:type="dcterms:W3CDTF">2026-10-25T01:22:24.086Z</dcterms:modified>
</cp:coreProperties>
</file>

<file path=docProps/custom.xml><?xml version="1.0" encoding="utf-8"?>
<Properties xmlns="http://schemas.openxmlformats.org/officeDocument/2006/custom-properties" xmlns:vt="http://schemas.openxmlformats.org/officeDocument/2006/docPropsVTypes"/>
</file>