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DOC-F03 — تسلسل الدخول وMFA والاسترداد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60"/>
        <w:gridCol w:w="8704"/>
      </w:tblGrid>
      <w:tr>
        <w:trPr>
          <w:cantSplit/>
          <w:tblHeader/>
        </w:trPr>
        <w:tc>
          <w:tcPr>
            <w:tcW w:type="dxa" w:w="11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7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(docs/30-readiness-documents.md)</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الهوية والأمن مع معماري قاعدة البيانات</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إلى FR-PLT-014، FR-PLT-046، BR-PLT-004 إلى BR-PLT-006، AC-PLT-2، O-9 (20-database-design)، O-24 (erd_open_items)</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7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(شكل الرمز والكوكي)، DOC-S04 (قيم السياسة)، DOC-F04 (ربط الاتصال ومصفوفة حالة المشترك)، DOC-F06 (حالات المستخدم)، DOC-S02 (المفاتيح)</w:t>
            </w:r>
          </w:p>
        </w:tc>
      </w:tr>
      <w:tr>
        <w:trPr>
          <w:cantSplit/>
        </w:trPr>
        <w:tc>
          <w:tcPr>
            <w:tcW w:type="dxa" w:w="1160"/>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7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db/static/010_rls.sql، db/static/020_roles_and_grants.sql، db/model/10-platform.model، db/generated/tsql/007_table_grants.sql، db/tests/tenant_isolation_tests.sql، docs/10-detailed-analysis/10-m0-m1-platform-organization.md، docs/20-database-design.md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الفاعلون والمكوّنات</w:t>
        </w:r>
      </w:hyperlink>
    </w:p>
    <w:p>
      <w:pPr>
        <w:bidi/>
        <w:spacing w:after="50" w:before="0"/>
        <w:ind w:left="0"/>
      </w:pPr>
      <w:hyperlink w:history="1" w:anchor="_sec3">
        <w:r>
          <w:rPr>
            <w:rFonts w:ascii="Arial" w:cs="Arial" w:eastAsia="Arial" w:hAnsi="Arial"/>
            <w:b/>
            <w:bCs/>
            <w:color w:val="1F3A5F"/>
            <w:sz w:val="20"/>
            <w:szCs w:val="20"/>
            <w:rtl/>
          </w:rPr>
          <w:t xml:space="preserve">3. ما هو موجود وما هو مقترح</w:t>
        </w:r>
      </w:hyperlink>
    </w:p>
    <w:p>
      <w:pPr>
        <w:bidi/>
        <w:spacing w:after="50" w:before="0"/>
        <w:ind w:left="0"/>
      </w:pPr>
      <w:hyperlink w:history="1" w:anchor="_sec4">
        <w:r>
          <w:rPr>
            <w:rFonts w:ascii="Arial" w:cs="Arial" w:eastAsia="Arial" w:hAnsi="Arial"/>
            <w:b/>
            <w:bCs/>
            <w:color w:val="1F3A5F"/>
            <w:sz w:val="20"/>
            <w:szCs w:val="20"/>
            <w:rtl/>
          </w:rPr>
          <w:t xml:space="preserve">4. حل التعارض مع O-9 (20-database-design)</w:t>
        </w:r>
      </w:hyperlink>
    </w:p>
    <w:p>
      <w:pPr>
        <w:bidi/>
        <w:spacing w:after="50" w:before="0"/>
        <w:ind w:left="0"/>
      </w:pPr>
      <w:hyperlink w:history="1" w:anchor="_sec5">
        <w:r>
          <w:rPr>
            <w:rFonts w:ascii="Arial" w:cs="Arial" w:eastAsia="Arial" w:hAnsi="Arial"/>
            <w:b/>
            <w:bCs/>
            <w:color w:val="1F3A5F"/>
            <w:sz w:val="20"/>
            <w:szCs w:val="20"/>
            <w:rtl/>
          </w:rPr>
          <w:t xml:space="preserve">5. تحديد المشترك والدخول بكلمة المرور</w:t>
        </w:r>
      </w:hyperlink>
    </w:p>
    <w:p>
      <w:pPr>
        <w:bidi/>
        <w:spacing w:after="50" w:before="0"/>
        <w:ind w:left="0"/>
      </w:pPr>
      <w:hyperlink w:history="1" w:anchor="_sec9">
        <w:r>
          <w:rPr>
            <w:rFonts w:ascii="Arial" w:cs="Arial" w:eastAsia="Arial" w:hAnsi="Arial"/>
            <w:b/>
            <w:bCs/>
            <w:color w:val="1F3A5F"/>
            <w:sz w:val="20"/>
            <w:szCs w:val="20"/>
            <w:rtl/>
          </w:rPr>
          <w:t xml:space="preserve">6. خطوة MFA وإصدار الجلسة</w:t>
        </w:r>
      </w:hyperlink>
    </w:p>
    <w:p>
      <w:pPr>
        <w:bidi/>
        <w:spacing w:after="50" w:before="0"/>
        <w:ind w:left="0"/>
      </w:pPr>
      <w:hyperlink w:history="1" w:anchor="_sec13">
        <w:r>
          <w:rPr>
            <w:rFonts w:ascii="Arial" w:cs="Arial" w:eastAsia="Arial" w:hAnsi="Arial"/>
            <w:b/>
            <w:bCs/>
            <w:color w:val="1F3A5F"/>
            <w:sz w:val="20"/>
            <w:szCs w:val="20"/>
            <w:rtl/>
          </w:rPr>
          <w:t xml:space="preserve">7. الخروج وانتهاء الجلسة</w:t>
        </w:r>
      </w:hyperlink>
    </w:p>
    <w:p>
      <w:pPr>
        <w:bidi/>
        <w:spacing w:after="50" w:before="0"/>
        <w:ind w:left="0"/>
      </w:pPr>
      <w:hyperlink w:history="1" w:anchor="_sec14">
        <w:r>
          <w:rPr>
            <w:rFonts w:ascii="Arial" w:cs="Arial" w:eastAsia="Arial" w:hAnsi="Arial"/>
            <w:b/>
            <w:bCs/>
            <w:color w:val="1F3A5F"/>
            <w:sz w:val="20"/>
            <w:szCs w:val="20"/>
            <w:rtl/>
          </w:rPr>
          <w:t xml:space="preserve">8. الدعوة (48 ساعة)</w:t>
        </w:r>
      </w:hyperlink>
    </w:p>
    <w:p>
      <w:pPr>
        <w:bidi/>
        <w:spacing w:after="50" w:before="0"/>
        <w:ind w:left="0"/>
      </w:pPr>
      <w:hyperlink w:history="1" w:anchor="_sec15">
        <w:r>
          <w:rPr>
            <w:rFonts w:ascii="Arial" w:cs="Arial" w:eastAsia="Arial" w:hAnsi="Arial"/>
            <w:b/>
            <w:bCs/>
            <w:color w:val="1F3A5F"/>
            <w:sz w:val="20"/>
            <w:szCs w:val="20"/>
            <w:rtl/>
          </w:rPr>
          <w:t xml:space="preserve">9. إعادة تعيين كلمة المرور (30 دقيقة)</w:t>
        </w:r>
      </w:hyperlink>
    </w:p>
    <w:p>
      <w:pPr>
        <w:bidi/>
        <w:spacing w:after="50" w:before="0"/>
        <w:ind w:left="0"/>
      </w:pPr>
      <w:hyperlink w:history="1" w:anchor="_sec16">
        <w:r>
          <w:rPr>
            <w:rFonts w:ascii="Arial" w:cs="Arial" w:eastAsia="Arial" w:hAnsi="Arial"/>
            <w:b/>
            <w:bCs/>
            <w:color w:val="1F3A5F"/>
            <w:sz w:val="20"/>
            <w:szCs w:val="20"/>
            <w:rtl/>
          </w:rPr>
          <w:t xml:space="preserve">10. فقدان جهاز MFA وإعادة التسجيل</w:t>
        </w:r>
      </w:hyperlink>
    </w:p>
    <w:p>
      <w:pPr>
        <w:bidi/>
        <w:spacing w:after="50" w:before="0"/>
        <w:ind w:left="0"/>
      </w:pPr>
      <w:hyperlink w:history="1" w:anchor="_sec17">
        <w:r>
          <w:rPr>
            <w:rFonts w:ascii="Arial" w:cs="Arial" w:eastAsia="Arial" w:hAnsi="Arial"/>
            <w:b/>
            <w:bCs/>
            <w:color w:val="1F3A5F"/>
            <w:sz w:val="20"/>
            <w:szCs w:val="20"/>
            <w:rtl/>
          </w:rPr>
          <w:t xml:space="preserve">11. إعادة المصادقة قبل التصدير الحساس</w:t>
        </w:r>
      </w:hyperlink>
    </w:p>
    <w:p>
      <w:pPr>
        <w:bidi/>
        <w:spacing w:after="50" w:before="0"/>
        <w:ind w:left="0"/>
      </w:pPr>
      <w:hyperlink w:history="1" w:anchor="_sec18">
        <w:r>
          <w:rPr>
            <w:rFonts w:ascii="Arial" w:cs="Arial" w:eastAsia="Arial" w:hAnsi="Arial"/>
            <w:b/>
            <w:bCs/>
            <w:color w:val="1F3A5F"/>
            <w:sz w:val="20"/>
            <w:szCs w:val="20"/>
            <w:rtl/>
          </w:rPr>
          <w:t xml:space="preserve">12. ما يُسمح به قبل المصادقة</w:t>
        </w:r>
      </w:hyperlink>
    </w:p>
    <w:p>
      <w:pPr>
        <w:bidi/>
        <w:spacing w:after="50" w:before="0"/>
        <w:ind w:left="0"/>
      </w:pPr>
      <w:hyperlink w:history="1" w:anchor="_sec19">
        <w:r>
          <w:rPr>
            <w:rFonts w:ascii="Arial" w:cs="Arial" w:eastAsia="Arial" w:hAnsi="Arial"/>
            <w:b/>
            <w:bCs/>
            <w:color w:val="1F3A5F"/>
            <w:sz w:val="20"/>
            <w:szCs w:val="20"/>
            <w:rtl/>
          </w:rPr>
          <w:t xml:space="preserve">13. القرارات المطلوبة</w:t>
        </w:r>
      </w:hyperlink>
    </w:p>
    <w:p>
      <w:pPr>
        <w:bidi/>
        <w:spacing w:after="50" w:before="0"/>
        <w:ind w:left="0"/>
      </w:pPr>
      <w:hyperlink w:history="1" w:anchor="_sec20">
        <w:r>
          <w:rPr>
            <w:rFonts w:ascii="Arial" w:cs="Arial" w:eastAsia="Arial" w:hAnsi="Arial"/>
            <w:b/>
            <w:bCs/>
            <w:color w:val="1F3A5F"/>
            <w:sz w:val="20"/>
            <w:szCs w:val="20"/>
            <w:rtl/>
          </w:rPr>
          <w:t xml:space="preserve">14. تعارضات وفجوات في المصادر</w:t>
        </w:r>
      </w:hyperlink>
    </w:p>
    <w:p>
      <w:pPr>
        <w:bidi/>
        <w:spacing w:after="50" w:before="0"/>
        <w:ind w:left="0"/>
      </w:pPr>
      <w:hyperlink w:history="1" w:anchor="_sec21">
        <w:r>
          <w:rPr>
            <w:rFonts w:ascii="Arial" w:cs="Arial" w:eastAsia="Arial" w:hAnsi="Arial"/>
            <w:b/>
            <w:bCs/>
            <w:color w:val="1F3A5F"/>
            <w:sz w:val="20"/>
            <w:szCs w:val="20"/>
            <w:rtl/>
          </w:rPr>
          <w:t xml:space="preserve">15.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ربط قبله (DQ-F03-4)؛ مسار ما قبل الدخول بإجراءات ضيقة (DQ-F03-1): </w:t>
      </w:r>
      <w:r>
        <w:rPr>
          <w:rFonts w:ascii="Courier New" w:cs="Courier New" w:eastAsia="Courier New" w:hAnsi="Courier New"/>
          <w:b w:val="false"/>
          <w:bCs w:val="false"/>
          <w:color w:val="1F2937"/>
          <w:sz w:val="18"/>
          <w:szCs w:val="18"/>
          <w:shd w:fill="F1F3F5" w:color="auto" w:val="clear"/>
          <w:rtl/>
        </w:rPr>
        <w:t xml:space="preserve">‎usp_ResolveTenant‎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‎usp_GetMfaChallenge‎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‎usp_CompleteMfaEnrolment‎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‎usp_UseRecoveryCode‎</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‎usp_CompleteInvitation‎</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‎usp_RequestPasswordReset‎</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‎usp_ResetPassword‎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‎usp_ChangePassword‎</w:t>
      </w:r>
      <w:r>
        <w:rPr>
          <w:rFonts w:ascii="Arial" w:cs="Arial" w:eastAsia="Arial" w:hAnsi="Arial"/>
          <w:b w:val="false"/>
          <w:bCs w:val="false"/>
          <w:sz w:val="20"/>
          <w:szCs w:val="20"/>
          <w:rtl/>
        </w:rPr>
        <w:t xml:space="preserve"> و</w:t>
      </w:r>
      <w:r>
        <w:rPr>
          <w:rFonts w:ascii="Courier New" w:cs="Courier New" w:eastAsia="Courier New" w:hAnsi="Courier New"/>
          <w:b w:val="false"/>
          <w:bCs w:val="false"/>
          <w:color w:val="1F2937"/>
          <w:sz w:val="18"/>
          <w:szCs w:val="18"/>
          <w:shd w:fill="F1F3F5" w:color="auto" w:val="clear"/>
          <w:rtl/>
        </w:rPr>
        <w:t xml:space="preserve">‎usp_EndSession‎</w:t>
      </w:r>
      <w:r>
        <w:rPr>
          <w:rFonts w:ascii="Arial" w:cs="Arial" w:eastAsia="Arial" w:hAnsi="Arial"/>
          <w:b w:val="false"/>
          <w:bCs w:val="false"/>
          <w:sz w:val="20"/>
          <w:szCs w:val="20"/>
          <w:rtl/>
        </w:rPr>
        <w:t xml:space="preserve">؛ رابط إعادة تسجيل MFA لمدة 24 ساعة (DQ-F03-8)؛ الخطأ 50006 بعد إثبات كلمة المرور فقط (DQ-F03-11). لم يُبنَ بعد: </w:t>
      </w:r>
      <w:r>
        <w:rPr>
          <w:rFonts w:ascii="Courier New" w:cs="Courier New" w:eastAsia="Courier New" w:hAnsi="Courier New"/>
          <w:b w:val="false"/>
          <w:bCs w:val="false"/>
          <w:color w:val="1F2937"/>
          <w:sz w:val="18"/>
          <w:szCs w:val="18"/>
          <w:shd w:fill="F1F3F5" w:color="auto" w:val="clear"/>
          <w:rtl/>
        </w:rPr>
        <w:t xml:space="preserve">‎usp_CheckUserToken‎</w:t>
      </w:r>
      <w:r>
        <w:rPr>
          <w:rFonts w:ascii="Arial" w:cs="Arial" w:eastAsia="Arial" w:hAnsi="Arial"/>
          <w:b w:val="false"/>
          <w:bCs w:val="false"/>
          <w:sz w:val="20"/>
          <w:szCs w:val="20"/>
          <w:rtl/>
        </w:rPr>
        <w:t xml:space="preserve"> (DQ-F03-5) وحد الدقائق الخمس للجلسة المنتظرة MFA (DQ-F03-2) والتدقيق في aud.AuditLog لمحاولات الدخول (DQ-F03-10).</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تصف الوثيقة كل خطوة من فتح عنوان المشترك الفرعي حتى إصدار رمز جلسة صالح للربط، ثم الخروج. وتغطي الدعوة وإعادة تعيين كلمة المرور وفقدان جهاز MFA وإعادة المصادقة قبل التصدير الحساس.</w:t>
      </w:r>
    </w:p>
    <w:p>
      <w:pPr>
        <w:pStyle w:val="ListParagraph"/>
        <w:numPr>
          <w:ilvl w:val="0"/>
          <w:numId w:val="2"/>
        </w:numPr>
        <w:bidi/>
        <w:spacing w:after="70" w:before="0" w:line="300"/>
      </w:pPr>
      <w:r>
        <w:rPr>
          <w:rFonts w:ascii="Arial" w:cs="Arial" w:eastAsia="Arial" w:hAnsi="Arial"/>
          <w:b/>
          <w:bCs/>
          <w:sz w:val="21"/>
          <w:szCs w:val="21"/>
          <w:rtl/>
        </w:rPr>
        <w:t xml:space="preserve">داخل النطاق:</w:t>
      </w:r>
      <w:r>
        <w:rPr>
          <w:rFonts w:ascii="Arial" w:cs="Arial" w:eastAsia="Arial" w:hAnsi="Arial"/>
          <w:b w:val="false"/>
          <w:bCs w:val="false"/>
          <w:sz w:val="21"/>
          <w:szCs w:val="21"/>
          <w:rtl/>
        </w:rPr>
        <w:t xml:space="preserve"> ما يجري قبل المصادقة، ومن ينفّذ كل خطوة (التطبيق أم إجراء في القاعدة)، وما هو موجود اليوم وما هو مقترح.</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ربط الاتصال لكل طلب بعد الدخول ومصفوفة حالة المشترك والدور (DOC-F04)، وشكل الكوكي وCSRF وCSP (DOC-S03)، وقيم السياسة الرقمية (DOC-S04)، وانتقالات حالة المستخدم (DOC-F06)، وتهيئة المدير الأول للمشترك (DOC-F05).</w:t>
      </w:r>
    </w:p>
    <w:p>
      <w:pPr>
        <w:bidi/>
        <w:spacing w:after="60" w:before="0"/>
      </w:pPr>
    </w:p>
    <w:p>
      <w:pPr>
        <w:bidi/>
        <w:spacing w:after="110" w:before="0" w:line="312"/>
      </w:pPr>
      <w:r>
        <w:rPr>
          <w:rFonts w:ascii="Arial" w:cs="Arial" w:eastAsia="Arial" w:hAnsi="Arial"/>
          <w:b/>
          <w:bCs/>
          <w:sz w:val="21"/>
          <w:szCs w:val="21"/>
          <w:rtl/>
        </w:rPr>
        <w:t xml:space="preserve">مفتاح 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في المستودع أو مقرر في الوثائق،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 لم يُصمَّم بعد. داخل المخططات يُكتب الاقتراح «[مقترح]».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و«007_table_grants.sql» في db/generated/tsql، و«010_rls.sql» و«025_tenant_views.sql» في db/static، و«10-m0-m1-platform-organization.md» في docs/10-detailed-analysis. أرقام T هي حالات db/tests/tenant_isolation_tests.sql.</w:t>
      </w:r>
    </w:p>
    <w:p>
      <w:pPr>
        <w:pStyle w:val="Heading1"/>
        <w:bidi/>
      </w:pPr>
      <w:bookmarkStart w:name="_sec2" w:id="2"/>
      <w:r>
        <w:rPr>
          <w:rFonts w:ascii="Arial" w:cs="Arial" w:eastAsia="Arial" w:hAnsi="Arial"/>
          <w:b/>
          <w:bCs/>
          <w:color w:val="1F3A5F"/>
          <w:sz w:val="32"/>
          <w:szCs w:val="32"/>
          <w:rtl/>
        </w:rPr>
        <w:t xml:space="preserve">2. الفاعلون والمكوّنات</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5"/>
        <w:gridCol w:w="1773"/>
        <w:gridCol w:w="1064"/>
        <w:gridCol w:w="6032"/>
      </w:tblGrid>
      <w:tr>
        <w:trPr>
          <w:cantSplit/>
          <w:tblHeader/>
        </w:trPr>
        <w:tc>
          <w:tcPr>
            <w:tcW w:type="dxa" w:w="9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المكوّن</w:t>
            </w:r>
          </w:p>
        </w:tc>
        <w:tc>
          <w:tcPr>
            <w:tcW w:type="dxa" w:w="1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دوره في هذا التسلسل</w:t>
            </w:r>
          </w:p>
        </w:tc>
        <w:tc>
          <w:tcPr>
            <w:tcW w:type="dxa" w:w="10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حد الثقة (DOC-F01)</w:t>
            </w:r>
          </w:p>
        </w:tc>
        <w:tc>
          <w:tcPr>
            <w:tcW w:type="dxa" w:w="60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المتصفح</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يحمل كوكي الجلسة فقط، ولا يحسب أي تجزئة</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الوكيل العكسي</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ينهي TLS ويضيف X-Forwarded-For</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DOC-S03، DOC-S05</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(ASP.NET Core)</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يحسب Argon2id، ويتحقق من TOTP، ويولّد رمز الجلسة، ويرسل البريد المعاملاتي</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 TB-3، TB-9</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docs/adr/0002-login-and-session-bound-context.md:19 و:21</w:t>
            </w:r>
          </w:p>
        </w:tc>
      </w:tr>
      <w:tr>
        <w:trPr>
          <w:cantSplit/>
        </w:trPr>
        <w:tc>
          <w:tcPr>
            <w:tcW w:type="dxa" w:w="9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إجراءات القاعدة</w:t>
            </w:r>
          </w:p>
        </w:tc>
        <w:tc>
          <w:tcPr>
            <w:tcW w:type="dxa" w:w="1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تعمل بصفة tp_auth_exec فترى صفوف المشترك قبل الربط</w:t>
            </w:r>
          </w:p>
        </w:tc>
        <w:tc>
          <w:tcPr>
            <w:tcW w:type="dxa" w:w="10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TB-4</w:t>
            </w:r>
          </w:p>
        </w:tc>
        <w:tc>
          <w:tcPr>
            <w:tcW w:type="dxa" w:w="60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db/static/030_session_context.sql:4-14</w:t>
            </w:r>
          </w:p>
        </w:tc>
      </w:tr>
      <w:tr>
        <w:trPr>
          <w:cantSplit/>
        </w:trPr>
        <w:tc>
          <w:tcPr>
            <w:tcW w:type="dxa" w:w="9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مرحّل البريد</w:t>
            </w:r>
          </w:p>
        </w:tc>
        <w:tc>
          <w:tcPr>
            <w:tcW w:type="dxa" w:w="1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يرسل رسالتي الدعوة وإعادة التعيين فقط</w:t>
            </w:r>
          </w:p>
        </w:tc>
        <w:tc>
          <w:tcPr>
            <w:tcW w:type="dxa" w:w="10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TB-10</w:t>
            </w:r>
          </w:p>
        </w:tc>
        <w:tc>
          <w:tcPr>
            <w:tcW w:type="dxa" w:w="60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(10-m0-m1-platform-organization.md:115)</w:t>
            </w:r>
          </w:p>
        </w:tc>
      </w:tr>
    </w:tbl>
    <w:p>
      <w:pPr>
        <w:bidi/>
        <w:spacing w:after="120" w:before="0"/>
      </w:pPr>
    </w:p>
    <w:p>
      <w:pPr>
        <w:bidi/>
        <w:spacing w:after="110" w:before="0" w:line="312"/>
      </w:pPr>
      <w:r>
        <w:rPr>
          <w:rFonts w:ascii="Arial" w:cs="Arial" w:eastAsia="Arial" w:hAnsi="Arial"/>
          <w:b w:val="false"/>
          <w:bCs w:val="false"/>
          <w:sz w:val="21"/>
          <w:szCs w:val="21"/>
          <w:rtl/>
        </w:rPr>
        <w:t xml:space="preserve">تعريف الحدود في DOC-F01، وتهديداتها في DOC-S01.</w:t>
      </w:r>
    </w:p>
    <w:p>
      <w:pPr>
        <w:pStyle w:val="Heading1"/>
        <w:bidi/>
      </w:pPr>
      <w:bookmarkStart w:name="_sec3" w:id="3"/>
      <w:r>
        <w:rPr>
          <w:rFonts w:ascii="Arial" w:cs="Arial" w:eastAsia="Arial" w:hAnsi="Arial"/>
          <w:b/>
          <w:bCs/>
          <w:color w:val="1F3A5F"/>
          <w:sz w:val="32"/>
          <w:szCs w:val="32"/>
          <w:rtl/>
        </w:rPr>
        <w:t xml:space="preserve">3. ما هو موجود وما هو مقترح</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046"/>
        <w:gridCol w:w="7623"/>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الخطوة</w:t>
            </w:r>
          </w:p>
        </w:tc>
        <w:tc>
          <w:tcPr>
            <w:tcW w:type="dxa" w:w="10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76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 أو الاقتراح</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تحديد المشترك من العنوان الفرعي</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لا يقرأ plat.Tenant (noapp، db/model/10-platform.model:31) والعرض plat.v_CurrentTenant يشترط ربطًا (db/static/025_tenant_views.sql:14). المقترح sec.usp_ResolveTenant</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فحص حالة المشترك عند الدخول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معاملات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sec.usp_GetPasswordParams، db/static/030_session_context.sql:23-37</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Argon2id</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في التطبيق</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docs/adr/0002-login-and-session-bound-context.md:19</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 والقفل وإنشاء الجلسة والخطأ 50005</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db/static/030_session_context.sql:39-141، T33 وT34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سر TOTP قبل الربط</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 محمي بالتصفية حتى الربط (db/static/010_rls.sql:51-57)، والربط يشترط MFA (030:198). المقترح sec.usp_GetMfaChallenge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تسجيل نتيجة TOTP</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ومختبر</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sec.usp_ConfirmMfa، 030:143-163، T36</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استهلاك رمز استرداد</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sec.MfaRecoveryCode محمي بالتصفية قبل الربط. المقترح sec.usp_UseRecoveryCode</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ربط الاتصال بعد MFA</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 030:165-227 (التفصيل في DOC-F04)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جزئي</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تحديث EndedAt مسموح لـ tp_app (007_table_grants.sql:40) والمحفّز يسحب الربط (030:269-283، T37). يرفضه fn_BoundWrite في مشترك SUSPENDED (010_rls.sql:40)</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الإصدار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INSERT على sec.AppUser وsec.UserToken (007_table_grants.sql:24 و44)</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القبول</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بلا جلسة، فلا يكتب التطبيق صفه. المقترح sec.usp_CheckUserToken وsec.usp_CompleteInvitation</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تعيين كلمة المرور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المقترح sec.usp_RequestPasswordReset وsec.usp_ResetPassword</w:t>
            </w:r>
          </w:p>
        </w:tc>
      </w:tr>
      <w:tr>
        <w:trPr>
          <w:cantSplit/>
        </w:trPr>
        <w:tc>
          <w:tcPr>
            <w:tcW w:type="dxa" w:w="11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فقدان جهاز MFA</w:t>
            </w:r>
          </w:p>
        </w:tc>
        <w:tc>
          <w:tcPr>
            <w:tcW w:type="dxa" w:w="10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التصفير ممكن بالمنح لمدير الحساب، وإعادة التسجيل غير مصممة</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 قبل التصدير</w:t>
            </w:r>
          </w:p>
        </w:tc>
        <w:tc>
          <w:tcPr>
            <w:tcW w:type="dxa" w:w="10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غير مصمم</w:t>
            </w:r>
          </w:p>
        </w:tc>
        <w:tc>
          <w:tcPr>
            <w:tcW w:type="dxa" w:w="76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تُبنى على MfaVerifiedAt دون تغيير في المخطط</w:t>
            </w:r>
          </w:p>
        </w:tc>
      </w:tr>
    </w:tbl>
    <w:p>
      <w:pPr>
        <w:bidi/>
        <w:spacing w:after="120" w:before="0"/>
      </w:pPr>
    </w:p>
    <w:p>
      <w:pPr>
        <w:pStyle w:val="Heading1"/>
        <w:bidi/>
      </w:pPr>
      <w:bookmarkStart w:name="_sec4" w:id="4"/>
      <w:r>
        <w:rPr>
          <w:rFonts w:ascii="Arial" w:cs="Arial" w:eastAsia="Arial" w:hAnsi="Arial"/>
          <w:b/>
          <w:bCs/>
          <w:color w:val="1F3A5F"/>
          <w:sz w:val="32"/>
          <w:szCs w:val="32"/>
          <w:rtl/>
        </w:rPr>
        <w:t xml:space="preserve">4. حل التعارض مع O-9 (20-database-design)</w:t>
      </w:r>
      <w:bookmarkEnd w:id="4"/>
    </w:p>
    <w:p>
      <w:pPr>
        <w:bidi/>
        <w:spacing w:after="110" w:before="0" w:line="312"/>
      </w:pPr>
      <w:r>
        <w:rPr>
          <w:rFonts w:ascii="Arial" w:cs="Arial" w:eastAsia="Arial" w:hAnsi="Arial"/>
          <w:b/>
          <w:bCs/>
          <w:sz w:val="21"/>
          <w:szCs w:val="21"/>
          <w:rtl/>
        </w:rPr>
        <w:t xml:space="preserve">التعارض.</w:t>
      </w:r>
      <w:r>
        <w:rPr>
          <w:rFonts w:ascii="Arial" w:cs="Arial" w:eastAsia="Arial" w:hAnsi="Arial"/>
          <w:b w:val="false"/>
          <w:bCs w:val="false"/>
          <w:sz w:val="21"/>
          <w:szCs w:val="21"/>
          <w:rtl/>
        </w:rPr>
        <w:t xml:space="preserve"> docs/20-database-design.md:41 يستثني «مسار ما قبل المصادقة» من وثيقة القاعدة، وdocs/20-database-design.md:537 يؤجل O-9 إلى S1 باقتراح sec.usp_SetAuthContext(@TenantId). لكن الدخول وMFA من مخرجات S0 (docs/10-detailed-analysis/00-overview-and-cross-cutting.md:194).</w:t>
      </w:r>
    </w:p>
    <w:p>
      <w:pPr>
        <w:bidi/>
        <w:spacing w:after="110" w:before="0" w:line="312"/>
      </w:pPr>
      <w:r>
        <w:rPr>
          <w:rFonts w:ascii="Arial" w:cs="Arial" w:eastAsia="Arial" w:hAnsi="Arial"/>
          <w:b/>
          <w:bCs/>
          <w:sz w:val="21"/>
          <w:szCs w:val="21"/>
          <w:rtl/>
        </w:rPr>
        <w:t xml:space="preserve">ما تغيّر.</w:t>
      </w:r>
      <w:r>
        <w:rPr>
          <w:rFonts w:ascii="Arial" w:cs="Arial" w:eastAsia="Arial" w:hAnsi="Arial"/>
          <w:b w:val="false"/>
          <w:bCs w:val="false"/>
          <w:sz w:val="21"/>
          <w:szCs w:val="21"/>
          <w:rtl/>
        </w:rPr>
        <w:t xml:space="preserve"> ADR 0002 (مقبول 2026-10-12، docs/adr/0002-login-and-session-bound-context.md:3) نفّذ مسار الدخول بإجراءات تعمل بصفة tp_auth_exec دون سياق مشترك جزئي (db/static/030_session_context.sql:23-163). فجزء الدخول من O-9 محلول فعلًا.</w:t>
      </w:r>
    </w:p>
    <w:p>
      <w:pPr>
        <w:bidi/>
        <w:spacing w:after="110" w:before="0" w:line="312"/>
      </w:pPr>
      <w:r>
        <w:rPr>
          <w:rFonts w:ascii="Arial" w:cs="Arial" w:eastAsia="Arial" w:hAnsi="Arial"/>
          <w:b/>
          <w:bCs/>
          <w:sz w:val="21"/>
          <w:szCs w:val="21"/>
          <w:rtl/>
        </w:rPr>
        <w:t xml:space="preserve">القرار المقترح </w:t>
      </w:r>
      <w:r>
        <w:rPr>
          <w:rFonts w:ascii="Arial" w:cs="Arial" w:eastAsia="Arial" w:hAnsi="Arial"/>
          <w:color w:val="E0A800"/>
          <w:sz w:val="21"/>
          <w:szCs w:val="21"/>
          <w:rtl/>
        </w:rPr>
        <w:t xml:space="preserve">●</w:t>
      </w:r>
      <w:r>
        <w:rPr>
          <w:rFonts w:ascii="Arial" w:cs="Arial" w:eastAsia="Arial" w:hAnsi="Arial"/>
          <w:b/>
          <w:bCs/>
          <w:sz w:val="21"/>
          <w:szCs w:val="21"/>
          <w:rtl/>
        </w:rPr>
        <w:t xml:space="preserve"> (DQ-F03-1):</w:t>
      </w:r>
    </w:p>
    <w:p>
      <w:pPr>
        <w:pStyle w:val="ListParagraph"/>
        <w:numPr>
          <w:ilvl w:val="0"/>
          <w:numId w:val="3"/>
        </w:numPr>
        <w:bidi/>
        <w:spacing w:after="70" w:before="0" w:line="300"/>
      </w:pPr>
      <w:r>
        <w:rPr>
          <w:rFonts w:ascii="Arial" w:cs="Arial" w:eastAsia="Arial" w:hAnsi="Arial"/>
          <w:b w:val="false"/>
          <w:bCs w:val="false"/>
          <w:sz w:val="21"/>
          <w:szCs w:val="21"/>
          <w:rtl/>
        </w:rPr>
        <w:t xml:space="preserve">يدخل O-9 (20-database-design) في نطاق S0 لا S1.</w:t>
      </w:r>
    </w:p>
    <w:p>
      <w:pPr>
        <w:pStyle w:val="ListParagraph"/>
        <w:numPr>
          <w:ilvl w:val="0"/>
          <w:numId w:val="3"/>
        </w:numPr>
        <w:bidi/>
        <w:spacing w:after="70" w:before="0" w:line="300"/>
      </w:pPr>
      <w:r>
        <w:rPr>
          <w:rFonts w:ascii="Arial" w:cs="Arial" w:eastAsia="Arial" w:hAnsi="Arial"/>
          <w:b w:val="false"/>
          <w:bCs w:val="false"/>
          <w:sz w:val="21"/>
          <w:szCs w:val="21"/>
          <w:rtl/>
        </w:rPr>
        <w:t xml:space="preserve">لا يُنشأ sec.usp_SetAuthContext. السياق المقتصر على المشترك يعرض صفوف sec كلها لاتصال غير مصدَّق، ولا يتسق مع الربط الذي يشترط مستخدمًا (BoundUserId إلزامي، db/model/10-platform.model:215).</w:t>
      </w:r>
    </w:p>
    <w:p>
      <w:pPr>
        <w:pStyle w:val="ListParagraph"/>
        <w:numPr>
          <w:ilvl w:val="0"/>
          <w:numId w:val="3"/>
        </w:numPr>
        <w:bidi/>
        <w:spacing w:after="70" w:before="0" w:line="300"/>
      </w:pPr>
      <w:r>
        <w:rPr>
          <w:rFonts w:ascii="Arial" w:cs="Arial" w:eastAsia="Arial" w:hAnsi="Arial"/>
          <w:b w:val="false"/>
          <w:bCs w:val="false"/>
          <w:sz w:val="21"/>
          <w:szCs w:val="21"/>
          <w:rtl/>
        </w:rPr>
        <w:t xml:space="preserve">كل خطوة قبل المصادقة إجراء ضيق بصفة tp_auth_exec على نمط ADR 0002، يأخذ رمزًا لا معرّف مستخدم، ويعيد أقل ما يلزم.</w:t>
      </w:r>
    </w:p>
    <w:p>
      <w:pPr>
        <w:pStyle w:val="ListParagraph"/>
        <w:numPr>
          <w:ilvl w:val="0"/>
          <w:numId w:val="3"/>
        </w:numPr>
        <w:bidi/>
        <w:spacing w:after="70" w:before="0" w:line="300"/>
      </w:pPr>
      <w:r>
        <w:rPr>
          <w:rFonts w:ascii="Arial" w:cs="Arial" w:eastAsia="Arial" w:hAnsi="Arial"/>
          <w:b w:val="false"/>
          <w:bCs w:val="false"/>
          <w:sz w:val="21"/>
          <w:szCs w:val="21"/>
          <w:rtl/>
        </w:rPr>
        <w:t xml:space="preserve">الإجراءات المقترحة في هذه الوثيقة هي القائمة الكاملة لإغلاق O-9. تُسجَّل في ADR جديد، وتُحدَّث docs/20-database-design.md:41 و:537 و:551.</w:t>
      </w:r>
    </w:p>
    <w:p>
      <w:pPr>
        <w:pStyle w:val="ListParagraph"/>
        <w:numPr>
          <w:ilvl w:val="0"/>
          <w:numId w:val="3"/>
        </w:numPr>
        <w:bidi/>
        <w:spacing w:after="70" w:before="0" w:line="300"/>
      </w:pPr>
      <w:r>
        <w:rPr>
          <w:rFonts w:ascii="Arial" w:cs="Arial" w:eastAsia="Arial" w:hAnsi="Arial"/>
          <w:b w:val="false"/>
          <w:bCs w:val="false"/>
          <w:sz w:val="21"/>
          <w:szCs w:val="21"/>
          <w:rtl/>
        </w:rPr>
        <w:t xml:space="preserve">هذه الإجراءات تحتاج منح tp_auth على sec.UserToken وsec.MfaRecoveryCode وsec.UserPasswordHistory وsec.TenantKey وaud.AuditLog. القاعدة R6 تحصر منحه اليوم في خمسة جداول (tools/dbgen/check_grants.py:81-85)، فتُوسَّع بالقائمة نفسها مع منح db/static/020_roles_and_grants.sql:66-69.</w:t>
      </w:r>
    </w:p>
    <w:p>
      <w:pPr>
        <w:bidi/>
        <w:spacing w:after="60" w:before="0"/>
      </w:pPr>
    </w:p>
    <w:p>
      <w:pPr>
        <w:pStyle w:val="Heading1"/>
        <w:bidi/>
      </w:pPr>
      <w:bookmarkStart w:name="_sec5" w:id="5"/>
      <w:r>
        <w:rPr>
          <w:rFonts w:ascii="Arial" w:cs="Arial" w:eastAsia="Arial" w:hAnsi="Arial"/>
          <w:b/>
          <w:bCs/>
          <w:color w:val="1F3A5F"/>
          <w:sz w:val="32"/>
          <w:szCs w:val="32"/>
          <w:rtl/>
        </w:rPr>
        <w:t xml:space="preserve">5. تحديد المشترك والدخول بكلمة المرور</w:t>
      </w:r>
      <w:bookmarkEnd w:id="5"/>
    </w:p>
    <w:p>
      <w:pPr>
        <w:pStyle w:val="Heading2"/>
        <w:bidi/>
      </w:pPr>
      <w:bookmarkStart w:name="_sec6" w:id="6"/>
      <w:r>
        <w:rPr>
          <w:rFonts w:ascii="Arial" w:cs="Arial" w:eastAsia="Arial" w:hAnsi="Arial"/>
          <w:b/>
          <w:bCs/>
          <w:color w:val="2B5C8A"/>
          <w:sz w:val="26"/>
          <w:szCs w:val="26"/>
          <w:rtl/>
        </w:rPr>
        <w:t xml:space="preserve">5.1 التسلسل</w:t>
      </w:r>
      <w:bookmarkEnd w:id="6"/>
    </w:p>
    <w:p>
      <w:pPr>
        <w:keepNext/>
        <w:bidi/>
        <w:spacing w:after="60" w:before="160"/>
        <w:jc w:val="center"/>
      </w:pPr>
      <w:r>
        <w:drawing>
          <wp:inline distT="0" distB="0" distL="0" distR="0">
            <wp:extent cx="6096000" cy="5867400"/>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5867400"/>
                    </a:xfrm>
                    <a:prstGeom prst="rect">
                      <a:avLst/>
                    </a:prstGeom>
                  </pic:spPr>
                </pic:pic>
              </a:graphicData>
            </a:graphic>
          </wp:inline>
        </w:drawing>
      </w:r>
    </w:p>
    <w:p>
      <w:pPr>
        <w:pStyle w:val="Heading2"/>
        <w:bidi/>
      </w:pPr>
      <w:bookmarkStart w:name="_sec7" w:id="7"/>
      <w:r>
        <w:rPr>
          <w:rFonts w:ascii="Arial" w:cs="Arial" w:eastAsia="Arial" w:hAnsi="Arial"/>
          <w:b/>
          <w:bCs/>
          <w:color w:val="2B5C8A"/>
          <w:sz w:val="26"/>
          <w:szCs w:val="26"/>
          <w:rtl/>
        </w:rPr>
        <w:t xml:space="preserve">5.2 قواعد الخطوات</w:t>
      </w:r>
      <w:bookmarkEnd w:id="7"/>
    </w:p>
    <w:p>
      <w:pPr>
        <w:pStyle w:val="ListParagraph"/>
        <w:numPr>
          <w:ilvl w:val="0"/>
          <w:numId w:val="4"/>
        </w:numPr>
        <w:bidi/>
        <w:spacing w:after="70" w:before="0" w:line="300"/>
      </w:pPr>
      <w:r>
        <w:rPr>
          <w:rFonts w:ascii="Arial" w:cs="Arial" w:eastAsia="Arial" w:hAnsi="Arial"/>
          <w:b/>
          <w:bCs/>
          <w:sz w:val="21"/>
          <w:szCs w:val="21"/>
          <w:rtl/>
        </w:rPr>
        <w:t xml:space="preserve">تحديد المشترك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يأخذ التطبيق رمز المشترك من اسم المضيف فقط، لا من معامل في الطلب (FR-PLT-046). يعيد sec.usp_ResolveTenant المقترح TenantId للحالات التي تقبل الدخول، ولا شيء لغيرها. القرار نفسه مسجّل في DOC-F04 (DQ-F04-5) ولا يتكرر هنا. العنوان غير المعروف والمحجوز والمغلق يعطي الصفحة المحايدة نفسها (10-m0-m1-platform-organization.md:148). أي حالة تقبل الدخول ولأي دور يحددها DOC-F04 (O-18 (erd_open_items)).</w:t>
      </w:r>
    </w:p>
    <w:p>
      <w:pPr>
        <w:pStyle w:val="ListParagraph"/>
        <w:numPr>
          <w:ilvl w:val="0"/>
          <w:numId w:val="4"/>
        </w:numPr>
        <w:bidi/>
        <w:spacing w:after="70" w:before="0" w:line="300"/>
      </w:pPr>
      <w:r>
        <w:rPr>
          <w:rFonts w:ascii="Arial" w:cs="Arial" w:eastAsia="Arial" w:hAnsi="Arial"/>
          <w:b/>
          <w:bCs/>
          <w:sz w:val="21"/>
          <w:szCs w:val="21"/>
          <w:rtl/>
        </w:rPr>
        <w:t xml:space="preserve">المعاملات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يعيد sec.usp_GetPasswordParams سلسلة PHC بلا الجزء الأخير (030:32-36)، وNULL لبريد غير موجود أو لمستخدم بلا كلمة مرور.</w:t>
      </w:r>
    </w:p>
    <w:p>
      <w:pPr>
        <w:pStyle w:val="ListParagraph"/>
        <w:numPr>
          <w:ilvl w:val="0"/>
          <w:numId w:val="4"/>
        </w:numPr>
        <w:bidi/>
        <w:spacing w:after="70" w:before="0" w:line="300"/>
      </w:pPr>
      <w:r>
        <w:rPr>
          <w:rFonts w:ascii="Arial" w:cs="Arial" w:eastAsia="Arial" w:hAnsi="Arial"/>
          <w:b/>
          <w:bCs/>
          <w:sz w:val="21"/>
          <w:szCs w:val="21"/>
          <w:rtl/>
        </w:rPr>
        <w:t xml:space="preserve">التجزئة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شرط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يحسب التطبيق Argon2id (docs/adr/0002-login-and-session-bound-context.md:19)، ويكون ذلك في الخادم لا في المتصفح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عند NULL يحسب تجزئة بمعاملات وملح وهميين بالكلفة نفسها، ثم يستدعي usp_StartSession كالمعتاد. بذلك يتساوى زمن الاستجابة ولا يُكشف وجود البريد (FR-PLT-012).</w:t>
      </w:r>
    </w:p>
    <w:p>
      <w:pPr>
        <w:pStyle w:val="ListParagraph"/>
        <w:numPr>
          <w:ilvl w:val="0"/>
          <w:numId w:val="4"/>
        </w:numPr>
        <w:bidi/>
        <w:spacing w:after="70" w:before="0" w:line="300"/>
      </w:pPr>
      <w:r>
        <w:rPr>
          <w:rFonts w:ascii="Arial" w:cs="Arial" w:eastAsia="Arial" w:hAnsi="Arial"/>
          <w:b/>
          <w:bCs/>
          <w:sz w:val="21"/>
          <w:szCs w:val="21"/>
          <w:rtl/>
        </w:rPr>
        <w:t xml:space="preserve">رمز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يولّد التطبيق 32 بايتًا عشوائية على الأقل لكل محاولة (030:43 و53-54). لا يقبل رمزًا من المتصفح أبدًا، فلا يمكن تثبيت الجلسة مسبقًا. الشكل والكوكي في DOC-S03.</w:t>
      </w:r>
    </w:p>
    <w:p>
      <w:pPr>
        <w:pStyle w:val="ListParagraph"/>
        <w:numPr>
          <w:ilvl w:val="0"/>
          <w:numId w:val="4"/>
        </w:numPr>
        <w:bidi/>
        <w:spacing w:after="70" w:before="0" w:line="300"/>
      </w:pPr>
      <w:r>
        <w:rPr>
          <w:rFonts w:ascii="Arial" w:cs="Arial" w:eastAsia="Arial" w:hAnsi="Arial"/>
          <w:b/>
          <w:bCs/>
          <w:sz w:val="21"/>
          <w:szCs w:val="21"/>
          <w:rtl/>
        </w:rPr>
        <w:t xml:space="preserve">المقارنة والقفل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يقارن الإجراء التجزئتين ثنائيًا (030:84-86) ويطبق القفل (030:88-109) ويسجّل كل محاولة (030:123-129) ثم يرفع 50005 بعد الالتزام (030:138-140). المنطق في الشكل 5.3.</w:t>
      </w:r>
    </w:p>
    <w:p>
      <w:pPr>
        <w:pStyle w:val="ListParagraph"/>
        <w:numPr>
          <w:ilvl w:val="0"/>
          <w:numId w:val="4"/>
        </w:numPr>
        <w:bidi/>
        <w:spacing w:after="70" w:before="0" w:line="300"/>
      </w:pPr>
      <w:r>
        <w:rPr>
          <w:rFonts w:ascii="Arial" w:cs="Arial" w:eastAsia="Arial" w:hAnsi="Arial"/>
          <w:b/>
          <w:bCs/>
          <w:sz w:val="21"/>
          <w:szCs w:val="21"/>
          <w:rtl/>
        </w:rPr>
        <w:t xml:space="preserve">إنشاء الجلسة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عند النجاح يعيد المستخدم إلى ACTIVE ويصفّر العداد (030:113-115)، ويدرج الجلسة بتجزئة SHA-256 للرمز وخمول 30 دقيقة ومطلقة 12 ساعة (030:116-118). لا تُربط الجلسة قبل MFA (030:198).</w:t>
      </w:r>
    </w:p>
    <w:p>
      <w:pPr>
        <w:pStyle w:val="ListParagraph"/>
        <w:numPr>
          <w:ilvl w:val="0"/>
          <w:numId w:val="4"/>
        </w:numPr>
        <w:bidi/>
        <w:spacing w:after="70" w:before="0" w:line="300"/>
      </w:pPr>
      <w:r>
        <w:rPr>
          <w:rFonts w:ascii="Arial" w:cs="Arial" w:eastAsia="Arial" w:hAnsi="Arial"/>
          <w:b/>
          <w:bCs/>
          <w:sz w:val="21"/>
          <w:szCs w:val="21"/>
          <w:rtl/>
        </w:rPr>
        <w:t xml:space="preserve">بعد النجاح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إن كانت معاملات Argon2id المخزنة أضعف من السياسة الحالية تُعاد التجزئة في الطلب نفسه (DOC-S04 §3).</w:t>
      </w:r>
    </w:p>
    <w:p>
      <w:pPr>
        <w:bidi/>
        <w:spacing w:after="60" w:before="0"/>
      </w:pPr>
    </w:p>
    <w:p>
      <w:pPr>
        <w:pStyle w:val="Heading2"/>
        <w:bidi/>
      </w:pPr>
      <w:bookmarkStart w:name="_sec8" w:id="8"/>
      <w:r>
        <w:rPr>
          <w:rFonts w:ascii="Arial" w:cs="Arial" w:eastAsia="Arial" w:hAnsi="Arial"/>
          <w:b/>
          <w:bCs/>
          <w:color w:val="2B5C8A"/>
          <w:sz w:val="26"/>
          <w:szCs w:val="26"/>
          <w:rtl/>
        </w:rPr>
        <w:t xml:space="preserve">5.3 منطق sec.usp_StartSession كما هو منفّذ</w:t>
      </w:r>
      <w:bookmarkEnd w:id="8"/>
    </w:p>
    <w:p>
      <w:pPr>
        <w:keepNext/>
        <w:bidi/>
        <w:spacing w:after="60" w:before="160"/>
        <w:jc w:val="center"/>
      </w:pPr>
      <w:r>
        <w:drawing>
          <wp:inline distT="0" distB="0" distL="0" distR="0">
            <wp:extent cx="4600575" cy="8191500"/>
            <wp:effectExtent t="0" r="0" b="0" l="0"/>
            <wp:docPr id="1" name="diagram-2.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600575" cy="8191500"/>
                    </a:xfrm>
                    <a:prstGeom prst="rect">
                      <a:avLst/>
                    </a:prstGeom>
                  </pic:spPr>
                </pic:pic>
              </a:graphicData>
            </a:graphic>
          </wp:inline>
        </w:drawing>
      </w:r>
    </w:p>
    <w:p>
      <w:pPr>
        <w:bidi/>
        <w:spacing w:after="110" w:before="0" w:line="312"/>
      </w:pPr>
      <w:r>
        <w:rPr>
          <w:rFonts w:ascii="Arial" w:cs="Arial" w:eastAsia="Arial" w:hAnsi="Arial"/>
          <w:b w:val="false"/>
          <w:bCs w:val="false"/>
          <w:sz w:val="21"/>
          <w:szCs w:val="21"/>
          <w:rtl/>
        </w:rPr>
        <w:t xml:space="preserve">ملاحظتان على المنفَّذ:</w:t>
      </w:r>
    </w:p>
    <w:p>
      <w:pPr>
        <w:pStyle w:val="ListParagraph"/>
        <w:numPr>
          <w:ilvl w:val="0"/>
          <w:numId w:val="2"/>
        </w:numPr>
        <w:bidi/>
        <w:spacing w:after="70" w:before="0" w:line="300"/>
      </w:pPr>
      <w:r>
        <w:rPr>
          <w:rFonts w:ascii="Arial" w:cs="Arial" w:eastAsia="Arial" w:hAnsi="Arial"/>
          <w:b w:val="false"/>
          <w:bCs w:val="false"/>
          <w:sz w:val="21"/>
          <w:szCs w:val="21"/>
          <w:rtl/>
        </w:rPr>
        <w:t xml:space="preserve">محاولة على مشترك غير مقبول لا تُسجَّل في sec.LoginAttempt لأن الإدراج داخل فرع المشترك الموجود (030:67-69 و123-129).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يسجّلها التطبيق في سجل التطبيق مع عنوان IP لتقييد المعدل.</w:t>
      </w:r>
    </w:p>
    <w:p>
      <w:pPr>
        <w:pStyle w:val="ListParagraph"/>
        <w:numPr>
          <w:ilvl w:val="0"/>
          <w:numId w:val="2"/>
        </w:numPr>
        <w:bidi/>
        <w:spacing w:after="70" w:before="0" w:line="300"/>
      </w:pPr>
      <w:r>
        <w:rPr>
          <w:rFonts w:ascii="Arial" w:cs="Arial" w:eastAsia="Arial" w:hAnsi="Arial"/>
          <w:b w:val="false"/>
          <w:bCs w:val="false"/>
          <w:sz w:val="21"/>
          <w:szCs w:val="21"/>
          <w:rtl/>
        </w:rPr>
        <w:t xml:space="preserve">حساب الخدمة (IsSystemUser) بلا كلمة مرور، فيدخل فرع العدّ عند 030:85 ويُقفل بعد خمس محاولات.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يُعامَل كحالة لا تدخل بلا عدّ (DQ-F03-9، DOC-F06).</w:t>
      </w:r>
    </w:p>
    <w:p>
      <w:pPr>
        <w:bidi/>
        <w:spacing w:after="60" w:before="0"/>
      </w:pPr>
    </w:p>
    <w:p>
      <w:pPr>
        <w:pStyle w:val="Heading1"/>
        <w:bidi/>
      </w:pPr>
      <w:bookmarkStart w:name="_sec9" w:id="9"/>
      <w:r>
        <w:rPr>
          <w:rFonts w:ascii="Arial" w:cs="Arial" w:eastAsia="Arial" w:hAnsi="Arial"/>
          <w:b/>
          <w:bCs/>
          <w:color w:val="1F3A5F"/>
          <w:sz w:val="32"/>
          <w:szCs w:val="32"/>
          <w:rtl/>
        </w:rPr>
        <w:t xml:space="preserve">6. خطوة MFA وإصدار الجلسة</w:t>
      </w:r>
      <w:bookmarkEnd w:id="9"/>
    </w:p>
    <w:p>
      <w:pPr>
        <w:pStyle w:val="Heading2"/>
        <w:bidi/>
      </w:pPr>
      <w:bookmarkStart w:name="_sec10" w:id="10"/>
      <w:r>
        <w:rPr>
          <w:rFonts w:ascii="Arial" w:cs="Arial" w:eastAsia="Arial" w:hAnsi="Arial"/>
          <w:b/>
          <w:bCs/>
          <w:color w:val="2B5C8A"/>
          <w:sz w:val="26"/>
          <w:szCs w:val="26"/>
          <w:rtl/>
        </w:rPr>
        <w:t xml:space="preserve">6.1 التسلسل</w:t>
      </w:r>
      <w:bookmarkEnd w:id="10"/>
    </w:p>
    <w:p>
      <w:pPr>
        <w:keepNext/>
        <w:bidi/>
        <w:spacing w:after="60" w:before="160"/>
        <w:jc w:val="center"/>
      </w:pPr>
      <w:r>
        <w:drawing>
          <wp:inline distT="0" distB="0" distL="0" distR="0">
            <wp:extent cx="6096000" cy="5934075"/>
            <wp:effectExtent t="0" r="0" b="0" l="0"/>
            <wp:docPr id="1" name="diagram-3.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096000" cy="5934075"/>
                    </a:xfrm>
                    <a:prstGeom prst="rect">
                      <a:avLst/>
                    </a:prstGeom>
                  </pic:spPr>
                </pic:pic>
              </a:graphicData>
            </a:graphic>
          </wp:inline>
        </w:drawing>
      </w:r>
    </w:p>
    <w:p>
      <w:pPr>
        <w:pStyle w:val="Heading2"/>
        <w:bidi/>
      </w:pPr>
      <w:bookmarkStart w:name="_sec11" w:id="11"/>
      <w:r>
        <w:rPr>
          <w:rFonts w:ascii="Arial" w:cs="Arial" w:eastAsia="Arial" w:hAnsi="Arial"/>
          <w:b/>
          <w:bCs/>
          <w:color w:val="2B5C8A"/>
          <w:sz w:val="26"/>
          <w:szCs w:val="26"/>
          <w:rtl/>
        </w:rPr>
        <w:t xml:space="preserve">6.2 قواعد الخطوة</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689"/>
        <w:gridCol w:w="1795"/>
        <w:gridCol w:w="5380"/>
      </w:tblGrid>
      <w:tr>
        <w:trPr>
          <w:cantSplit/>
          <w:tblHeader/>
        </w:trPr>
        <w:tc>
          <w:tcPr>
            <w:tcW w:type="dxa" w:w="26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7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5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الجلسة موجودة لكنها لا تُربط حتى يُسجَّل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030:198، T36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يتحقق من TOTP ويسجّل النتيجة فقط</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مخاطرة متبقية مقبولة، ومعها اليوم فحص تكرار الخطوة وحد الإخفاقات في القاعدة</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0003، الاختباران A5 وA6</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جلب السر قبل الربط بإجراء يقبل جلسة غير متحقَّقة عمرها 5 دقائق على الأكثر</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استعمال خطوة TOTP بمقارنة MfaLastUsedStep داخل الإجراء</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العمود في db/model/10-platform.model:131</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الاسترداد يُقارن ويُستهلك داخل القاعدة ويُعاد عدد الباقي</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 BR-PLT-006</w:t>
            </w:r>
          </w:p>
        </w:tc>
      </w:tr>
      <w:tr>
        <w:trPr>
          <w:cantSplit/>
        </w:trPr>
        <w:tc>
          <w:tcPr>
            <w:tcW w:type="dxa" w:w="26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 رموز خاطئة في الجلسة الواحدة تنهيها</w:t>
            </w:r>
          </w:p>
        </w:tc>
        <w:tc>
          <w:tcPr>
            <w:tcW w:type="dxa" w:w="17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5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§8</w:t>
            </w:r>
          </w:p>
        </w:tc>
      </w:tr>
      <w:tr>
        <w:trPr>
          <w:cantSplit/>
        </w:trPr>
        <w:tc>
          <w:tcPr>
            <w:tcW w:type="dxa" w:w="26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MfaEnabled = 0 تُربط جلسته بلا MFA</w:t>
            </w:r>
          </w:p>
        </w:tc>
        <w:tc>
          <w:tcPr>
            <w:tcW w:type="dxa" w:w="17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w:t>
            </w:r>
          </w:p>
        </w:tc>
        <w:tc>
          <w:tcPr>
            <w:tcW w:type="dxa" w:w="5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يشترط MfaVerifiedAt؛ الاختباران T43 وA14</w:t>
            </w:r>
          </w:p>
        </w:tc>
      </w:tr>
    </w:tbl>
    <w:p>
      <w:pPr>
        <w:bidi/>
        <w:spacing w:after="120" w:before="0"/>
      </w:pPr>
    </w:p>
    <w:p>
      <w:pPr>
        <w:bidi/>
        <w:spacing w:after="110" w:before="0" w:line="312"/>
      </w:pPr>
      <w:r>
        <w:rPr>
          <w:rFonts w:ascii="Arial" w:cs="Arial" w:eastAsia="Arial" w:hAnsi="Arial"/>
          <w:b/>
          <w:bCs/>
          <w:sz w:val="21"/>
          <w:szCs w:val="21"/>
          <w:rtl/>
        </w:rPr>
        <w:t xml:space="preserve">سجل الدخول.</w:t>
      </w:r>
      <w:r>
        <w:rPr>
          <w:rFonts w:ascii="Arial" w:cs="Arial" w:eastAsia="Arial" w:hAnsi="Arial"/>
          <w:b w:val="false"/>
          <w:bCs w:val="false"/>
          <w:sz w:val="21"/>
          <w:szCs w:val="21"/>
          <w:rtl/>
        </w:rPr>
        <w:t xml:space="preserve"> يسجّل usp_StartSession الحدث LOGIN_SUCCESS عند قبول كلمة المرور، أي قبل MFA (030:119 و124-126). هذا يطابق عدّ الأحداث التسعة في AC-PLT-2 (10-m0-m1-platform-organization.md:655).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يضاف حدث MFA_VERIFIED في aud.AuditLog عند اكتمال الدخول.</w:t>
      </w:r>
    </w:p>
    <w:p>
      <w:pPr>
        <w:pStyle w:val="Heading2"/>
        <w:bidi/>
      </w:pPr>
      <w:bookmarkStart w:name="_sec12" w:id="12"/>
      <w:r>
        <w:rPr>
          <w:rFonts w:ascii="Arial" w:cs="Arial" w:eastAsia="Arial" w:hAnsi="Arial"/>
          <w:b/>
          <w:bCs/>
          <w:color w:val="2B5C8A"/>
          <w:sz w:val="26"/>
          <w:szCs w:val="26"/>
          <w:rtl/>
        </w:rPr>
        <w:t xml:space="preserve">6.3 الجلسة المصدرة</w:t>
      </w:r>
      <w:bookmarkEnd w:id="1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914"/>
        <w:gridCol w:w="4698"/>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الخاصية</w:t>
            </w:r>
          </w:p>
        </w:tc>
        <w:tc>
          <w:tcPr>
            <w:tcW w:type="dxa" w:w="39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6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 من آخر نشاط</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030:117-118، FR-PLT-014</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المهلة المطلقة</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ساعة من الإنشاء، ولا يغيّرها التطبيق</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030:118 و239، T35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الخمول</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‎sec.usp_TouchSession‎</w:t>
            </w:r>
            <w:r>
              <w:rPr>
                <w:rFonts w:ascii="Arial" w:cs="Arial" w:eastAsia="Arial" w:hAnsi="Arial"/>
                <w:b w:val="false"/>
                <w:bCs w:val="false"/>
                <w:sz w:val="18"/>
                <w:szCs w:val="18"/>
                <w:rtl/>
              </w:rPr>
              <w:t xml:space="preserve"> (035)</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أُغلقت (ADR 0003)؛ الاختبار A12</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المخزَّن</w:t>
            </w:r>
          </w:p>
        </w:tc>
        <w:tc>
          <w:tcPr>
            <w:tcW w:type="dxa" w:w="39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في sec.UserSession.TokenHash</w:t>
            </w:r>
          </w:p>
        </w:tc>
        <w:tc>
          <w:tcPr>
            <w:tcW w:type="dxa" w:w="46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030:117، db/model/10-platform.model:221</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الربط لكل طلب</w:t>
            </w:r>
          </w:p>
        </w:tc>
        <w:tc>
          <w:tcPr>
            <w:tcW w:type="dxa" w:w="39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sec.usp_SetSessionContext</w:t>
            </w:r>
          </w:p>
        </w:tc>
        <w:tc>
          <w:tcPr>
            <w:tcW w:type="dxa" w:w="46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030:165-227؛ التفصيل في DOC-F04</w:t>
            </w:r>
          </w:p>
        </w:tc>
      </w:tr>
    </w:tbl>
    <w:p>
      <w:pPr>
        <w:bidi/>
        <w:spacing w:after="120" w:before="0"/>
      </w:pPr>
    </w:p>
    <w:p>
      <w:pPr>
        <w:pStyle w:val="Heading1"/>
        <w:bidi/>
      </w:pPr>
      <w:bookmarkStart w:name="_sec13" w:id="13"/>
      <w:r>
        <w:rPr>
          <w:rFonts w:ascii="Arial" w:cs="Arial" w:eastAsia="Arial" w:hAnsi="Arial"/>
          <w:b/>
          <w:bCs/>
          <w:color w:val="1F3A5F"/>
          <w:sz w:val="32"/>
          <w:szCs w:val="32"/>
          <w:rtl/>
        </w:rPr>
        <w:t xml:space="preserve">7. الخروج وانتهاء الجلسة</w:t>
      </w:r>
      <w:bookmarkEnd w:id="13"/>
    </w:p>
    <w:p>
      <w:pPr>
        <w:keepNext/>
        <w:bidi/>
        <w:spacing w:after="60" w:before="160"/>
        <w:jc w:val="center"/>
      </w:pPr>
      <w:r>
        <w:drawing>
          <wp:inline distT="0" distB="0" distL="0" distR="0">
            <wp:extent cx="6096000" cy="2819400"/>
            <wp:effectExtent t="0" r="0" b="0" l="0"/>
            <wp:docPr id="1" name="diagram-4.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096000" cy="28194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إنهاء الجلسة بيد المدير (TERMINATED_BY_ADMIN) يسحب الربط فورًا (030:269-283، T37).</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المحفّز يسحب كل روابط المستخدم في المشترك لا ربط الجلسة وحدها (030:276-282)، لأن sec.SessionBinding بلا عمود جلسة (db/model/10-platform.model:212-217). أثره طلب جارٍ واحد في الجلسات الأخرى، ثم تُربط من جديد.</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فجوة: التحديث المباشر مرفوض في مشترك SUSPENDED أو ARCHIVED_READ_ONLY لأن الكتابة تشترط TRIAL أو ACTIVE (010_rls.sql:34-41، T27).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sec.usp_EndSession بصفة tp_auth_exec (DQ-F03-6).</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لا شيء يكتب IDLE_TIMEOUT أو ABSOLUTE_TIMEOUT اليوم؛ الربط يرفض الجلسة المنتهية بالوقت (030:196، T32). مهمة تنظيف دورية تكتب السبب، وهويتها في DOC-F04.</w:t>
      </w:r>
    </w:p>
    <w:p>
      <w:pPr>
        <w:bidi/>
        <w:spacing w:after="60" w:before="0"/>
      </w:pPr>
    </w:p>
    <w:p>
      <w:pPr>
        <w:pStyle w:val="Heading1"/>
        <w:bidi/>
      </w:pPr>
      <w:bookmarkStart w:name="_sec14" w:id="14"/>
      <w:r>
        <w:rPr>
          <w:rFonts w:ascii="Arial" w:cs="Arial" w:eastAsia="Arial" w:hAnsi="Arial"/>
          <w:b/>
          <w:bCs/>
          <w:color w:val="1F3A5F"/>
          <w:sz w:val="32"/>
          <w:szCs w:val="32"/>
          <w:rtl/>
        </w:rPr>
        <w:t xml:space="preserve">8. الدعوة (48 ساعة)</w:t>
      </w:r>
      <w:bookmarkEnd w:id="14"/>
    </w:p>
    <w:p>
      <w:pPr>
        <w:keepNext/>
        <w:bidi/>
        <w:spacing w:after="60" w:before="160"/>
        <w:jc w:val="center"/>
      </w:pPr>
      <w:r>
        <w:drawing>
          <wp:inline distT="0" distB="0" distL="0" distR="0">
            <wp:extent cx="6096000" cy="3790950"/>
            <wp:effectExtent t="0" r="0" b="0" l="0"/>
            <wp:docPr id="1" name="diagram-5.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096000" cy="3790950"/>
                    </a:xfrm>
                    <a:prstGeom prst="rect">
                      <a:avLst/>
                    </a:prstGeom>
                  </pic:spPr>
                </pic:pic>
              </a:graphicData>
            </a:graphic>
          </wp:inline>
        </w:drawing>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47"/>
        <w:gridCol w:w="1116"/>
        <w:gridCol w:w="6701"/>
      </w:tblGrid>
      <w:tr>
        <w:trPr>
          <w:cantSplit/>
          <w:tblHeader/>
        </w:trPr>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1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c>
          <w:tcPr>
            <w:tcW w:type="dxa" w:w="67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الإصدار بيد مدير الحساب في جلسة مربوطة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ممكن بالمنح</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007_table_grants.sql:24 و44؛ المصفوفة 10-m0-m1-platform-organization.md:45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المدير الأول بيد المشغّل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 وO-12 (20-database-design)</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الرابط لمرة واحدة، والقاعدة تخزّن تجزئته</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تصميم</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الإرسال تلغي الرابط السابق (RevokedAt)</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DOC-F06</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الإكمال ذري: كلمة المرور وسجلها وسر MFA والرموز العشرة والحالة ACTIVE واستهلاك الرابط</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r>
      <w:tr>
        <w:trPr>
          <w:cantSplit/>
        </w:trPr>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المدعو لا يدخل قبل الإكمال</w:t>
            </w:r>
          </w:p>
        </w:tc>
        <w:tc>
          <w:tcPr>
            <w:tcW w:type="dxa" w:w="1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67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030:82-83</w:t>
            </w:r>
          </w:p>
        </w:tc>
      </w:tr>
      <w:tr>
        <w:trPr>
          <w:cantSplit/>
        </w:trPr>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منتهٍ أو مستعمل يعطي رسالة واحدة</w:t>
            </w:r>
          </w:p>
        </w:tc>
        <w:tc>
          <w:tcPr>
            <w:tcW w:type="dxa" w:w="1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67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bl>
    <w:p>
      <w:pPr>
        <w:bidi/>
        <w:spacing w:after="120" w:before="0"/>
      </w:pPr>
    </w:p>
    <w:p>
      <w:pPr>
        <w:pStyle w:val="Heading1"/>
        <w:bidi/>
      </w:pPr>
      <w:bookmarkStart w:name="_sec15" w:id="15"/>
      <w:r>
        <w:rPr>
          <w:rFonts w:ascii="Arial" w:cs="Arial" w:eastAsia="Arial" w:hAnsi="Arial"/>
          <w:b/>
          <w:bCs/>
          <w:color w:val="1F3A5F"/>
          <w:sz w:val="32"/>
          <w:szCs w:val="32"/>
          <w:rtl/>
        </w:rPr>
        <w:t xml:space="preserve">9. إعادة تعيين كلمة المرور (30 دقيقة)</w:t>
      </w:r>
      <w:bookmarkEnd w:id="15"/>
    </w:p>
    <w:p>
      <w:pPr>
        <w:keepNext/>
        <w:bidi/>
        <w:spacing w:after="60" w:before="160"/>
        <w:jc w:val="center"/>
      </w:pPr>
      <w:r>
        <w:drawing>
          <wp:inline distT="0" distB="0" distL="0" distR="0">
            <wp:extent cx="6096000" cy="4295775"/>
            <wp:effectExtent t="0" r="0" b="0" l="0"/>
            <wp:docPr id="1" name="diagram-6.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429577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لا يكشف وجود البريد في الاستجابة ولا في زمنها (FR-PLT-013).</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الطلب الجديد يلغي الروابط السابقة غير المستعملة للمستخدم.</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الإكمال ينهي كل جلسات المستخدم بسبب PASSWORD_CHANGED، ولا يرفع RequiresAdminUnlock (DOC-S04 §7).</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الإعادة لا تتجاوز MFA: بعدها دخول كامل بكلمة المرور وTOTP.</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الحالة الراهنة: tp_app يملك إدراج sec.UserToken وتحديث PasswordHash لكن بعد الربط فقط (007_table_grants.sql:24 و44، 010_rls.sql:43-49)، والمستخدم الناسي بلا جلسة. لذا يلزم الإجراء (DQ-F03-7).</w:t>
      </w:r>
    </w:p>
    <w:p>
      <w:pPr>
        <w:bidi/>
        <w:spacing w:after="60" w:before="0"/>
      </w:pPr>
    </w:p>
    <w:p>
      <w:pPr>
        <w:pStyle w:val="Heading1"/>
        <w:bidi/>
      </w:pPr>
      <w:bookmarkStart w:name="_sec16" w:id="16"/>
      <w:r>
        <w:rPr>
          <w:rFonts w:ascii="Arial" w:cs="Arial" w:eastAsia="Arial" w:hAnsi="Arial"/>
          <w:b/>
          <w:bCs/>
          <w:color w:val="1F3A5F"/>
          <w:sz w:val="32"/>
          <w:szCs w:val="32"/>
          <w:rtl/>
        </w:rPr>
        <w:t xml:space="preserve">10. فقدان جهاز MFA وإعادة التسجيل</w:t>
      </w:r>
      <w:bookmarkEnd w:id="16"/>
    </w:p>
    <w:p>
      <w:pPr>
        <w:keepNext/>
        <w:bidi/>
        <w:spacing w:after="60" w:before="160"/>
        <w:jc w:val="center"/>
      </w:pPr>
      <w:r>
        <w:drawing>
          <wp:inline distT="0" distB="0" distL="0" distR="0">
            <wp:extent cx="6096000" cy="3276600"/>
            <wp:effectExtent t="0" r="0" b="0" l="0"/>
            <wp:docPr id="1" name="diagram-7.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276600"/>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المستخدم الذي يملك رمز استرداد لا يحتاج المدير: يدخل به ثم يسجّل جهازًا جديدًا من إعداداته بعد إعادة المصادقة.</w:t>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الإعادة بيد مدير الحساب وتُسجَّل بشدة عالية (BR-PLT-006، 10-m0-m1-platform-organization.md:232) ويُشعَر المستخدم والمديرون (10-m0-m1-platform-organization.md:534).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شروط التحقق من الهوية ومهلة إعادة التسجيل في DOC-S04 §10.</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الرابط رسالة ثالثة في البريد المعاملاتي، وFR-PLT-013 يحصره في رسالتين. يلزم قرار (DQ-F03-8).</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مدير الحساب الوحيد لا يعيد تعيين نفسه: يمر الطلب بمسار المشغّل (DOC-F06، O-12 (20-database-design)).</w:t>
      </w:r>
    </w:p>
    <w:p>
      <w:pPr>
        <w:bidi/>
        <w:spacing w:after="60" w:before="0"/>
      </w:pPr>
    </w:p>
    <w:p>
      <w:pPr>
        <w:pStyle w:val="Heading1"/>
        <w:bidi/>
      </w:pPr>
      <w:bookmarkStart w:name="_sec17" w:id="17"/>
      <w:r>
        <w:rPr>
          <w:rFonts w:ascii="Arial" w:cs="Arial" w:eastAsia="Arial" w:hAnsi="Arial"/>
          <w:b/>
          <w:bCs/>
          <w:color w:val="1F3A5F"/>
          <w:sz w:val="32"/>
          <w:szCs w:val="32"/>
          <w:rtl/>
        </w:rPr>
        <w:t xml:space="preserve">11. إعادة المصادقة قبل التصدير الحساس</w:t>
      </w:r>
      <w:bookmarkEnd w:id="17"/>
    </w:p>
    <w:p>
      <w:pPr>
        <w:keepNext/>
        <w:bidi/>
        <w:spacing w:after="60" w:before="160"/>
        <w:jc w:val="center"/>
      </w:pPr>
      <w:r>
        <w:drawing>
          <wp:inline distT="0" distB="0" distL="0" distR="0">
            <wp:extent cx="6096000" cy="4467225"/>
            <wp:effectExtent t="0" r="0" b="0" l="0"/>
            <wp:docPr id="1" name="diagram-8.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4467225"/>
                    </a:xfrm>
                    <a:prstGeom prst="rect">
                      <a:avLst/>
                    </a:prstGeom>
                  </pic:spPr>
                </pic:pic>
              </a:graphicData>
            </a:graphic>
          </wp:inline>
        </w:drawing>
      </w:r>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الأساس موجود: usp_ConfirmMfa يحدّث MfaVerifiedAt عند كل نجاح (030:159-160)، وtp_app يقرأ العمود ولا يكتبه (030:239).</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حداثة التحقق 5 دقائق، وقائمة التصديرات الحساسة في DOC-S04 §11. طلب كلمة المرور مع TOTP بديل مفتوح (DQ-S04-15).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الفحص في نقطة التصدير بالتطبيق، ويُسجَّل الرفض في التدقيق.</w:t>
      </w:r>
    </w:p>
    <w:p>
      <w:pPr>
        <w:bidi/>
        <w:spacing w:after="60" w:before="0"/>
      </w:pPr>
    </w:p>
    <w:p>
      <w:pPr>
        <w:pStyle w:val="Heading1"/>
        <w:bidi/>
      </w:pPr>
      <w:bookmarkStart w:name="_sec18" w:id="18"/>
      <w:r>
        <w:rPr>
          <w:rFonts w:ascii="Arial" w:cs="Arial" w:eastAsia="Arial" w:hAnsi="Arial"/>
          <w:b/>
          <w:bCs/>
          <w:color w:val="1F3A5F"/>
          <w:sz w:val="32"/>
          <w:szCs w:val="32"/>
          <w:rtl/>
        </w:rPr>
        <w:t xml:space="preserve">12. ما يُسمح به قبل المصادقة</w:t>
      </w:r>
      <w:bookmarkEnd w:id="18"/>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2192"/>
        <w:gridCol w:w="2740"/>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نقطة الدخول</w:t>
            </w:r>
          </w:p>
        </w:tc>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بلا جلسة</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تقبل بجلسة قبل MFA</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صفحة الدخول وPOST الدخول</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POST رمز MFA أو رمز الاسترداد</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5 دقائق</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 إعادة التعيين وفتح رابطها</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فتح رابط الدعوة وإكمالها</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الملفات الثابتة للواجهة</w:t>
            </w:r>
          </w:p>
        </w:tc>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 نقطة أخرى</w:t>
            </w:r>
          </w:p>
        </w:tc>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r>
    </w:tbl>
    <w:p>
      <w:pPr>
        <w:bidi/>
        <w:spacing w:after="120" w:before="0"/>
      </w:pPr>
    </w:p>
    <w:p>
      <w:pPr>
        <w:bidi/>
        <w:spacing w:after="110" w:before="0" w:line="312"/>
      </w:pPr>
      <w:r>
        <w:rPr>
          <w:rFonts w:ascii="Arial" w:cs="Arial" w:eastAsia="Arial" w:hAnsi="Arial"/>
          <w:b w:val="false"/>
          <w:bCs w:val="false"/>
          <w:sz w:val="21"/>
          <w:szCs w:val="21"/>
          <w:rtl/>
        </w:rPr>
        <w:t xml:space="preserve">كل نقطة بلا جلسة تخضع لتقييد المعدل لكل عنوان IP (DOC-S04 §7). الاستجابات الموحّدة ورموز HTTP في DOC-B04.</w:t>
      </w:r>
    </w:p>
    <w:p>
      <w:pPr>
        <w:pStyle w:val="Heading1"/>
        <w:bidi/>
      </w:pPr>
      <w:bookmarkStart w:name="_sec19" w:id="19"/>
      <w:r>
        <w:rPr>
          <w:rFonts w:ascii="Arial" w:cs="Arial" w:eastAsia="Arial" w:hAnsi="Arial"/>
          <w:b/>
          <w:bCs/>
          <w:color w:val="1F3A5F"/>
          <w:sz w:val="32"/>
          <w:szCs w:val="32"/>
          <w:rtl/>
        </w:rPr>
        <w:t xml:space="preserve">13. القرارات المطلوبة</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0"/>
        <w:gridCol w:w="2009"/>
        <w:gridCol w:w="4883"/>
        <w:gridCol w:w="960"/>
        <w:gridCol w:w="1052"/>
      </w:tblGrid>
      <w:tr>
        <w:trPr>
          <w:cantSplit/>
          <w:tblHeader/>
        </w:trPr>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9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10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في S0، بإجراءات ضيقة بصفة tp_auth_exec على نمط ADR 0002، بلا usp_SetAuthContext، في ADR جديد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DQ-F03-2</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يحصل التطبيق على سر TOTP ومفتاحه قبل الربط؟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sec.usp_GetMfaChallenge لجلسة غير متحقَّقة عمرها 5 دقائق على الأكثر؛ المفتاح حسب DOC-S02</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كله</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DQ-F03-3</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يُستهلك رمز الاسترداد؟</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بـ sec.usp_UseRecoveryCode، ثم DENY SELECT على CodeHash لـ tp_app</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الربط يشترط MfaVerifiedAt لكل مستخدم غير خدمي، والتسجيل بإجراء؛ يتفق مع DQ-S01-3 ومع خطوة O-24 التالية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DQ-F03-5</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الدعوة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sec.usp_CheckUserToken ثم sec.usp_CompleteInvitation ذريًا</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خروج S0</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DQ-F03-6</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الخروج في مشترك معلّق</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sec.usp_EndSession بصفة tp_auth_exec لكل أسباب الإنهاء؛ جزء من DQ-F04-8</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DQ-F03-7</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التعيين</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sec.usp_RequestPasswordReset وsec.usp_GetPasswordHistoryParams وsec.usp_ResetPassword</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رابط 24 ساعة بغرض جديد MFA_REENROLMENT في sec.UserToken.Purpose، وتعديل FR-PLT-013 لرسالة ثالثة</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ومسؤول الأمن</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DQ-F03-9</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حساب الخدمة يُقفل بمحاولات خاطئة</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يعامل IsSystemUser = 1 كحالة لا تدخل بلا عدّ</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المهام الخلفية</w:t>
            </w:r>
          </w:p>
        </w:tc>
      </w:tr>
      <w:tr>
        <w:trPr>
          <w:cantSplit/>
        </w:trPr>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DQ-F03-10</w:t>
            </w:r>
          </w:p>
        </w:tc>
        <w:tc>
          <w:tcPr>
            <w:tcW w:type="dxa" w:w="20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يكتب aud.AuditLog لمحاولات الدخول الفاشلة قبل وجود ربط؟</w:t>
            </w:r>
          </w:p>
        </w:tc>
        <w:tc>
          <w:tcPr>
            <w:tcW w:type="dxa" w:w="4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(2026-10-13، ADR 0007): قادح على sec.LoginAttempt يكتب صف التدقيق مع كل محاولة، ولم يلزم منح tp_auth شيئًا. المقترح الأصلي: الإجراءات تكتب صف التدقيق مع LoginAttempt، ويمنح tp_auth INSERT على aud.AuditLog؛ يتفق مع tools/dbgen/erd_open_items.py:155</w:t>
            </w:r>
          </w:p>
        </w:tc>
        <w:tc>
          <w:tcPr>
            <w:tcW w:type="dxa" w:w="9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10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FR-PLT-022، AC-PLT-2</w:t>
            </w:r>
          </w:p>
        </w:tc>
      </w:tr>
      <w:tr>
        <w:trPr>
          <w:cantSplit/>
        </w:trPr>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0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4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يُقبل 50006 المقترح في DQ-F04-3 بشرط رفعه بعد نجاح المقارنة فقط، مع تعديل docs/adr/0002-login-and-session-bound-context.md:20</w:t>
            </w:r>
          </w:p>
        </w:tc>
        <w:tc>
          <w:tcPr>
            <w:tcW w:type="dxa" w:w="9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10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14. تعارضات وفجوات في المصادر</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2"/>
        <w:gridCol w:w="4452"/>
        <w:gridCol w:w="4450"/>
      </w:tblGrid>
      <w:tr>
        <w:trPr>
          <w:cantSplit/>
          <w:tblHeader/>
        </w:trPr>
        <w:tc>
          <w:tcPr>
            <w:tcW w:type="dxa" w:w="9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4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44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تأجيل ما قبل المصادقة إلى S1</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docs/20-database-design.md:41 و:537 و:551</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يناقض S0 في docs/10-detailed-analysis/00-overview-and-cross-cutting.md:194، وتجاوزه ADR 0002 جزئيًا (§4)</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منح tp_app</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docs/20-database-design.md:267</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يذكر EXECUTE على usp_SetSessionContext فقط، والمنفّذ يمنح أربعة إجراءات (030:229-232)</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الدخول قبل MFA</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db/static/030_session_context.sql:119</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LOGIN_SUCCESS يعني قبول كلمة المرور لا اكتمال الدخول؛ يلزم توضيحه في FR-PLT-022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على مشترك غير مقبول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db/static/030_session_context.sql:67-69</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تُسجَّل في sec.LoginAttempt</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 في AC-PLT-2</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docs/10-detailed-analysis/10-m0-m1-platform-organization.md:655</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الأحداث في «سجل التدقيق»، والإجراء يكتبها في sec.LoginAttempt فقط (030:123-129)</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خطوات الدخول في التحليل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docs/10-detailed-analysis/10-m0-m1-platform-organization.md:402-403</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«يُشعَر المدير» عند كل قفل، و§9.3 في السطر 532 يقصره على القفل الثالث؛ والتسليم داخل المنصة يبدأ في S1 (السطر 539)</w:t>
            </w:r>
          </w:p>
        </w:tc>
      </w:tr>
      <w:tr>
        <w:trPr>
          <w:cantSplit/>
        </w:trPr>
        <w:tc>
          <w:tcPr>
            <w:tcW w:type="dxa" w:w="9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الخطأ الواحد</w:t>
            </w:r>
          </w:p>
        </w:tc>
        <w:tc>
          <w:tcPr>
            <w:tcW w:type="dxa" w:w="44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docs/adr/0002-login-and-session-bound-context.md:20</w:t>
            </w:r>
          </w:p>
        </w:tc>
        <w:tc>
          <w:tcPr>
            <w:tcW w:type="dxa" w:w="44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عُدّل ADR 0002 بعد DQ-F03-11: 50005 لكل فشل قبل إثبات كلمة المرور، و50006 بعده فقط (T42)</w:t>
            </w:r>
          </w:p>
        </w:tc>
      </w:tr>
      <w:tr>
        <w:trPr>
          <w:cantSplit/>
        </w:trPr>
        <w:tc>
          <w:tcPr>
            <w:tcW w:type="dxa" w:w="9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المشترك عند الدخول</w:t>
            </w:r>
          </w:p>
        </w:tc>
        <w:tc>
          <w:tcPr>
            <w:tcW w:type="dxa" w:w="44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db/static/030_session_context.sql:67-68</w:t>
            </w:r>
          </w:p>
        </w:tc>
        <w:tc>
          <w:tcPr>
            <w:tcW w:type="dxa" w:w="44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أُغلق O-18 بالخيار (أ): sec.fn_TenantLoginAllowed (T40 وT41)</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15. التتبع</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062"/>
        <w:gridCol w:w="3186"/>
        <w:gridCol w:w="5616"/>
      </w:tblGrid>
      <w:tr>
        <w:trPr>
          <w:cantSplit/>
          <w:tblHeader/>
        </w:trPr>
        <w:tc>
          <w:tcPr>
            <w:tcW w:type="dxa" w:w="106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31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6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O-9 (20-database-design)، ADR 0002</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docs/20-database-design.md:537</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 الخطوة 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10-m0-m1-platform-organization.md:148</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 الخطوات 2-6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FR-PLT-012، BR-PLT-005، O-01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030:23-141، T33، T34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§5.3</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030:78-121</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 O-24 (erd_open_items)</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T36</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 و§7</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030:116-118 و269-283، T32، T37</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FR-PLT-016</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db/model/10-platform.model:244-258</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 BR-PLT-004</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db/model/10-platform.model:260-264</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10-m0-m1-platform-organization.md:232 و:534</w:t>
            </w:r>
          </w:p>
        </w:tc>
      </w:tr>
      <w:tr>
        <w:trPr>
          <w:cantSplit/>
        </w:trPr>
        <w:tc>
          <w:tcPr>
            <w:tcW w:type="dxa" w:w="106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1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6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10-m0-m1-platform-organization.md:116</w:t>
            </w:r>
          </w:p>
        </w:tc>
      </w:tr>
      <w:tr>
        <w:trPr>
          <w:cantSplit/>
        </w:trPr>
        <w:tc>
          <w:tcPr>
            <w:tcW w:type="dxa" w:w="106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1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FR-PLT-012، FR-PLT-021</w:t>
            </w:r>
          </w:p>
        </w:tc>
        <w:tc>
          <w:tcPr>
            <w:tcW w:type="dxa" w:w="56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10-m0-m1-platform-organization.md:114 و:123</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DOC-F03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f3c1caf93d070e983bd59bf77d01462873372b1.png"/><Relationship Id="rId10" Type="http://schemas.openxmlformats.org/officeDocument/2006/relationships/image" Target="media/f39c206e397256e54a7bf7b8c82cd2dda262758c.png"/><Relationship Id="rId11" Type="http://schemas.openxmlformats.org/officeDocument/2006/relationships/image" Target="media/06df04cd7edcfbda579873b664f7a22e30251b11.png"/><Relationship Id="rId12" Type="http://schemas.openxmlformats.org/officeDocument/2006/relationships/image" Target="media/5e99eaefe25c11a560fc71578c63f8712cd6affb.png"/><Relationship Id="rId13" Type="http://schemas.openxmlformats.org/officeDocument/2006/relationships/image" Target="media/16d201c245a872733cf5a89f2845fbd1fe2d953a.png"/><Relationship Id="rId14" Type="http://schemas.openxmlformats.org/officeDocument/2006/relationships/image" Target="media/11d09e95fdd8ce8519f181dbb5c9734c31f18999.png"/><Relationship Id="rId15" Type="http://schemas.openxmlformats.org/officeDocument/2006/relationships/image" Target="media/ebb9614d653596e01fff1923bfac79926e5e8021.png"/><Relationship Id="rId16" Type="http://schemas.openxmlformats.org/officeDocument/2006/relationships/image" Target="media/3769af6462153a0ab7b9a11a0d0210bb75a91350.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DOC-F03 — تسلسل الدخول وMFA والاسترداد</dc:title>
  <dc:creator>Claude</dc:creator>
  <dc:description>BankFas database design document</dc:description>
  <cp:lastModifiedBy>Un-named</cp:lastModifiedBy>
  <cp:revision>1</cp:revision>
  <dcterms:created xsi:type="dcterms:W3CDTF">2026-10-25T01:21:02.889Z</dcterms:created>
  <dcterms:modified xsi:type="dcterms:W3CDTF">2026-10-25T01:21:02.889Z</dcterms:modified>
</cp:coreProperties>
</file>

<file path=docProps/custom.xml><?xml version="1.0" encoding="utf-8"?>
<Properties xmlns="http://schemas.openxmlformats.org/officeDocument/2006/custom-properties" xmlns:vt="http://schemas.openxmlformats.org/officeDocument/2006/docPropsVTypes"/>
</file>