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6">
        <w:r>
          <w:rPr>
            <w:rFonts w:ascii="Arial" w:cs="Arial" w:eastAsia="Arial" w:hAnsi="Arial"/>
            <w:b/>
            <w:bCs/>
            <w:color w:val="1F3A5F"/>
            <w:sz w:val="20"/>
            <w:szCs w:val="20"/>
            <w:rtl/>
          </w:rPr>
          <w:t xml:space="preserve">10. الإخطار</w:t>
        </w:r>
      </w:hyperlink>
    </w:p>
    <w:p>
      <w:pPr>
        <w:bidi/>
        <w:spacing w:after="50" w:before="0"/>
        <w:ind w:left="0"/>
      </w:pPr>
      <w:hyperlink w:history="1" w:anchor="_sec22">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3">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4">
        <w:r>
          <w:rPr>
            <w:rFonts w:ascii="Arial" w:cs="Arial" w:eastAsia="Arial" w:hAnsi="Arial"/>
            <w:b/>
            <w:bCs/>
            <w:color w:val="1F3A5F"/>
            <w:sz w:val="20"/>
            <w:szCs w:val="20"/>
            <w:rtl/>
          </w:rPr>
          <w:t xml:space="preserve">13. التمارين</w:t>
        </w:r>
      </w:hyperlink>
    </w:p>
    <w:p>
      <w:pPr>
        <w:bidi/>
        <w:spacing w:after="50" w:before="0"/>
        <w:ind w:left="0"/>
      </w:pPr>
      <w:hyperlink w:history="1" w:anchor="_sec25">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6">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7">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15" w:id="15"/>
      <w:r>
        <w:rPr>
          <w:rFonts w:ascii="Arial" w:cs="Arial" w:eastAsia="Arial" w:hAnsi="Arial"/>
          <w:b/>
          <w:bCs/>
          <w:color w:val="2B5C8A"/>
          <w:sz w:val="26"/>
          <w:szCs w:val="26"/>
          <w:rtl/>
        </w:rPr>
        <w:t xml:space="preserve">9.1 الخطوات التقنية عند اكتشاف نشاط مشبوه (docs/31 الصف 48) </w:t>
      </w:r>
      <w:r>
        <w:rPr>
          <w:rFonts w:ascii="Segoe UI Emoji" w:cs="Segoe UI Emoji" w:eastAsia="Segoe UI Emoji" w:hAnsi="Segoe UI Emoji"/>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هذه الخطوات الاثنتا عشرة طلبها المالك، وأدواتها في DOC-S16 §9:</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تحذف السجلات ولا تعِد تشغيل الخادم فورًا.</w:t>
      </w:r>
    </w:p>
    <w:p>
      <w:pPr>
        <w:pStyle w:val="ListParagraph"/>
        <w:numPr>
          <w:ilvl w:val="0"/>
          <w:numId w:val="5"/>
        </w:numPr>
        <w:bidi/>
        <w:spacing w:after="70" w:before="0" w:line="300"/>
      </w:pPr>
      <w:r>
        <w:rPr>
          <w:rFonts w:ascii="Arial" w:cs="Arial" w:eastAsia="Arial" w:hAnsi="Arial"/>
          <w:b w:val="false"/>
          <w:bCs w:val="false"/>
          <w:sz w:val="21"/>
          <w:szCs w:val="21"/>
          <w:rtl/>
        </w:rPr>
        <w:t xml:space="preserve">احفظ نسخة من السجلات مع الوقت والبصمات: </w:t>
      </w:r>
      <w:r>
        <w:rPr>
          <w:rFonts w:ascii="Courier New" w:cs="Courier New" w:eastAsia="Courier New" w:hAnsi="Courier New"/>
          <w:b w:val="false"/>
          <w:bCs w:val="false"/>
          <w:color w:val="1F2937"/>
          <w:sz w:val="18"/>
          <w:szCs w:val="18"/>
          <w:shd w:fill="F1F3F5" w:color="auto" w:val="clear"/>
          <w:rtl/>
        </w:rPr>
        <w:t xml:space="preserve">‎tools/host/collect_evidence.sh‎</w:t>
      </w:r>
      <w:r>
        <w:rPr>
          <w:rFonts w:ascii="Arial" w:cs="Arial" w:eastAsia="Arial" w:hAnsi="Arial"/>
          <w:b w:val="false"/>
          <w:bCs w:val="false"/>
          <w:sz w:val="21"/>
          <w:szCs w:val="21"/>
          <w:rtl/>
        </w:rPr>
        <w:t xml:space="preserve">، ثم انقلها خارج الخادم.</w:t>
      </w:r>
    </w:p>
    <w:p>
      <w:pPr>
        <w:pStyle w:val="ListParagraph"/>
        <w:numPr>
          <w:ilvl w:val="0"/>
          <w:numId w:val="5"/>
        </w:numPr>
        <w:bidi/>
        <w:spacing w:after="70" w:before="0" w:line="300"/>
      </w:pPr>
      <w:r>
        <w:rPr>
          <w:rFonts w:ascii="Arial" w:cs="Arial" w:eastAsia="Arial" w:hAnsi="Arial"/>
          <w:b w:val="false"/>
          <w:bCs w:val="false"/>
          <w:sz w:val="21"/>
          <w:szCs w:val="21"/>
          <w:rtl/>
        </w:rPr>
        <w:t xml:space="preserve">اعزل الحساب أو عنوان IP فقط إذا كان ذلك آمنًا: الحظر اليدوي في صفحة الأمن، وتعطيل الحساب، أو تعليق المشترك.</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تحظر عنوان الوكيل العكسي أو CDN بالخطأ. المنصة ترفض ذلك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 وfail2ban يتجاهلها.</w:t>
      </w:r>
    </w:p>
    <w:p>
      <w:pPr>
        <w:pStyle w:val="ListParagraph"/>
        <w:numPr>
          <w:ilvl w:val="0"/>
          <w:numId w:val="5"/>
        </w:numPr>
        <w:bidi/>
        <w:spacing w:after="70" w:before="0" w:line="300"/>
      </w:pPr>
      <w:r>
        <w:rPr>
          <w:rFonts w:ascii="Arial" w:cs="Arial" w:eastAsia="Arial" w:hAnsi="Arial"/>
          <w:b w:val="false"/>
          <w:bCs w:val="false"/>
          <w:sz w:val="21"/>
          <w:szCs w:val="21"/>
          <w:rtl/>
        </w:rPr>
        <w:t xml:space="preserve">تحقق من العمليات والمنافذ والحاويات الجديدة.</w:t>
      </w:r>
    </w:p>
    <w:p>
      <w:pPr>
        <w:pStyle w:val="ListParagraph"/>
        <w:numPr>
          <w:ilvl w:val="0"/>
          <w:numId w:val="5"/>
        </w:numPr>
        <w:bidi/>
        <w:spacing w:after="70" w:before="0" w:line="300"/>
      </w:pPr>
      <w:r>
        <w:rPr>
          <w:rFonts w:ascii="Arial" w:cs="Arial" w:eastAsia="Arial" w:hAnsi="Arial"/>
          <w:b w:val="false"/>
          <w:bCs w:val="false"/>
          <w:sz w:val="21"/>
          <w:szCs w:val="21"/>
          <w:rtl/>
        </w:rPr>
        <w:t xml:space="preserve">افحص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والمستخدمين الجدد.</w:t>
      </w:r>
    </w:p>
    <w:p>
      <w:pPr>
        <w:pStyle w:val="ListParagraph"/>
        <w:numPr>
          <w:ilvl w:val="0"/>
          <w:numId w:val="5"/>
        </w:numPr>
        <w:bidi/>
        <w:spacing w:after="70" w:before="0" w:line="300"/>
      </w:pPr>
      <w:r>
        <w:rPr>
          <w:rFonts w:ascii="Arial" w:cs="Arial" w:eastAsia="Arial" w:hAnsi="Arial"/>
          <w:b w:val="false"/>
          <w:bCs w:val="false"/>
          <w:sz w:val="21"/>
          <w:szCs w:val="21"/>
          <w:rtl/>
        </w:rPr>
        <w:t xml:space="preserve">أوقف الأسرار المتأثرة ودوّرها (DOC-S08، DOC-S02).</w:t>
      </w:r>
    </w:p>
    <w:p>
      <w:pPr>
        <w:pStyle w:val="ListParagraph"/>
        <w:numPr>
          <w:ilvl w:val="0"/>
          <w:numId w:val="5"/>
        </w:numPr>
        <w:bidi/>
        <w:spacing w:after="70" w:before="0" w:line="300"/>
      </w:pPr>
      <w:r>
        <w:rPr>
          <w:rFonts w:ascii="Arial" w:cs="Arial" w:eastAsia="Arial" w:hAnsi="Arial"/>
          <w:b w:val="false"/>
          <w:bCs w:val="false"/>
          <w:sz w:val="21"/>
          <w:szCs w:val="21"/>
          <w:rtl/>
        </w:rPr>
        <w:t xml:space="preserve">خذ لقطة أو صورة قرص قبل التغييرات الكبيرة (E-6، بموافقة OWN).</w:t>
      </w:r>
    </w:p>
    <w:p>
      <w:pPr>
        <w:pStyle w:val="ListParagraph"/>
        <w:numPr>
          <w:ilvl w:val="0"/>
          <w:numId w:val="5"/>
        </w:numPr>
        <w:bidi/>
        <w:spacing w:after="70" w:before="0" w:line="300"/>
      </w:pPr>
      <w:r>
        <w:rPr>
          <w:rFonts w:ascii="Arial" w:cs="Arial" w:eastAsia="Arial" w:hAnsi="Arial"/>
          <w:b w:val="false"/>
          <w:bCs w:val="false"/>
          <w:sz w:val="21"/>
          <w:szCs w:val="21"/>
          <w:rtl/>
        </w:rPr>
        <w:t xml:space="preserve">افحص الحاويات والصور وملفات Compose.</w:t>
      </w:r>
    </w:p>
    <w:p>
      <w:pPr>
        <w:pStyle w:val="ListParagraph"/>
        <w:numPr>
          <w:ilvl w:val="0"/>
          <w:numId w:val="5"/>
        </w:numPr>
        <w:bidi/>
        <w:spacing w:after="70" w:before="0" w:line="300"/>
      </w:pPr>
      <w:r>
        <w:rPr>
          <w:rFonts w:ascii="Arial" w:cs="Arial" w:eastAsia="Arial" w:hAnsi="Arial"/>
          <w:b w:val="false"/>
          <w:bCs w:val="false"/>
          <w:sz w:val="21"/>
          <w:szCs w:val="21"/>
          <w:rtl/>
        </w:rPr>
        <w:t xml:space="preserve">أعد البناء من مصدر موثوق بدلًا من تنظيف نظام مخترق يدويًا.</w:t>
      </w:r>
    </w:p>
    <w:p>
      <w:pPr>
        <w:pStyle w:val="ListParagraph"/>
        <w:numPr>
          <w:ilvl w:val="0"/>
          <w:numId w:val="5"/>
        </w:numPr>
        <w:bidi/>
        <w:spacing w:after="70" w:before="0" w:line="300"/>
      </w:pPr>
      <w:r>
        <w:rPr>
          <w:rFonts w:ascii="Arial" w:cs="Arial" w:eastAsia="Arial" w:hAnsi="Arial"/>
          <w:b w:val="false"/>
          <w:bCs w:val="false"/>
          <w:sz w:val="21"/>
          <w:szCs w:val="21"/>
          <w:rtl/>
        </w:rPr>
        <w:t xml:space="preserve">أعد اختبار المصادقة والصلاحيات (DOC-S13).</w:t>
      </w:r>
    </w:p>
    <w:p>
      <w:pPr>
        <w:pStyle w:val="ListParagraph"/>
        <w:numPr>
          <w:ilvl w:val="0"/>
          <w:numId w:val="5"/>
        </w:numPr>
        <w:bidi/>
        <w:spacing w:after="70" w:before="0" w:line="300"/>
      </w:pPr>
      <w:r>
        <w:rPr>
          <w:rFonts w:ascii="Arial" w:cs="Arial" w:eastAsia="Arial" w:hAnsi="Arial"/>
          <w:b w:val="false"/>
          <w:bCs w:val="false"/>
          <w:sz w:val="21"/>
          <w:szCs w:val="21"/>
          <w:rtl/>
        </w:rPr>
        <w:t xml:space="preserve">وثّق الحادثة وسببها الجذري والإجراءات التصحيحية في صفحة الحوادث بلوحة المشغّل (INC-YYYY-NNN)، ولا تُغلق الحادثة بلا سبب جذري.</w:t>
      </w:r>
    </w:p>
    <w:p>
      <w:pPr>
        <w:bidi/>
        <w:spacing w:after="60" w:before="0"/>
      </w:pPr>
    </w:p>
    <w:p>
      <w:pPr>
        <w:pStyle w:val="Heading1"/>
        <w:bidi/>
      </w:pPr>
      <w:bookmarkStart w:name="_sec16" w:id="16"/>
      <w:r>
        <w:rPr>
          <w:rFonts w:ascii="Arial" w:cs="Arial" w:eastAsia="Arial" w:hAnsi="Arial"/>
          <w:b/>
          <w:bCs/>
          <w:color w:val="1F3A5F"/>
          <w:sz w:val="32"/>
          <w:szCs w:val="32"/>
          <w:rtl/>
        </w:rPr>
        <w:t xml:space="preserve">10. الإخطار</w:t>
      </w:r>
      <w:bookmarkEnd w:id="16"/>
    </w:p>
    <w:p>
      <w:pPr>
        <w:pStyle w:val="Heading2"/>
        <w:bidi/>
      </w:pPr>
      <w:bookmarkStart w:name="_sec17" w:id="17"/>
      <w:r>
        <w:rPr>
          <w:rFonts w:ascii="Arial" w:cs="Arial" w:eastAsia="Arial" w:hAnsi="Arial"/>
          <w:b/>
          <w:bCs/>
          <w:color w:val="2B5C8A"/>
          <w:sz w:val="26"/>
          <w:szCs w:val="26"/>
          <w:rtl/>
        </w:rPr>
        <w:t xml:space="preserve">10.1 تقييم الخرق</w:t>
      </w:r>
      <w:bookmarkEnd w:id="17"/>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8" w:id="18"/>
      <w:r>
        <w:rPr>
          <w:rFonts w:ascii="Arial" w:cs="Arial" w:eastAsia="Arial" w:hAnsi="Arial"/>
          <w:b/>
          <w:bCs/>
          <w:color w:val="2B5C8A"/>
          <w:sz w:val="26"/>
          <w:szCs w:val="26"/>
          <w:rtl/>
        </w:rPr>
        <w:t xml:space="preserve">10.2 إلى المشترك</w:t>
      </w:r>
      <w:bookmarkEnd w:id="18"/>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9" w:id="19"/>
      <w:r>
        <w:rPr>
          <w:rFonts w:ascii="Arial" w:cs="Arial" w:eastAsia="Arial" w:hAnsi="Arial"/>
          <w:b/>
          <w:bCs/>
          <w:color w:val="2B5C8A"/>
          <w:sz w:val="26"/>
          <w:szCs w:val="26"/>
          <w:rtl/>
        </w:rPr>
        <w:t xml:space="preserve">10.3 إلى الجهات المختصة</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20" w:id="20"/>
      <w:r>
        <w:rPr>
          <w:rFonts w:ascii="Arial" w:cs="Arial" w:eastAsia="Arial" w:hAnsi="Arial"/>
          <w:b/>
          <w:bCs/>
          <w:color w:val="2B5C8A"/>
          <w:sz w:val="26"/>
          <w:szCs w:val="26"/>
          <w:rtl/>
        </w:rPr>
        <w:t xml:space="preserve">10.4 من المعالجين الفرعيين وإليهم</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1" w:id="21"/>
      <w:r>
        <w:rPr>
          <w:rFonts w:ascii="Arial" w:cs="Arial" w:eastAsia="Arial" w:hAnsi="Arial"/>
          <w:b/>
          <w:bCs/>
          <w:color w:val="2B5C8A"/>
          <w:sz w:val="26"/>
          <w:szCs w:val="26"/>
          <w:rtl/>
        </w:rPr>
        <w:t xml:space="preserve">10.5 سجل الإخطار</w:t>
      </w:r>
      <w:bookmarkEnd w:id="21"/>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2" w:id="22"/>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3" w:id="23"/>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4" w:id="24"/>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14. القرارات المطلوبة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6" w:id="26"/>
      <w:r>
        <w:rPr>
          <w:rFonts w:ascii="Arial" w:cs="Arial" w:eastAsia="Arial" w:hAnsi="Arial"/>
          <w:b/>
          <w:bCs/>
          <w:color w:val="1F3A5F"/>
          <w:sz w:val="32"/>
          <w:szCs w:val="32"/>
          <w:rtl/>
        </w:rPr>
        <w:t xml:space="preserve">15. تعارضات وفجوات في المصادر</w:t>
      </w:r>
      <w:bookmarkEnd w:id="26"/>
    </w:p>
    <w:p>
      <w:pPr>
        <w:pStyle w:val="ListParagraph"/>
        <w:numPr>
          <w:ilvl w:val="0"/>
          <w:numId w:val="6"/>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6"/>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6"/>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6"/>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6"/>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6"/>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7" w:id="27"/>
      <w:r>
        <w:rPr>
          <w:rFonts w:ascii="Arial" w:cs="Arial" w:eastAsia="Arial" w:hAnsi="Arial"/>
          <w:b/>
          <w:bCs/>
          <w:color w:val="1F3A5F"/>
          <w:sz w:val="32"/>
          <w:szCs w:val="32"/>
          <w:rtl/>
        </w:rPr>
        <w:t xml:space="preserve">16. التتبع</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2026-10-25T01:27:23.312Z</dcterms:created>
  <dcterms:modified xsi:type="dcterms:W3CDTF">2026-10-25T01:27:23.312Z</dcterms:modified>
</cp:coreProperties>
</file>

<file path=docProps/custom.xml><?xml version="1.0" encoding="utf-8"?>
<Properties xmlns="http://schemas.openxmlformats.org/officeDocument/2006/custom-properties" xmlns:vt="http://schemas.openxmlformats.org/officeDocument/2006/docPropsVTypes"/>
</file>