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DOC-S16 — دليل تشغيل مضيف التطبيق وحمايته من الاختراق والإغراق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الصورة</w:t>
        </w:r>
      </w:hyperlink>
    </w:p>
    <w:p>
      <w:pPr>
        <w:bidi/>
        <w:spacing w:after="50" w:before="0"/>
        <w:ind w:left="0"/>
      </w:pPr>
      <w:hyperlink w:history="1" w:anchor="_sec3">
        <w:r>
          <w:rPr>
            <w:rFonts w:ascii="Arial" w:cs="Arial" w:eastAsia="Arial" w:hAnsi="Arial"/>
            <w:b/>
            <w:bCs/>
            <w:color w:val="1F3A5F"/>
            <w:sz w:val="20"/>
            <w:szCs w:val="20"/>
            <w:rtl/>
          </w:rPr>
          <w:t xml:space="preserve">3. طبقات الحماية</w:t>
        </w:r>
      </w:hyperlink>
    </w:p>
    <w:p>
      <w:pPr>
        <w:bidi/>
        <w:spacing w:after="50" w:before="0"/>
        <w:ind w:left="0"/>
      </w:pPr>
      <w:hyperlink w:history="1" w:anchor="_sec4">
        <w:r>
          <w:rPr>
            <w:rFonts w:ascii="Arial" w:cs="Arial" w:eastAsia="Arial" w:hAnsi="Arial"/>
            <w:b/>
            <w:bCs/>
            <w:color w:val="1F3A5F"/>
            <w:sz w:val="20"/>
            <w:szCs w:val="20"/>
            <w:rtl/>
          </w:rPr>
          <w:t xml:space="preserve">4. الجدار الناري والنواة</w:t>
        </w:r>
      </w:hyperlink>
    </w:p>
    <w:p>
      <w:pPr>
        <w:bidi/>
        <w:spacing w:after="50" w:before="0"/>
        <w:ind w:left="0"/>
      </w:pPr>
      <w:hyperlink w:history="1" w:anchor="_sec5">
        <w:r>
          <w:rPr>
            <w:rFonts w:ascii="Arial" w:cs="Arial" w:eastAsia="Arial" w:hAnsi="Arial"/>
            <w:b/>
            <w:bCs/>
            <w:color w:val="1F3A5F"/>
            <w:sz w:val="20"/>
            <w:szCs w:val="20"/>
            <w:rtl/>
          </w:rPr>
          <w:t xml:space="preserve">5. الوكيل Caddy والعنوان الحقيقي</w:t>
        </w:r>
      </w:hyperlink>
    </w:p>
    <w:p>
      <w:pPr>
        <w:bidi/>
        <w:spacing w:after="50" w:before="0"/>
        <w:ind w:left="0"/>
      </w:pPr>
      <w:hyperlink w:history="1" w:anchor="_sec9">
        <w:r>
          <w:rPr>
            <w:rFonts w:ascii="Arial" w:cs="Arial" w:eastAsia="Arial" w:hAnsi="Arial"/>
            <w:b/>
            <w:bCs/>
            <w:color w:val="1F3A5F"/>
            <w:sz w:val="20"/>
            <w:szCs w:val="20"/>
            <w:rtl/>
          </w:rPr>
          <w:t xml:space="preserve">6. حارس التطبيق ولوحة المشغّل</w:t>
        </w:r>
      </w:hyperlink>
    </w:p>
    <w:p>
      <w:pPr>
        <w:bidi/>
        <w:spacing w:after="50" w:before="0"/>
        <w:ind w:left="0"/>
      </w:pPr>
      <w:hyperlink w:history="1" w:anchor="_sec10">
        <w:r>
          <w:rPr>
            <w:rFonts w:ascii="Arial" w:cs="Arial" w:eastAsia="Arial" w:hAnsi="Arial"/>
            <w:b/>
            <w:bCs/>
            <w:color w:val="1F3A5F"/>
            <w:sz w:val="20"/>
            <w:szCs w:val="20"/>
            <w:rtl/>
          </w:rPr>
          <w:t xml:space="preserve">7. السجلات</w:t>
        </w:r>
      </w:hyperlink>
    </w:p>
    <w:p>
      <w:pPr>
        <w:bidi/>
        <w:spacing w:after="50" w:before="0"/>
        <w:ind w:left="0"/>
      </w:pPr>
      <w:hyperlink w:history="1" w:anchor="_sec11">
        <w:r>
          <w:rPr>
            <w:rFonts w:ascii="Arial" w:cs="Arial" w:eastAsia="Arial" w:hAnsi="Arial"/>
            <w:b/>
            <w:bCs/>
            <w:color w:val="1F3A5F"/>
            <w:sz w:val="20"/>
            <w:szCs w:val="20"/>
            <w:rtl/>
          </w:rPr>
          <w:t xml:space="preserve">8. المراقبة والتنبيه</w:t>
        </w:r>
      </w:hyperlink>
    </w:p>
    <w:p>
      <w:pPr>
        <w:bidi/>
        <w:spacing w:after="50" w:before="0"/>
        <w:ind w:left="0"/>
      </w:pPr>
      <w:hyperlink w:history="1" w:anchor="_sec12">
        <w:r>
          <w:rPr>
            <w:rFonts w:ascii="Arial" w:cs="Arial" w:eastAsia="Arial" w:hAnsi="Arial"/>
            <w:b/>
            <w:bCs/>
            <w:color w:val="1F3A5F"/>
            <w:sz w:val="20"/>
            <w:szCs w:val="20"/>
            <w:rtl/>
          </w:rPr>
          <w:t xml:space="preserve">9. الاستجابة عند اكتشاف نشاط مشبوه  /</w:t>
        </w:r>
      </w:hyperlink>
    </w:p>
    <w:p>
      <w:pPr>
        <w:bidi/>
        <w:spacing w:after="50" w:before="0"/>
        <w:ind w:left="0"/>
      </w:pPr>
      <w:hyperlink w:history="1" w:anchor="_sec13">
        <w:r>
          <w:rPr>
            <w:rFonts w:ascii="Arial" w:cs="Arial" w:eastAsia="Arial" w:hAnsi="Arial"/>
            <w:b/>
            <w:bCs/>
            <w:color w:val="1F3A5F"/>
            <w:sz w:val="20"/>
            <w:szCs w:val="20"/>
            <w:rtl/>
          </w:rPr>
          <w:t xml:space="preserve">10. إجراء «تحت الهجوم»</w:t>
        </w:r>
      </w:hyperlink>
    </w:p>
    <w:p>
      <w:pPr>
        <w:bidi/>
        <w:spacing w:after="50" w:before="0"/>
        <w:ind w:left="0"/>
      </w:pPr>
      <w:hyperlink w:history="1" w:anchor="_sec14">
        <w:r>
          <w:rPr>
            <w:rFonts w:ascii="Arial" w:cs="Arial" w:eastAsia="Arial" w:hAnsi="Arial"/>
            <w:b/>
            <w:bCs/>
            <w:color w:val="1F3A5F"/>
            <w:sz w:val="20"/>
            <w:szCs w:val="20"/>
            <w:rtl/>
          </w:rPr>
          <w:t xml:space="preserve">11. مراجعة التشفير</w:t>
        </w:r>
      </w:hyperlink>
    </w:p>
    <w:p>
      <w:pPr>
        <w:bidi/>
        <w:spacing w:after="50" w:before="0"/>
        <w:ind w:left="0"/>
      </w:pPr>
      <w:hyperlink w:history="1" w:anchor="_sec15">
        <w:r>
          <w:rPr>
            <w:rFonts w:ascii="Arial" w:cs="Arial" w:eastAsia="Arial" w:hAnsi="Arial"/>
            <w:b/>
            <w:bCs/>
            <w:color w:val="1F3A5F"/>
            <w:sz w:val="20"/>
            <w:szCs w:val="20"/>
            <w:rtl/>
          </w:rPr>
          <w:t xml:space="preserve">12. قبل الإطلاق العام (P1)</w:t>
        </w:r>
      </w:hyperlink>
    </w:p>
    <w:p>
      <w:pPr>
        <w:bidi/>
        <w:spacing w:after="50" w:before="0"/>
        <w:ind w:left="0"/>
      </w:pPr>
      <w:hyperlink w:history="1" w:anchor="_sec16">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1"/>
        <w:bidi/>
      </w:pPr>
      <w:bookmarkStart w:name="_sec2" w:id="2"/>
      <w:r>
        <w:rPr>
          <w:rFonts w:ascii="Arial" w:cs="Arial" w:eastAsia="Arial" w:hAnsi="Arial"/>
          <w:b/>
          <w:bCs/>
          <w:color w:val="1F3A5F"/>
          <w:sz w:val="32"/>
          <w:szCs w:val="32"/>
          <w:rtl/>
        </w:rPr>
        <w:t xml:space="preserve">2. الصورة</w:t>
      </w:r>
      <w:bookmarkEnd w:id="2"/>
    </w:p>
    <w:p>
      <w:pPr>
        <w:keepNext/>
        <w:bidi/>
        <w:spacing w:after="60" w:before="160"/>
        <w:jc w:val="center"/>
      </w:pPr>
      <w:r>
        <w:drawing>
          <wp:inline distT="0" distB="0" distL="0" distR="0">
            <wp:extent cx="6096000" cy="12573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2573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طبقات الحماية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1"/>
        <w:bidi/>
      </w:pPr>
      <w:bookmarkStart w:name="_sec4" w:id="4"/>
      <w:r>
        <w:rPr>
          <w:rFonts w:ascii="Arial" w:cs="Arial" w:eastAsia="Arial" w:hAnsi="Arial"/>
          <w:b/>
          <w:bCs/>
          <w:color w:val="1F3A5F"/>
          <w:sz w:val="32"/>
          <w:szCs w:val="32"/>
          <w:rtl/>
        </w:rPr>
        <w:t xml:space="preserve">4. الجدار الناري والنواة </w:t>
      </w:r>
      <w:r>
        <w:rPr>
          <w:rFonts w:ascii="Arial" w:cs="Arial" w:eastAsia="Arial" w:hAnsi="Arial"/>
          <w:color w:val="E0A800"/>
          <w:sz w:val="32"/>
          <w:szCs w:val="32"/>
          <w:rtl/>
        </w:rPr>
        <w:t xml:space="preserve">●</w:t>
      </w:r>
      <w:bookmarkEnd w:id="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1"/>
        <w:bidi/>
      </w:pPr>
      <w:bookmarkStart w:name="_sec5" w:id="5"/>
      <w:r>
        <w:rPr>
          <w:rFonts w:ascii="Arial" w:cs="Arial" w:eastAsia="Arial" w:hAnsi="Arial"/>
          <w:b/>
          <w:bCs/>
          <w:color w:val="1F3A5F"/>
          <w:sz w:val="32"/>
          <w:szCs w:val="32"/>
          <w:rtl/>
        </w:rPr>
        <w:t xml:space="preserve">5. الوكيل Caddy والعنوان الحقيقي</w:t>
      </w:r>
      <w:bookmarkEnd w:id="5"/>
    </w:p>
    <w:p>
      <w:pPr>
        <w:pStyle w:val="Heading2"/>
        <w:bidi/>
      </w:pPr>
      <w:bookmarkStart w:name="_sec6" w:id="6"/>
      <w:r>
        <w:rPr>
          <w:rFonts w:ascii="Arial" w:cs="Arial" w:eastAsia="Arial" w:hAnsi="Arial"/>
          <w:b/>
          <w:bCs/>
          <w:color w:val="2B5C8A"/>
          <w:sz w:val="26"/>
          <w:szCs w:val="26"/>
          <w:rtl/>
        </w:rPr>
        <w:t xml:space="preserve">5.1 Caddy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العنوان الحقيقي للعميل </w:t>
      </w:r>
      <w:r>
        <w:rPr>
          <w:rFonts w:ascii="Arial" w:cs="Arial" w:eastAsia="Arial" w:hAnsi="Arial"/>
          <w:color w:val="2E9E44"/>
          <w:sz w:val="26"/>
          <w:szCs w:val="26"/>
          <w:rtl/>
        </w:rPr>
        <w:t xml:space="preserve">●</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2"/>
        <w:bidi/>
      </w:pPr>
      <w:bookmarkStart w:name="_sec8" w:id="8"/>
      <w:r>
        <w:rPr>
          <w:rFonts w:ascii="Arial" w:cs="Arial" w:eastAsia="Arial" w:hAnsi="Arial"/>
          <w:b/>
          <w:bCs/>
          <w:color w:val="2B5C8A"/>
          <w:sz w:val="26"/>
          <w:szCs w:val="26"/>
          <w:rtl/>
        </w:rPr>
        <w:t xml:space="preserve">5.3 إضافة حافة لاحقًا</w:t>
      </w:r>
      <w:bookmarkEnd w:id="8"/>
    </w:p>
    <w:p>
      <w:pPr>
        <w:pStyle w:val="ListParagraph"/>
        <w:numPr>
          <w:ilvl w:val="0"/>
          <w:numId w:val="3"/>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3"/>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3"/>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1"/>
        <w:bidi/>
      </w:pPr>
      <w:bookmarkStart w:name="_sec9" w:id="9"/>
      <w:r>
        <w:rPr>
          <w:rFonts w:ascii="Arial" w:cs="Arial" w:eastAsia="Arial" w:hAnsi="Arial"/>
          <w:b/>
          <w:bCs/>
          <w:color w:val="1F3A5F"/>
          <w:sz w:val="32"/>
          <w:szCs w:val="32"/>
          <w:rtl/>
        </w:rPr>
        <w:t xml:space="preserve">6. حارس التطبيق ولوحة المشغّل </w:t>
      </w:r>
      <w:r>
        <w:rPr>
          <w:rFonts w:ascii="Arial" w:cs="Arial" w:eastAsia="Arial" w:hAnsi="Arial"/>
          <w:color w:val="2E9E44"/>
          <w:sz w:val="32"/>
          <w:szCs w:val="32"/>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bCs/>
          <w:sz w:val="21"/>
          <w:szCs w:val="21"/>
          <w:rtl/>
        </w:rPr>
        <w:t xml:space="preserve">لا خريطة موقع ولا فهرسة:</w:t>
      </w:r>
      <w:r>
        <w:rPr>
          <w:rFonts w:ascii="Arial" w:cs="Arial" w:eastAsia="Arial" w:hAnsi="Arial"/>
          <w:b w:val="false"/>
          <w:bCs w:val="false"/>
          <w:sz w:val="21"/>
          <w:szCs w:val="21"/>
          <w:rtl/>
        </w:rPr>
        <w:t xml:space="preserve"> لا يوجد </w:t>
      </w:r>
      <w:r>
        <w:rPr>
          <w:rFonts w:ascii="Courier New" w:cs="Courier New" w:eastAsia="Courier New" w:hAnsi="Courier New"/>
          <w:b w:val="false"/>
          <w:bCs w:val="false"/>
          <w:color w:val="1F2937"/>
          <w:sz w:val="18"/>
          <w:szCs w:val="18"/>
          <w:shd w:fill="F1F3F5" w:color="auto" w:val="clear"/>
          <w:rtl/>
        </w:rPr>
        <w:t xml:space="preserve">‎sitemap.xml‎</w:t>
      </w:r>
      <w:r>
        <w:rPr>
          <w:rFonts w:ascii="Arial" w:cs="Arial" w:eastAsia="Arial" w:hAnsi="Arial"/>
          <w:b w:val="false"/>
          <w:bCs w:val="false"/>
          <w:sz w:val="21"/>
          <w:szCs w:val="21"/>
          <w:rtl/>
        </w:rPr>
        <w:t xml:space="preserve">، وكل مسار يبدأ بـ sitemap يُرد بـ 404 في التطبيق وفي Caddy. و</w:t>
      </w:r>
      <w:r>
        <w:rPr>
          <w:rFonts w:ascii="Courier New" w:cs="Courier New" w:eastAsia="Courier New" w:hAnsi="Courier New"/>
          <w:b w:val="false"/>
          <w:bCs w:val="false"/>
          <w:color w:val="1F2937"/>
          <w:sz w:val="18"/>
          <w:szCs w:val="18"/>
          <w:shd w:fill="F1F3F5" w:color="auto" w:val="clear"/>
          <w:rtl/>
        </w:rPr>
        <w:t xml:space="preserve">‎robots.txt‎</w:t>
      </w:r>
      <w:r>
        <w:rPr>
          <w:rFonts w:ascii="Arial" w:cs="Arial" w:eastAsia="Arial" w:hAnsi="Arial"/>
          <w:b w:val="false"/>
          <w:bCs w:val="false"/>
          <w:sz w:val="21"/>
          <w:szCs w:val="21"/>
          <w:rtl/>
        </w:rPr>
        <w:t xml:space="preserve"> يمنع كل المسارات دون أن يسمي أيًّا منها. وكل رد يحمل </w:t>
      </w:r>
      <w:r>
        <w:rPr>
          <w:rFonts w:ascii="Courier New" w:cs="Courier New" w:eastAsia="Courier New" w:hAnsi="Courier New"/>
          <w:b w:val="false"/>
          <w:bCs w:val="false"/>
          <w:color w:val="1F2937"/>
          <w:sz w:val="18"/>
          <w:szCs w:val="18"/>
          <w:shd w:fill="F1F3F5" w:color="auto" w:val="clear"/>
          <w:rtl/>
        </w:rPr>
        <w:t xml:space="preserve">‎X-Robots-Tag: noindex, nofollow, noarchive, nosnippet‎</w:t>
      </w:r>
      <w:r>
        <w:rPr>
          <w:rFonts w:ascii="Arial" w:cs="Arial" w:eastAsia="Arial" w:hAnsi="Arial"/>
          <w:b w:val="false"/>
          <w:bCs w:val="false"/>
          <w:sz w:val="21"/>
          <w:szCs w:val="21"/>
          <w:rtl/>
        </w:rPr>
        <w:t xml:space="preserve">، والصفحة تحمل وسم robots بالمعنى نفسه. والمسار الذي يبدو ملفًا (فيه نقطة في آخره) ولا يوجد يُرد بـ 404، لا بصفحة التطبيق، فلا يكشف الفحص الآلي شيئًا.</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1"/>
        <w:bidi/>
      </w:pPr>
      <w:bookmarkStart w:name="_sec10" w:id="10"/>
      <w:r>
        <w:rPr>
          <w:rFonts w:ascii="Arial" w:cs="Arial" w:eastAsia="Arial" w:hAnsi="Arial"/>
          <w:b/>
          <w:bCs/>
          <w:color w:val="1F3A5F"/>
          <w:sz w:val="32"/>
          <w:szCs w:val="32"/>
          <w:rtl/>
        </w:rPr>
        <w:t xml:space="preserve">7. السجلات </w:t>
      </w:r>
      <w:r>
        <w:rPr>
          <w:rFonts w:ascii="Arial" w:cs="Arial" w:eastAsia="Arial" w:hAnsi="Arial"/>
          <w:color w:val="E0A800"/>
          <w:sz w:val="32"/>
          <w:szCs w:val="32"/>
          <w:rtl/>
        </w:rPr>
        <w:t xml:space="preserve">●</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1"/>
        <w:bidi/>
      </w:pPr>
      <w:bookmarkStart w:name="_sec11" w:id="11"/>
      <w:r>
        <w:rPr>
          <w:rFonts w:ascii="Arial" w:cs="Arial" w:eastAsia="Arial" w:hAnsi="Arial"/>
          <w:b/>
          <w:bCs/>
          <w:color w:val="1F3A5F"/>
          <w:sz w:val="32"/>
          <w:szCs w:val="32"/>
          <w:rtl/>
        </w:rPr>
        <w:t xml:space="preserve">8. المراقبة والتنبيه </w:t>
      </w:r>
      <w:r>
        <w:rPr>
          <w:rFonts w:ascii="Arial" w:cs="Arial" w:eastAsia="Arial" w:hAnsi="Arial"/>
          <w:color w:val="E0A800"/>
          <w:sz w:val="32"/>
          <w:szCs w:val="32"/>
          <w:rtl/>
        </w:rPr>
        <w:t xml:space="preserve">●</w:t>
      </w:r>
      <w:bookmarkEnd w:id="11"/>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الاستجابة عند اكتشاف نشاط مشبوه </w:t>
      </w:r>
      <w:r>
        <w:rPr>
          <w:rFonts w:ascii="Arial" w:cs="Arial" w:eastAsia="Arial" w:hAnsi="Arial"/>
          <w:color w:val="2E9E44"/>
          <w:sz w:val="32"/>
          <w:szCs w:val="32"/>
          <w:rtl/>
        </w:rPr>
        <w:t xml:space="preserve">●</w:t>
      </w:r>
      <w:r>
        <w:rPr>
          <w:rFonts w:ascii="Arial" w:cs="Arial" w:eastAsia="Arial" w:hAnsi="Arial"/>
          <w:b/>
          <w:bCs/>
          <w:color w:val="1F3A5F"/>
          <w:sz w:val="32"/>
          <w:szCs w:val="32"/>
          <w:rtl/>
        </w:rPr>
        <w:t xml:space="preserve"> / </w:t>
      </w:r>
      <w:r>
        <w:rPr>
          <w:rFonts w:ascii="Arial" w:cs="Arial" w:eastAsia="Arial" w:hAnsi="Arial"/>
          <w:color w:val="E0A800"/>
          <w:sz w:val="32"/>
          <w:szCs w:val="32"/>
          <w:rtl/>
        </w:rPr>
        <w:t xml:space="preserve">●</w:t>
      </w:r>
      <w:bookmarkEnd w:id="12"/>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10. إجراء «تحت الهجوم» </w:t>
      </w:r>
      <w:r>
        <w:rPr>
          <w:rFonts w:ascii="Arial" w:cs="Arial" w:eastAsia="Arial" w:hAnsi="Arial"/>
          <w:color w:val="E0A800"/>
          <w:sz w:val="32"/>
          <w:szCs w:val="32"/>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4"/>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4"/>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4"/>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1"/>
        <w:bidi/>
      </w:pPr>
      <w:bookmarkStart w:name="_sec14" w:id="14"/>
      <w:r>
        <w:rPr>
          <w:rFonts w:ascii="Arial" w:cs="Arial" w:eastAsia="Arial" w:hAnsi="Arial"/>
          <w:b/>
          <w:bCs/>
          <w:color w:val="1F3A5F"/>
          <w:sz w:val="32"/>
          <w:szCs w:val="32"/>
          <w:rtl/>
        </w:rPr>
        <w:t xml:space="preserve">11. مراجعة التشفير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1"/>
        <w:bidi/>
      </w:pPr>
      <w:bookmarkStart w:name="_sec15" w:id="15"/>
      <w:r>
        <w:rPr>
          <w:rFonts w:ascii="Arial" w:cs="Arial" w:eastAsia="Arial" w:hAnsi="Arial"/>
          <w:b/>
          <w:bCs/>
          <w:color w:val="1F3A5F"/>
          <w:sz w:val="32"/>
          <w:szCs w:val="32"/>
          <w:rtl/>
        </w:rPr>
        <w:t xml:space="preserve">12. قبل الإطلاق العام (P1)</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163620f7d852c1afe27f3ac93a2fa219cf10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DOC-S16 — دليل تشغيل مضيف التطبيق وحمايته من الاختراق والإغراق</dc:title>
  <dc:creator>Claude</dc:creator>
  <dc:description>BankFas database design document</dc:description>
  <cp:lastModifiedBy>Un-named</cp:lastModifiedBy>
  <cp:revision>1</cp:revision>
  <dcterms:created xsi:type="dcterms:W3CDTF">2026-10-25T01:22:08.464Z</dcterms:created>
  <dcterms:modified xsi:type="dcterms:W3CDTF">2026-10-25T01:22:08.464Z</dcterms:modified>
</cp:coreProperties>
</file>

<file path=docProps/custom.xml><?xml version="1.0" encoding="utf-8"?>
<Properties xmlns="http://schemas.openxmlformats.org/officeDocument/2006/custom-properties" xmlns:vt="http://schemas.openxmlformats.org/officeDocument/2006/docPropsVTypes"/>
</file>