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194 tables · 20 schemas · 763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194 tables in 20 schemas; 763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194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14</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194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38</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2439353"/>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2439353"/>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A CI gate runs the same steps on every change to db/, tools/dbgen/ or tools/ci/ (tools/ci/db_ci.sh, .github/workflows/db-ci.yml). The gate has passed locally; its first run on GitHub is pending. Not yet run on the production server.</w:t>
            </w:r>
          </w:p>
        </w:tc>
        <w:tc>
          <w:tcPr>
            <w:tcW w:type="dxa" w:w="2721"/>
            <w:shd w:val="clear" w:color="auto" w:fill="E8EEF6"/>
          </w:tcPr>
          <w:p>
            <w:pPr>
              <w:spacing w:after="0" w:before="0"/>
            </w:pPr>
            <w:r/>
            <w:r>
              <w:rPr>
                <w:rFonts w:ascii="Arial" w:hAnsi="Arial"/>
                <w:b w:val="0"/>
                <w:sz w:val="15"/>
              </w:rPr>
              <w:t>Check the first GitHub run in the Actions tab, then run db/deploy.sql on the target Windows server.</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Row-level security filters rows by SESSION_CONTEXT(TenantId) (db/static/010_rls.sql). For tenant-owned tables a missing context compares as NULL and returns no rows. Endpoint tests do not exist yet.</w:t>
            </w:r>
          </w:p>
        </w:tc>
        <w:tc>
          <w:tcPr>
            <w:tcW w:type="dxa" w:w="2721"/>
          </w:tcPr>
          <w:p>
            <w:pPr>
              <w:spacing w:after="0" w:before="0"/>
            </w:pPr>
            <w:r/>
            <w:r>
              <w:rPr>
                <w:rFonts w:ascii="Arial" w:hAnsi="Arial"/>
                <w:b w:val="0"/>
                <w:sz w:val="15"/>
              </w:rPr>
              <w:t>Add cross-tenant (IDOR) and no-context tests to CI for every endpoint.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194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or password-reset token (30 minutes) (FR-PLT-013)</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194</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579</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