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3"/>
        <w:gridCol w:w="7891"/>
      </w:tblGrid>
      <w:tr>
        <w:trPr>
          <w:cantSplit/>
          <w:tblHeader/>
        </w:trPr>
        <w:tc>
          <w:tcPr>
            <w:tcW w:type="dxa" w:w="1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7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‎tools/dbgen/erd_pro.py‎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7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75">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80">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81">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82">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83">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84">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3,261 مُعرَّفة في النماذج + الأعمدة الآلية = </w:t>
            </w:r>
            <w:r>
              <w:rPr>
                <w:rFonts w:ascii="Arial" w:cs="Arial" w:eastAsia="Arial" w:hAnsi="Arial"/>
                <w:b/>
                <w:bCs/>
                <w:sz w:val="18"/>
                <w:szCs w:val="18"/>
                <w:rtl/>
              </w:rPr>
              <w:t xml:space="preserve">3,787</w:t>
            </w:r>
            <w:r>
              <w:rPr>
                <w:rFonts w:ascii="Arial" w:cs="Arial" w:eastAsia="Arial" w:hAnsi="Arial"/>
                <w:b w:val="false"/>
                <w:bCs w:val="false"/>
                <w:sz w:val="18"/>
                <w:szCs w:val="18"/>
                <w:rtl/>
              </w:rPr>
              <w:t xml:space="preserve"> في DDL</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750</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485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+ 81 بسيطة نحو جداول عالمية/مختلطة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675 غير مجمّع (196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1,145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فهارس فريدة مصفّاة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184 (183 بسياسة عامة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الـ10 العالمية خارجها)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(73 مفتاحًا من الـ485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3287"/>
        <w:gridCol w:w="1287"/>
        <w:gridCol w:w="1144"/>
        <w:gridCol w:w="1858"/>
      </w:tblGrid>
      <w:tr>
        <w:trPr>
          <w:cantSplit/>
          <w:tblHeader/>
        </w:trPr>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179</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Arial" w:cs="Arial" w:eastAsia="Arial" w:hAnsi="Arial"/>
          <w:b w:val="false"/>
          <w:bCs w:val="false"/>
          <w:sz w:val="21"/>
          <w:szCs w:val="21"/>
          <w:rtl/>
        </w:rPr>
        <w:t xml:space="preserve">جدول مختلط ودلالته مختلفة عن الكتالوجات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الكتالوجات العالمية والمختلطة وجداول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المشترك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المركز المميَّز بالأصفر) بالمستخدمين والأدوار والصلاحيات ومفتاح تشفيره وشركاته. الأسهم المتصلة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مع اسم العمود عليها. الجداول المملوكة للمشترك مجمّعة في عنقود أزرق، وكلها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بسهم واحد ذهبي؛ وبذلك لا تتقاطع الأسهم المتكررة فوق بعضها.</w:t>
      </w:r>
    </w:p>
    <w:p>
      <w:pPr>
        <w:keepNext/>
        <w:bidi/>
        <w:spacing w:after="60" w:before="160"/>
        <w:jc w:val="center"/>
      </w:pPr>
      <w:r>
        <w:drawing>
          <wp:inline distT="0" distB="0" distL="0" distR="0">
            <wp:extent cx="6096000" cy="4286250"/>
            <wp:effectExtent t="0" r="0" b="0" l="0"/>
            <wp:docPr id="1" name="diagrams/erd_00_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86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(750)،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5124450"/>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124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183832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457450"/>
            <wp:effectExtent t="0" r="0" b="0" l="0"/>
            <wp:docPr id="1" name="diagrams/erd/m0_tenancy.png" descr="م0 · المشترك والاشتراكات والمشغّلون" title="م0 · المشترك والاشتراكات والمشغّل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457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619"/>
        <w:gridCol w:w="2494"/>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حزمة وحدات وحدود ناعمة (FR-PLT-003/004، Q-PLT-11)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الباقة (يحل محل Plan.IncludedModules json)</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تطبيق المشترك (tp_app) · حساب مشغّل المنصة: مخزن هوية منفصل عن AppUser (FR-PLT-006)</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فرعية محجوزة للنظام: www · admin · api · app… (FR-PLT-046)</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(FR-PLT-007، BR-PLT-017)</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مباشر لتطبيق المشترك (يقرأ صفّه عبر plat.v_CurrentTenant) · جذر العزل: المشترك (FR-PLT-001/002/046، BR-PLT-001/002)</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للمشترك (FR-PLT-003، BR-PLT-003)</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409"/>
        <w:gridCol w:w="1000"/>
        <w:gridCol w:w="1000"/>
        <w:gridCol w:w="1000"/>
        <w:gridCol w:w="1000"/>
        <w:gridCol w:w="1000"/>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الهوية والصلاحيات</w:t>
      </w:r>
      <w:bookmarkEnd w:id="35"/>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143250"/>
            <wp:effectExtent t="0" r="0" b="0" l="0"/>
            <wp:docPr id="1" name="diagrams/erd/m0_identity.png" descr="م0 · الهوية والصلاحيات" title="م0 · الهوية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43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(FR-PLT-010..016، BR-PLT-004..006)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يخصصه المشترك أو مبذور (FR-PLT-018)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تملكه المنصة؛ لا يضيف المشترك صلاحية (FR-PLT-017)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PERMISSION_LOCKED يُفرض في الخدمة (BR-PLT-019)</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 PermissionId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مستخدم-دور؛ اتحاد الصلاحيات (BR-PLT-007، FR-PLT-018)</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RoleId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تُهمل إن كان CompanyScopeMode=ALL (FR-PLT-020)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OIDC/Entra بالمستخدم؛ جاهزية فقط (FR-PLT-015، §11)</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7"/>
        <w:gridCol w:w="1817"/>
        <w:gridCol w:w="1000"/>
        <w:gridCol w:w="1000"/>
        <w:gridCol w:w="1000"/>
        <w:gridCol w:w="1000"/>
        <w:gridCol w:w="1000"/>
      </w:tblGrid>
      <w:tr>
        <w:trPr>
          <w:cantSplit/>
          <w:tblHeader/>
        </w:trPr>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الجلسات والمفاتيح والمحاولات</w:t>
      </w:r>
      <w:bookmarkEnd w:id="36"/>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800225"/>
            <wp:effectExtent t="0" r="0" b="0" l="0"/>
            <wp:docPr id="1" name="diagrams/erd/m0_sessions.png" descr="م0 · الجلسات والمفاتيح والمحاولات" title="م0 · الجلسات والمفاتيح والمحاول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7"/>
        <w:gridCol w:w="704"/>
        <w:gridCol w:w="2463"/>
        <w:gridCol w:w="1000"/>
        <w:gridCol w:w="1000"/>
        <w:gridCol w:w="1000"/>
        <w:gridCol w:w="1000"/>
      </w:tblGrid>
      <w:tr>
        <w:trPr>
          <w:cantSplit/>
          <w:tblHeader/>
        </w:trPr>
        <w:tc>
          <w:tcPr>
            <w:tcW w:type="dxa" w:w="2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خمول 30 دقيقة ومطلقة 12 ساعة (FR-PLT-014)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لخنق المعدل ونوافذ القفل؛ الأثر الدائم في aud.AuditLog (BR-PLT-005)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رموز استرداد لمرة واحدة مُجزَّأة (FR-PLT-011، BR-PLT-006؛ بديل AppUser.RecoveryCodesHash json)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(48 ساعة) أو إعادة تعيين كلمة المرور (30 دقيقة) لمرة واحدة (FR-PLT-013)</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كلمات مرور لمنع إعادة استعمالها (BR-PLT-004)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المفتاح ملفوف بمفتاح رئيسي خارج القاعدة (FR-PLT-037، BR-PLT-015)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إنشاء وتدوير وإبطال (FR-PLT-037؛ شدة عالية BR-PLT-009)</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4"/>
        <w:gridCol w:w="1710"/>
        <w:gridCol w:w="1000"/>
        <w:gridCol w:w="1000"/>
        <w:gridCol w:w="1000"/>
        <w:gridCol w:w="1000"/>
        <w:gridCol w:w="1000"/>
      </w:tblGrid>
      <w:tr>
        <w:trPr>
          <w:cantSplit/>
          <w:tblHeader/>
        </w:trPr>
        <w:tc>
          <w:tcPr>
            <w:tcW w:type="dxa" w:w="3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التدقيق والمستندات</w:t>
      </w:r>
      <w:bookmarkEnd w:id="37"/>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3724275"/>
            <wp:effectExtent t="0" r="0" b="0" l="0"/>
            <wp:docPr id="1" name="diagrams/erd/m0_audit_docs.png" descr="م0 · التدقيق والمستندات" title="م0 · التدقيق والمستن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24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463"/>
        <w:gridCol w:w="2592"/>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TenantId الفارغ = حدث منصة لا يراه أي مشترك؛ سياسة RLS خاصة (BR-PLT-001/009)</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الهويات والصور والتصدير والتنزيل المقيّد؛ لكشف الشذوذ &gt;20/ساعة وR-PLT-3 (BR-PTY-009)</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بيانات المستند وحالته؛ الملف في doc.DocumentVersion (FR-PLT-027/028،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بدور وصفحة مرجعية؛ إلغاء الربط منطقي (FR-PLT-028)</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من الملف؛ لا يُستبدل بل يُنشأ إصدار جديد (FR-PLT-027،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2381"/>
        <w:gridCol w:w="1000"/>
        <w:gridCol w:w="1000"/>
        <w:gridCol w:w="1000"/>
        <w:gridCol w:w="1000"/>
        <w:gridCol w:w="1000"/>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الإعدادات والمهام الخلفية (1/2)</w:t>
      </w:r>
      <w:bookmarkEnd w:id="38"/>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752725"/>
            <wp:effectExtent t="0" r="0" b="0" l="0"/>
            <wp:docPr id="1" name="diagrams/erd/m0_config_1.png" descr="م0 · الإعدادات والمهام الخلفية (1/2)" title="م0 · الإعدادات والمهام الخلف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7527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بيانات المشترك (FR-PLT-039، BR-PLT-016)</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التنبيهات المرسَلة: حدث واحد لكل (عنصر، عتبة) ولا تكرار في اليوم نفسه (FR-PLT-038)</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لكل نوع عنصر (FR-PLT-038، BR-PLT-013)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المهام الخلفية: آخر تشغيل ومدته ونتيجته ظاهر لمدير الحساب (FR-PLT-044)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الفارغ = عطلة المنصة للقراءة فقط (FR-PLT-035، BR-PLT-014)</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الملغى لا يُعاد استعماله (FR-PLT-026، BR-PLT-010)</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لكل (تعريف، شركة اختيارية، فترة)؛ يُقفل صفه عند التخصيص داخل معاملة المستدعي (BR-PLT-010)</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7"/>
        <w:gridCol w:w="2907"/>
        <w:gridCol w:w="1000"/>
        <w:gridCol w:w="1000"/>
        <w:gridCol w:w="1000"/>
        <w:gridCol w:w="1000"/>
        <w:gridCol w:w="1000"/>
      </w:tblGrid>
      <w:tr>
        <w:trPr>
          <w:cantSplit/>
          <w:tblHeader/>
        </w:trPr>
        <w:tc>
          <w:tcPr>
            <w:tcW w:type="dxa" w:w="1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الإعدادات والمهام الخلفية (2/2)</w:t>
      </w:r>
      <w:bookmarkEnd w:id="39"/>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962025"/>
            <wp:effectExtent t="0" r="0" b="0" l="0"/>
            <wp:docPr id="1" name="diagrams/erd/m0_config_2.png" descr="م0 · الإعدادات والمهام الخلفية (2/2)" title="م0 · الإعدادات والمهام الخلف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962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72"/>
        <w:gridCol w:w="2214"/>
        <w:gridCol w:w="2878"/>
        <w:gridCol w:w="1000"/>
        <w:gridCol w:w="1000"/>
        <w:gridCol w:w="1000"/>
        <w:gridCol w:w="1000"/>
      </w:tblGrid>
      <w:tr>
        <w:trPr>
          <w:cantSplit/>
          <w:tblHeader/>
        </w:trPr>
        <w:tc>
          <w:tcPr>
            <w:tcW w:type="dxa" w:w="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بصيغة بوسوم مثل {seq:000}-{erp}-{yy} (FR-PLT-026)</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تسليم مرة واحدة على الأقل؛ الحمولة معرّفات بلا بيانات مقيّدة (FR-PLT-042)</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المُرقَّم لكل حزمة؛ تكرار التشغيل لا يكرر شيئًا (FR-PLT-008)</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إعداد بحدود المنصة الدنيا والقصوى (BR-PLT-018، FR-PLT-043)</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والمهل والعتبات وwork.start/work.end (FR-PLT-043)</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0" w:id="40"/>
      <w:r>
        <w:rPr>
          <w:rFonts w:ascii="Arial" w:cs="Arial" w:eastAsia="Arial" w:hAnsi="Arial"/>
          <w:b/>
          <w:bCs/>
          <w:color w:val="2B5C8A"/>
          <w:sz w:val="26"/>
          <w:szCs w:val="26"/>
          <w:rtl/>
        </w:rPr>
        <w:t xml:space="preserve">10.4 م1 · الهيكل المؤسسي والأشخاص</w:t>
      </w:r>
      <w:bookmarkEnd w:id="40"/>
    </w:p>
    <w:p>
      <w:pPr>
        <w:pStyle w:val="Heading3"/>
        <w:bidi/>
      </w:pPr>
      <w:bookmarkStart w:name="_sec41" w:id="41"/>
      <w:r>
        <w:rPr>
          <w:rFonts w:ascii="Arial" w:cs="Arial" w:eastAsia="Arial" w:hAnsi="Arial"/>
          <w:b/>
          <w:bCs/>
          <w:color w:val="2B5C8A"/>
          <w:sz w:val="23"/>
          <w:szCs w:val="23"/>
          <w:rtl/>
        </w:rPr>
        <w:t xml:space="preserve">م1 · الشركات والحوكمة</w:t>
      </w:r>
      <w:bookmarkEnd w:id="41"/>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067050"/>
            <wp:effectExtent t="0" r="0" b="0" l="0"/>
            <wp:docPr id="1" name="diagrams/erd/m1_company.png" descr="م1 · الشركات والحوكمة" title="م1 · الشركات والحوكم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067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جذر الهيكل المؤسسي (FR-ORG-001..010، BR-ORG-001..004)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فارغ = افتراضي المشترك (FR-ORG-007، BR-ORG-005)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(FR-ORG-014، BR-ORG-016، Q-ORG-09: على مستوى المشترك وشركة اختيارية)</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بتاريخ سريان؛ المالك Party فرد أو جهة (FR-ORG-015..018، BR-ORG-006..008، G-7)</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(FR-ORG-019، BR-ORG-009)</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في هيئة (FR-ORG-020، FR-ORG-021، BR-ORG-010)</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تفويض/منحة صلاحية لشركة (FR-ORG-023..028، BR-ORG-011..014)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58"/>
        <w:gridCol w:w="2106"/>
        <w:gridCol w:w="1000"/>
        <w:gridCol w:w="1000"/>
        <w:gridCol w:w="1000"/>
        <w:gridCol w:w="1000"/>
        <w:gridCol w:w="1000"/>
      </w:tblGrid>
      <w:tr>
        <w:trPr>
          <w:cantSplit/>
          <w:tblHeader/>
        </w:trPr>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م1 · ملف الشركة والاكتمال</w:t>
      </w:r>
      <w:bookmarkEnd w:id="4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933575"/>
            <wp:effectExtent t="0" r="0" b="0" l="0"/>
            <wp:docPr id="1" name="diagrams/erd/m1_company_kyc.png" descr="م1 · ملف الشركة والاكتمال" title="م1 · ملف الشركة والاكت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933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والاكتمال</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771"/>
        <w:gridCol w:w="3100"/>
        <w:gridCol w:w="1000"/>
        <w:gridCol w:w="1000"/>
        <w:gridCol w:w="1000"/>
        <w:gridCol w:w="100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الشركة 1:1 (G-1)</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فرع/مستودع/تابعة خارج الحساب كنص (G-3)</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المالي KYC بتاريخ سريان: شريحة الإيرادات والغرض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الحركة المتوقعة الشهرية CTP: اتجاه × 5 بنود (G-4)</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الأموال والثروة: قائمة متعددة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FinancialProfileId, WealthSourceId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إفصاحات الشركة (G-5)</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أصحاب العلاقة: مدققون، مستشار قانوني، جهات تنظيمية، أبرز العملاء/الموردين (G-6)</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8"/>
        <w:gridCol w:w="2666"/>
        <w:gridCol w:w="1000"/>
        <w:gridCol w:w="1000"/>
        <w:gridCol w:w="1000"/>
        <w:gridCol w:w="1000"/>
        <w:gridCol w:w="1000"/>
      </w:tblGrid>
      <w:tr>
        <w:trPr>
          <w:cantSplit/>
          <w:tblHeader/>
        </w:trPr>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م1 · الأشخاص والهوية والاكتمال (1/2)</w:t>
      </w:r>
      <w:bookmarkEnd w:id="4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638550"/>
            <wp:effectExtent t="0" r="0" b="0" l="0"/>
            <wp:docPr id="1" name="diagrams/erd/m1_party_1.png" descr="م1 · الأشخاص والهوية والاكتمال (1/2)" title="م1 · الأشخاص والهوية والاكتما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9"/>
        <w:gridCol w:w="2042"/>
        <w:gridCol w:w="2763"/>
        <w:gridCol w:w="1000"/>
        <w:gridCol w:w="1000"/>
        <w:gridCol w:w="1000"/>
        <w:gridCol w:w="1000"/>
      </w:tblGrid>
      <w:tr>
        <w:trPr>
          <w:cantSplit/>
          <w:tblHeader/>
        </w:trPr>
        <w:tc>
          <w:tcPr>
            <w:tcW w:type="dxa" w:w="1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متعدد الملكية: OwnerType+OwnerId بلا FK (مزوّد المالك يتحقق منه التطبيق) (FR-PTY-011، BR-PTY-015)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متعددة الملكية (FR-PTY-012، BR-PTY-015)</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مخصص (FR-PTY-013، BR-PTY-014)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الرقم مشفّر والصور مستندات مقيَّدة (FR-PTY-004..009، FR-PTY-020..022، BR-PTY-002..008)</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KYC لكل بنك ودور (FR-PTY-023، BR-PTY-012..013، G-8، G-14)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(FR-PTY-023، FR-PTY-024، G-14)</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ظهور البند بحسب الشكل القانوني؛ غياب الصفوف = ينطبق على الكل (G-15)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 LegalEntityTypeId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1"/>
        <w:gridCol w:w="2013"/>
        <w:gridCol w:w="1000"/>
        <w:gridCol w:w="1000"/>
        <w:gridCol w:w="1000"/>
        <w:gridCol w:w="1000"/>
        <w:gridCol w:w="1000"/>
      </w:tblGrid>
      <w:tr>
        <w:trPr>
          <w:cantSplit/>
          <w:tblHeader/>
        </w:trPr>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م1 · الأشخاص والهوية والاكتمال (2/2)</w:t>
      </w:r>
      <w:bookmarkEnd w:id="4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476500"/>
            <wp:effectExtent t="0" r="0" b="0" l="0"/>
            <wp:docPr id="1" name="diagrams/erd/m1_party_2.png" descr="م1 · الأشخاص والهوية والاكتمال (2/2)" title="م1 · الأشخاص والهوية والاكتما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76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392"/>
        <w:gridCol w:w="253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لا دور مخزَّن (FR-PTY-001..003، BR-PTY-001..004، BR-PTY-016..018)</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امتثال بتاريخ لكل شخص بصفته: PEP، عقوبات، تحقيقات، حصانة (G-9)</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مخصص لشخص (FR-PTY-013، FR-PTY-014)</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 والإقرار الضريبي FATCA/CRS (G-13)</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2"/>
        <w:gridCol w:w="2652"/>
        <w:gridCol w:w="1000"/>
        <w:gridCol w:w="1000"/>
        <w:gridCol w:w="1000"/>
        <w:gridCol w:w="1000"/>
        <w:gridCol w:w="1000"/>
      </w:tblGrid>
      <w:tr>
        <w:trPr>
          <w:cantSplit/>
          <w:tblHeader/>
        </w:trPr>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‎pty.Party.LinkedCompanyId‎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10.5 م2–م3 · الجهات المالية والحسابات</w:t>
      </w:r>
      <w:bookmarkEnd w:id="45"/>
    </w:p>
    <w:p>
      <w:pPr>
        <w:pStyle w:val="Heading3"/>
        <w:bidi/>
      </w:pPr>
      <w:bookmarkStart w:name="_sec46" w:id="46"/>
      <w:r>
        <w:rPr>
          <w:rFonts w:ascii="Arial" w:cs="Arial" w:eastAsia="Arial" w:hAnsi="Arial"/>
          <w:b/>
          <w:bCs/>
          <w:color w:val="2B5C8A"/>
          <w:sz w:val="23"/>
          <w:szCs w:val="23"/>
          <w:rtl/>
        </w:rPr>
        <w:t xml:space="preserve">م2–م3 · الجهات المالية والحسابات والمفوّضون (1/2)</w:t>
      </w:r>
      <w:bookmarkEnd w:id="4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486275"/>
            <wp:effectExtent t="0" r="0" b="0" l="0"/>
            <wp:docPr id="1" name="diagrams/erd/m2_3_institutions_1.png" descr="م2–م3 · الجهات المالية والحسابات والمفوّضون (1/2)" title="م2–م3 · الجهات المالية والحسابات والمفوّضون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486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13"/>
        <w:gridCol w:w="2399"/>
        <w:gridCol w:w="2652"/>
        <w:gridCol w:w="1000"/>
        <w:gridCol w:w="1000"/>
        <w:gridCol w:w="1000"/>
        <w:gridCol w:w="1000"/>
      </w:tblGrid>
      <w:tr>
        <w:trPr>
          <w:cantSplit/>
          <w:tblHeader/>
        </w:trPr>
        <w:tc>
          <w:tcPr>
            <w:tcW w:type="dxa" w:w="8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لدى البنك: سجل خفيف بلا هوية، PartyId اختياري للترقية (FR-INS-007/008، BR-INS-005/006/014)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(FR-INS-001..004، BR-INS-001..003، BR-INS-012)؛ Locality محلي/أجنبي مشتقة (BR-INS-002) فلا تُخزَّن</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حتى 4 مستويات (FR-INS-005/006، BR-INS-004)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شركة–منشأة (D-4)؛ فريدة مهما كانت حالتها (FR-INS-009، BR-INS-007/011)</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جهة اتصال بدور ورتبة وفترة (FR-INS-010، BR-INS-008/009)</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 (FR-INS-011..013، BR-INS-010)</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صلاحية المفوّض بالحوكمة وقرار المراجع (S1-ب) (FR-ACC-018، BR-ACC-015)</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9"/>
        <w:gridCol w:w="2128"/>
        <w:gridCol w:w="1000"/>
        <w:gridCol w:w="1000"/>
        <w:gridCol w:w="1000"/>
        <w:gridCol w:w="1000"/>
        <w:gridCol w:w="1257"/>
      </w:tblGrid>
      <w:tr>
        <w:trPr>
          <w:cantSplit/>
          <w:tblHeader/>
        </w:trPr>
        <w:tc>
          <w:tcPr>
            <w:tcW w:type="dxa" w:w="2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م2–م3 · الجهات المالية والحسابات والمفوّضون (2/2)</w:t>
      </w:r>
      <w:bookmarkEnd w:id="4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2047875"/>
            <wp:effectExtent t="0" r="0" b="0" l="0"/>
            <wp:docPr id="1" name="diagrams/erd/m2_3_institutions_2.png" descr="م2–م3 · الجهات المالية والحسابات والمفوّضون (2/2)" title="م2–م3 · الجهات المالية والحسابات والمفوّضون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047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4"/>
        <w:gridCol w:w="2239"/>
        <w:gridCol w:w="2351"/>
        <w:gridCol w:w="1000"/>
        <w:gridCol w:w="1000"/>
        <w:gridCol w:w="1000"/>
        <w:gridCol w:w="1000"/>
      </w:tblGrid>
      <w:tr>
        <w:trPr>
          <w:cantSplit/>
          <w:tblHeader/>
        </w:trPr>
        <w:tc>
          <w:tcPr>
            <w:tcW w:type="dxa" w:w="1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(FR-ACC-001..009، BR-ACC-001..006، BR-ACC-016)؛ الرقم وIBAN مشفّران بفهرس أعمى للفرادة</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(FR-ACC-010، BR-ACC-007)؛ يُملأ من شاشة التسهيل</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(S1-ب) (FR-ACC-012، FR-ACC-023، BR-ACC-008/009) + إضافات docs/05 G-10</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(S1-ب) (FR-ACC-013/014/017، BR-ACC-010/011)؛ لا تعديل في مكانه: الإغلاق والفتح؛ حالتها مشتقة فلا تُخزَّن</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التوقيع المطلوبة للتوقيع المشترك (JointClassIds) (BR-ACC-013) -- جدول وسيط جديد؛ لا حذف: التعديل بصف صلاحية جديد</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SignatureClassId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9"/>
        <w:gridCol w:w="1904"/>
        <w:gridCol w:w="1000"/>
        <w:gridCol w:w="1000"/>
        <w:gridCol w:w="1000"/>
        <w:gridCol w:w="1000"/>
        <w:gridCol w:w="1211"/>
      </w:tblGrid>
      <w:tr>
        <w:trPr>
          <w:cantSplit/>
          <w:tblHeader/>
        </w:trPr>
        <w:tc>
          <w:tcPr>
            <w:tcW w:type="dxa" w:w="2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10.6 م4 · الكتالوجات والمراجع</w:t>
      </w:r>
      <w:bookmarkEnd w:id="48"/>
    </w:p>
    <w:p>
      <w:pPr>
        <w:pStyle w:val="Heading3"/>
        <w:bidi/>
      </w:pPr>
      <w:bookmarkStart w:name="_sec49" w:id="49"/>
      <w:r>
        <w:rPr>
          <w:rFonts w:ascii="Arial" w:cs="Arial" w:eastAsia="Arial" w:hAnsi="Arial"/>
          <w:b/>
          <w:bCs/>
          <w:color w:val="2B5C8A"/>
          <w:sz w:val="23"/>
          <w:szCs w:val="23"/>
          <w:rtl/>
        </w:rPr>
        <w:t xml:space="preserve">م4 · المنتجات والرسوم والتمويل والضمانات (1/2)</w:t>
      </w:r>
      <w:bookmarkEnd w:id="49"/>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676775"/>
            <wp:effectExtent t="0" r="0" b="0" l="0"/>
            <wp:docPr id="1" name="diagrams/erd/m4_products_1.png" descr="م4 · المنتجات والرسوم والتمويل والضمانات (1/2)" title="م4 · المنتجات والرسوم والتمويل و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676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8"/>
        <w:gridCol w:w="1789"/>
        <w:gridCol w:w="2907"/>
        <w:gridCol w:w="1000"/>
        <w:gridCol w:w="1000"/>
        <w:gridCol w:w="1000"/>
        <w:gridCol w:w="1000"/>
      </w:tblGrid>
      <w:tr>
        <w:trPr>
          <w:cantSplit/>
          <w:tblHeader/>
        </w:trPr>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المنتجات: مسطّح (FR-CAT-007)</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البنكي بأعلامه (FR-CAT-007، BR-CAT-004)</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المصروف: فئة عريضة لا بند تعرفة (FR-CAT-008، BR-CAT-005، Q-CAT-10)</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التمويل (FR-CAT-009، BR-CAT-006)</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المسموحة للمنتج؛ تعطيل الربط = حذفه ولا يمس قواعد تسعير قائمة (FR-CAT-010، BR-CAT-007) -- يبقى بمفتاح بديل لأنه يحمل سمة</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المسموحة للمنتج (FR-CAT-010، BR-CAT-007)</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التسهيل (FR-CAT-011)</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82"/>
        <w:gridCol w:w="1000"/>
        <w:gridCol w:w="1000"/>
        <w:gridCol w:w="1000"/>
        <w:gridCol w:w="1000"/>
        <w:gridCol w:w="1000"/>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م4 · المنتجات والرسوم والتمويل والضمانات (2/2)</w:t>
      </w:r>
      <w:bookmarkEnd w:id="5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2447925"/>
            <wp:effectExtent t="0" r="0" b="0" l="0"/>
            <wp:docPr id="1" name="diagrams/erd/m4_products_2.png" descr="م4 · المنتجات والرسوم والتمويل والضمانات (2/2)" title="م4 · المنتجات والرسوم والتمويل و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447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1496"/>
        <w:gridCol w:w="3117"/>
        <w:gridCol w:w="1000"/>
        <w:gridCol w:w="1000"/>
        <w:gridCol w:w="1000"/>
        <w:gridCol w:w="1000"/>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الحد: رئيسي/جزئي (FR-CAT-012، BR-CAT-008)</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لنوع الحد؛ غياب الصفوف = أي منتج بعلامة ظاهرة (BR-CAT-008) -- جدول وسيط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الضمان بنوع بنية وقالب سمات (FR-CAT-013)</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سمة في قالب نوع الضمان؛ لا تُحذف بل تُرمَّز Retired (BR-CAT-009) -- جدول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الالتزام بأربع عائلات (FR-CAT-014، BR-CAT-010)</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909"/>
        <w:gridCol w:w="1000"/>
        <w:gridCol w:w="1000"/>
        <w:gridCol w:w="1000"/>
        <w:gridCol w:w="1000"/>
        <w:gridCol w:w="1000"/>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م4 · الكتالوجات المرجعية</w:t>
      </w:r>
      <w:bookmarkEnd w:id="51"/>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476375"/>
            <wp:effectExtent t="0" r="0" b="0" l="0"/>
            <wp:docPr id="1" name="diagrams/erd/m4_reference.png" descr="م4 · الكتالوجات المرجعية" title="م4 · الكتالوجات المرجع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3"/>
        <w:gridCol w:w="2218"/>
        <w:gridCol w:w="2543"/>
        <w:gridCol w:w="1000"/>
        <w:gridCol w:w="1000"/>
        <w:gridCol w:w="1000"/>
        <w:gridCol w:w="1000"/>
      </w:tblGrid>
      <w:tr>
        <w:trPr>
          <w:cantSplit/>
          <w:tblHeader/>
        </w:trPr>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العملات المفعّلة للمشترك: تفعيل مجموعة جزئية من المرجع العالمي (FR-CAT-023، Q-CAT-08) -- جدول بنيوي جديد</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المالية: بنك، شركة تمويل، استثمارية، مالية، فرد (FR-INS-001)</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(FR-ACC-001)</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 الكيان وسماته يعرّفها 10 (FR-ORG-002، BR-CAT-017) وتبذره هذه الوحدة؛ أعمدة الكتالوج مكتوبة يدويًا لأن فرادة الرمز بالدولة (10 §6.2) ل…</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يطبّق 10 أعلامه عند الرفع (FR-CAT-018، BR-CAT-016، FR-PLT-028)</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المنصب: السمات يعرّفها 10 §6.2 وحده وتبذر هذه الوحدة صفوفه (FR-CAT-019، BR-CAT-017)؛ SortOrder من أساس الكتالوج</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الصلاحية: السمات يعرّفها 10 §6.2 وحده وتبذر هذه الوحدة صفوفه (FR-CAT-019، FR-ORG-024)</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0"/>
        <w:gridCol w:w="1644"/>
        <w:gridCol w:w="1000"/>
        <w:gridCol w:w="1000"/>
        <w:gridCol w:w="1000"/>
        <w:gridCol w:w="1000"/>
        <w:gridCol w:w="1000"/>
      </w:tblGrid>
      <w:tr>
        <w:trPr>
          <w:cantSplit/>
          <w:tblHeader/>
        </w:trPr>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م4 · الأسعار المرجعية والقوائم</w:t>
      </w:r>
      <w:bookmarkEnd w:id="52"/>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876550"/>
            <wp:effectExtent t="0" r="0" b="0" l="0"/>
            <wp:docPr id="1" name="diagrams/erd/m4_rates_lookups.png" descr="م4 · الأسعار المرجعية والقوائم" title="م4 · الأسعار المرجعية والقوا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876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052"/>
        <w:gridCol w:w="2189"/>
        <w:gridCol w:w="1000"/>
        <w:gridCol w:w="1000"/>
        <w:gridCol w:w="1000"/>
        <w:gridCol w:w="1000"/>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العملية البنكية المفوَّض بها (FR-ACC-013، BR-CAT-014)</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عملية بنوع/أنواع صلاحية حوكمة؛ «أي واحد يكفي» (BR-CAT-014، FR-CAT-019، Q-ACC-05) -- جدول وسيط جديد</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PowerTypeId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سوق (InstitutionId فارغ) أو داخلي لبنك (FR-CAT-015، BR-CAT-011)؛ الأسماء البديلة في BaseRateAlias</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بديل لسعر أساس (SIBOR ≡ SAIBOR) بحث بلا حساسية حالة وفريد ضمن النطاق (BR-CAT-011، FR-CAT-015) -- جدول وسيط جديد يحل «Aliases set»</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الأساس بتاريخ سريان؛ لا حذف: التصحيح صف جديد والقديم SUPERSEDED (FR-CAT-016، BR-CAT-012/013)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قيم؛ TenantId فارغ = قائمة عالمية يملكها المشغّل للقراءة (FR-CAT-020، BR-CAT-015)</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قائمة قيم؛ TenantId فارغ = بند عالمي للقراءة فقط؛ أعمدة الكتالوج يدوية لأن فرادة الرمز داخل القائمة لا المشترك (FR-CAT-020)</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1"/>
        <w:gridCol w:w="1784"/>
        <w:gridCol w:w="1000"/>
        <w:gridCol w:w="1000"/>
        <w:gridCol w:w="1000"/>
        <w:gridCol w:w="1000"/>
        <w:gridCol w:w="1049"/>
      </w:tblGrid>
      <w:tr>
        <w:trPr>
          <w:cantSplit/>
          <w:tblHeader/>
        </w:trPr>
        <w:tc>
          <w:tcPr>
            <w:tcW w:type="dxa" w:w="3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‎cat.BaseRateAlias.InstitutionId‎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المراجع العامة (ref)</w:t>
      </w:r>
      <w:bookmarkEnd w:id="53"/>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352550"/>
            <wp:effectExtent t="0" r="0" b="0" l="0"/>
            <wp:docPr id="1" name="diagrams/erd/m4_global_ref.png" descr="المراجع العامة (ref)" title="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4"/>
        <w:gridCol w:w="2444"/>
        <w:gridCol w:w="2166"/>
        <w:gridCol w:w="1000"/>
        <w:gridCol w:w="1000"/>
        <w:gridCol w:w="1000"/>
        <w:gridCol w:w="1000"/>
      </w:tblGrid>
      <w:tr>
        <w:trPr>
          <w:cantSplit/>
          <w:tblHeader/>
        </w:trPr>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مرجع عالمي للقراءة فقط يديره مشغّل المنصة (FR-CAT-026، BR-CAT-018،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مرجع عالمي ISO 4217 للقراءة فقط (FR-CAT-021، Q-CAT-08)</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 تسليم Incoterms: مرجع عالمي للقراءة فقط يديره المشغّل؛ القديم LEGACY للعرض لا للاختيار (FR-LCT-013، FR-CAT-021،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UCP 600 مرجعية: TenantId الفارغ = صف عام للقراءة فقط ينشره المشغّل وحده (FR-LCT-006، BR-LCT-018، BR-PLT-001)</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4"/>
        <w:gridCol w:w="2690"/>
        <w:gridCol w:w="1000"/>
        <w:gridCol w:w="1000"/>
        <w:gridCol w:w="1000"/>
        <w:gridCol w:w="1000"/>
        <w:gridCol w:w="1000"/>
      </w:tblGrid>
      <w:tr>
        <w:trPr>
          <w:cantSplit/>
          <w:tblHeader/>
        </w:trPr>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54"/>
    </w:p>
    <w:p>
      <w:pPr>
        <w:pStyle w:val="Heading3"/>
        <w:bidi/>
      </w:pPr>
      <w:bookmarkStart w:name="_sec55" w:id="55"/>
      <w:r>
        <w:rPr>
          <w:rFonts w:ascii="Arial" w:cs="Arial" w:eastAsia="Arial" w:hAnsi="Arial"/>
          <w:b/>
          <w:bCs/>
          <w:color w:val="2B5C8A"/>
          <w:sz w:val="23"/>
          <w:szCs w:val="23"/>
          <w:rtl/>
        </w:rPr>
        <w:t xml:space="preserve">م5 · التسهيلات والمراجعات</w:t>
      </w:r>
      <w:bookmarkEnd w:id="55"/>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6 جدولًا</w:t>
      </w:r>
    </w:p>
    <w:p>
      <w:pPr>
        <w:keepNext/>
        <w:bidi/>
        <w:spacing w:after="60" w:before="160"/>
        <w:jc w:val="center"/>
      </w:pPr>
      <w:r>
        <w:drawing>
          <wp:inline distT="0" distB="0" distL="0" distR="0">
            <wp:extent cx="6096000" cy="1838325"/>
            <wp:effectExtent t="0" r="0" b="0" l="0"/>
            <wp:docPr id="1" name="diagrams/erd/m5_facility_core.png" descr="م5 · التسهيلات والمراجعات" title="م5 · التسهيلات والمراجع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5"/>
        <w:gridCol w:w="823"/>
        <w:gridCol w:w="2406"/>
        <w:gridCol w:w="1000"/>
        <w:gridCol w:w="1000"/>
        <w:gridCol w:w="1000"/>
        <w:gridCol w:w="1000"/>
      </w:tblGrid>
      <w:tr>
        <w:trPr>
          <w:cantSplit/>
          <w:tblHeader/>
        </w:trPr>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الائتمانية: جذر التجميعة (FR-FAC-001..008، BR-FAC-001/005/006)</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 (FR-FAC-024، BR-FAC-003/004، §8)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ضمن الحزمة بأسبقية (FR-FAC-004، BR-FAC-008، V-FAC-03)؛ نوعها من doc.Document.DocumentTypeId</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وحصته (FR-FAC-003، BR-FAC-007، V-FAC-02)؛ مجموع الحصص 100 ووكيل واحد يتحقق منهما التطبيق</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الرصيد المعترف به (FR-FAC-009، BR-FAC-017)؛ PctOfLimit مشتق لا يُخزَّن</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 (FR-FAC-026، BR-FAC-019، BR-FAC-008)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4"/>
        <w:gridCol w:w="1915"/>
        <w:gridCol w:w="1000"/>
        <w:gridCol w:w="1000"/>
        <w:gridCol w:w="1000"/>
        <w:gridCol w:w="1000"/>
        <w:gridCol w:w="1245"/>
      </w:tblGrid>
      <w:tr>
        <w:trPr>
          <w:cantSplit/>
          <w:tblHeader/>
        </w:trPr>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6" w:id="56"/>
      <w:r>
        <w:rPr>
          <w:rFonts w:ascii="Arial" w:cs="Arial" w:eastAsia="Arial" w:hAnsi="Arial"/>
          <w:b/>
          <w:bCs/>
          <w:color w:val="2B5C8A"/>
          <w:sz w:val="23"/>
          <w:szCs w:val="23"/>
          <w:rtl/>
        </w:rPr>
        <w:t xml:space="preserve">م5 · الحدود والاستخدام والحجوزات</w:t>
      </w:r>
      <w:bookmarkEnd w:id="56"/>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295775"/>
            <wp:effectExtent t="0" r="0" b="0" l="0"/>
            <wp:docPr id="1" name="diagrams/erd/m5_limits.png" descr="م5 · الحدود والاستخدام والحجوزات" title="م5 · الحدود والاستخدام والحجوز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95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(FR-FAC-010/011، BR-FAC-009/010، V-FAC-04..07)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سقف اختياري SHARED_CAP دائمًا (FR-FAC-012، V-FAC-08)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 (FR-FAC-013، BR-FAC-012، V-FAC-09)</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الفارغ = «غير محدد» لا صفر (FR-FAC-014، BR-FAC-016)</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مرتبط باعتماد مستندي؛ لا حذف (FR-FAC-016/030، BR-FAC-013/020)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ExposureAmount (FR-FAC-017/018/020، BR-FAC-015)</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حركة على حجز أو استخدام؛ لا تعديل ولا حذف؛ مفتاح عدم التكرار (BR-FAC-015/020)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5"/>
        <w:gridCol w:w="1993"/>
        <w:gridCol w:w="1000"/>
        <w:gridCol w:w="1000"/>
        <w:gridCol w:w="1000"/>
        <w:gridCol w:w="1000"/>
        <w:gridCol w:w="1096"/>
      </w:tblGrid>
      <w:tr>
        <w:trPr>
          <w:cantSplit/>
          <w:tblHeader/>
        </w:trPr>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م5 · التسعير وشروط المقارنة</w:t>
      </w:r>
      <w:bookmarkEnd w:id="57"/>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647950"/>
            <wp:effectExtent t="0" r="0" b="0" l="0"/>
            <wp:docPr id="1" name="diagrams/erd/m5_pricing.png" descr="م5 · التسعير وشروط المقارنة" title="م5 · التسعير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647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ووراثة وطرق (FR-PRC-006..017، BR-PRC-006..012، V-PRC-02)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قاعدة TIERED بالمبلغ و/أو المدة (FR-PRC-003، BR-PRC-002)</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في جدول التعرفة (FR-PRC-002، BR-PRC-002..005)</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بخاص بتسهيل اختياريًا (FR-PRC-001، BR-PRC-001، V-PRC-01)</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بالمبلغ و/أو المدة (FR-PRC-003، BR-PRC-002)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(FR-CMP-001)؛ الرمز بنمط PRC.MARGIN_PCT؛ النظامي لا يُحذف ولا تتغير وحدته (IsSystem)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 بنطاقها ومصدرها (FR-CMP-002..006، BR-CMP-001..006، V-CMP-01)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16"/>
        <w:gridCol w:w="2099"/>
        <w:gridCol w:w="1000"/>
        <w:gridCol w:w="1000"/>
        <w:gridCol w:w="1000"/>
        <w:gridCol w:w="1000"/>
        <w:gridCol w:w="1049"/>
      </w:tblGrid>
      <w:tr>
        <w:trPr>
          <w:cantSplit/>
          <w:tblHeader/>
        </w:trPr>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م5 · الضمانات</w:t>
      </w:r>
      <w:bookmarkEnd w:id="5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962150"/>
            <wp:effectExtent t="0" r="0" b="0" l="0"/>
            <wp:docPr id="1" name="diagrams/erd/m5_collateral.png" descr="م5 · الضمانات" title="م5 ·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962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
        <w:gridCol w:w="2411"/>
        <w:gridCol w:w="2830"/>
        <w:gridCol w:w="1000"/>
        <w:gridCol w:w="1000"/>
        <w:gridCol w:w="1000"/>
        <w:gridCol w:w="1000"/>
      </w:tblGrid>
      <w:tr>
        <w:trPr>
          <w:cantSplit/>
          <w:tblHeader/>
        </w:trPr>
        <w:tc>
          <w:tcPr>
            <w:tcW w:type="dxa" w:w="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اعتماد مستقل عن مراجعة التسهيل والتعديل نسخة جديدة (FR-COL-001/014، V-COL-01، §8)</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 أو حد؛ ضمان واحد لعدة تسهيلات (FR-COL-002، BR-COL-005)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الكفيل Party دائمًا ولا أرقام هوية هنا (FR-COL-003/004، BR-COL-001)</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مفتاح الفرادة (CollateralId,PolicyNo) يسمح بتجديد الوثيقة (FR-COL-006، BR-COL-003)</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 مبلغ مستقل قد يفوق الحد (FR-COL-005، BR-COL-002)؛ NextRenewalDue وPNRatio مشتقان</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موقّعو السند (SignerPartyIds) -- جدول وسيط جديد؛ مزوّد PromissoryNote signer (FR-COL-015)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 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 (FR-COL-008، BR-COL-004)؛ مثل 3 مقيّمين في السنة الأولى ثم مقيّم سنويًا</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7"/>
        <w:gridCol w:w="1827"/>
        <w:gridCol w:w="1000"/>
        <w:gridCol w:w="1000"/>
        <w:gridCol w:w="1000"/>
        <w:gridCol w:w="1000"/>
        <w:gridCol w:w="1000"/>
      </w:tblGrid>
      <w:tr>
        <w:trPr>
          <w:cantSplit/>
          <w:tblHeader/>
        </w:trPr>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م5 · الالتزامات والتعهدات (1/2)</w:t>
      </w:r>
      <w:bookmarkEnd w:id="5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238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238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6"/>
        <w:gridCol w:w="2529"/>
        <w:gridCol w:w="2529"/>
        <w:gridCol w:w="1000"/>
        <w:gridCol w:w="1000"/>
        <w:gridCol w:w="1000"/>
        <w:gridCol w:w="1000"/>
      </w:tblGrid>
      <w:tr>
        <w:trPr>
          <w:cantSplit/>
          <w:tblHeader/>
        </w:trPr>
        <w:tc>
          <w:tcPr>
            <w:tcW w:type="dxa" w:w="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الحدود المتدرجة = عدة نسخ (FR-OBL-006، BR-OBL-001/005/006، Q-OBL-01)</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AccountIds لـ SELECTED_ACCOUNTS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 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 المخزَّن لا يُعدَّل (FR-OBL-011، FR-FIN-012/013، BR-OBL-006/007،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(أو حد/خط/شركات)؛ العائلة من ObligationType ولا تُحرَّر (FR-OBL-001، BR-OBL-001)</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 (FR-OBL-012، BR-OBL-009/011،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AppliesToCompanyIds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 (FR-OBL-003..005، BR-OBL-003، §8)؛ DUE_SOON/OVERDUE مشتقتان</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1"/>
        <w:gridCol w:w="2203"/>
        <w:gridCol w:w="1000"/>
        <w:gridCol w:w="1000"/>
        <w:gridCol w:w="1000"/>
        <w:gridCol w:w="1000"/>
        <w:gridCol w:w="1000"/>
      </w:tblGrid>
      <w:tr>
        <w:trPr>
          <w:cantSplit/>
          <w:tblHeader/>
        </w:trPr>
        <w:tc>
          <w:tcPr>
            <w:tcW w:type="dxa" w:w="2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م5 · الالتزامات والتعهدات (2/2)</w:t>
      </w:r>
      <w:bookmarkEnd w:id="6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521017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210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01"/>
        <w:gridCol w:w="2758"/>
        <w:gridCol w:w="1000"/>
        <w:gridCol w:w="1000"/>
        <w:gridCol w:w="1000"/>
        <w:gridCol w:w="1000"/>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 مع Obligation (FR-OBL-002/003، BR-OBL-002، V-OBL-01)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5"/>
        <w:gridCol w:w="2339"/>
        <w:gridCol w:w="1000"/>
        <w:gridCol w:w="1000"/>
        <w:gridCol w:w="1000"/>
        <w:gridCol w:w="1000"/>
        <w:gridCol w:w="1000"/>
      </w:tblGrid>
      <w:tr>
        <w:trPr>
          <w:cantSplit/>
          <w:tblHeader/>
        </w:trPr>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2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م5 · البيانات المالية والأرصدة</w:t>
      </w:r>
      <w:bookmarkEnd w:id="6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504950"/>
            <wp:effectExtent t="0" r="0" b="0" l="0"/>
            <wp:docPr id="1" name="diagrams/erd/m5_financials.png" descr="م5 · البيانات المالية والأرصدة" title="م5 · البيانات المالية والأرص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بعملة الحساب (FR-FIN-008، BR-FIN-005/006، V-FIN-02)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 تجميع سنوي آلي (FR-FIN-009/010، BR-FIN-007/008)</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سري جدًا (FR-FIN-002/005/006، BR-FIN-001..004،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39 بندًا مزروعًا؛ النظامي في الصيغ لا يُحذف (FR-FIN-001، CatalogBase)</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البديلة للبند (Aliases) للصق والمطابقة -- جدول جديد يحل «Aliases set» (FR-FIN-003)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 بإصدارات؛ لا تُنفَّذ نصًا (FR-FIN-011، BR-FIN-009، §12)</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قائمة؛ بعملة الرأس والمخزَّن = المُدخل x UnitScale؛ Variance مشتق؛ سري جدًا (BR-FIN-001/002)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0"/>
        <w:gridCol w:w="2284"/>
        <w:gridCol w:w="1000"/>
        <w:gridCol w:w="1000"/>
        <w:gridCol w:w="1000"/>
        <w:gridCol w:w="1000"/>
        <w:gridCol w:w="1000"/>
      </w:tblGrid>
      <w:tr>
        <w:trPr>
          <w:cantSplit/>
          <w:tblHeader/>
        </w:trPr>
        <w:tc>
          <w:tcPr>
            <w:tcW w:type="dxa" w:w="2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2" w:id="62"/>
      <w:r>
        <w:rPr>
          <w:rFonts w:ascii="Arial" w:cs="Arial" w:eastAsia="Arial" w:hAnsi="Arial"/>
          <w:b/>
          <w:bCs/>
          <w:color w:val="2B5C8A"/>
          <w:sz w:val="26"/>
          <w:szCs w:val="26"/>
          <w:rtl/>
        </w:rPr>
        <w:t xml:space="preserve">10.8 م6 · الطلبات ودورات العمل والإشعارات</w:t>
      </w:r>
      <w:bookmarkEnd w:id="62"/>
    </w:p>
    <w:p>
      <w:pPr>
        <w:pStyle w:val="Heading3"/>
        <w:bidi/>
      </w:pPr>
      <w:bookmarkStart w:name="_sec63" w:id="63"/>
      <w:r>
        <w:rPr>
          <w:rFonts w:ascii="Arial" w:cs="Arial" w:eastAsia="Arial" w:hAnsi="Arial"/>
          <w:b/>
          <w:bCs/>
          <w:color w:val="2B5C8A"/>
          <w:sz w:val="23"/>
          <w:szCs w:val="23"/>
          <w:rtl/>
        </w:rPr>
        <w:t xml:space="preserve">م6 · قوالب دورات العمل (1/2)</w:t>
      </w:r>
      <w:bookmarkEnd w:id="6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124325"/>
            <wp:effectExtent t="0" r="0" b="0" l="0"/>
            <wp:docPr id="1" name="diagrams/erd/m6_wf_templates_1.png" descr="م6 · قوالب دورات العمل (1/2)" title="م6 · قوالب دورات العم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494"/>
        <w:gridCol w:w="2619"/>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(FR-REQ-001، BR-REQ-001، V-REQ-01)؛ الأنواع الجديدة بلا كود (FR-REQ-021)</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من يحق له الطلب؛ غياب الصفوف = لا أحد (فشل مغلق) (FR-REQ-007)</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للطالب: DRAFT · IN_APPROVAL · RETURNED · AWAITING_REQUESTER · IN_PROGRESS · COMPLETED · REJECTED · CANCELLED (BR-WFL-011، D-6)</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دورة عمل؛ المنشورة ثابتة (FR-WFL-001/028، BR-WFL-019، AC-WFL-6)</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في نسخة قالب (FR-WFL-003/004/005، BR-WFL-002/010/012)؛ حذف فعلي لمسودة النسخة فقط</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في مرحلة APPROVAL؛ ALL = كل الخانات، ودور بشخصين يلزمان معًا = خانتان (FR-WFL-007/041، BR-WFL-003/004)</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بين مرحلتين بشرط وأولوية؛ دورة خطية بتفرع شرطي بسيط (FR-WFL-006، BR-WFL-001، D-8)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م6 · قوالب دورات العمل (2/2)</w:t>
      </w:r>
      <w:bookmarkEnd w:id="6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505075"/>
            <wp:effectExtent t="0" r="0" b="0" l="0"/>
            <wp:docPr id="1" name="diagrams/erd/m6_wf_templates_2.png" descr="م6 · قوالب دورات العمل (2/2)" title="م6 · قوالب دورات العم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505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42"/>
        <w:gridCol w:w="288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مسجَّل بالكود على مرحلة: مفتاح ومعاملات لا شيفرة (FR-WFL-021، BR-WFL-015، §5.4)</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يولّد النموذج بلا كود واجهة (FR-REQ-002..005، BR-REQ-003/004)</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على نسخة قالب (FR-REQ-006، BR-REQ-005، FR-WFL-024/025)</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2144"/>
        <w:gridCol w:w="1000"/>
        <w:gridCol w:w="1000"/>
        <w:gridCol w:w="1000"/>
        <w:gridCol w:w="1000"/>
        <w:gridCol w:w="1000"/>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م6 · الطلبات وإجراءاتها (1/2)</w:t>
      </w:r>
      <w:bookmarkEnd w:id="6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905000"/>
            <wp:effectExtent t="0" r="0" b="0" l="0"/>
            <wp:docPr id="1" name="diagrams/erd/m6_requests_1.png" descr="م6 · الطلبات وإجراءاتها (1/2)" title="م6 · الطلبات وإجراءاته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1905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أكثر الجداول ازدحامًا؛ الحالة الداخلية منفصلة عن المرحلة الظاهرة (FR-WFL-001، FR-REQ-009، D-6، BR-REQ-002/003)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أو داخلي؛ غير قابل للتعديل (سحب مع بقاء الأصل) (FR-REQ-017، BR-REQ-014)</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ينشئ DocumentLink (EntityType=Request) (FR-REQ-006، BR-REQ-005)</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بنص حر؛ تعديل بالإحلال ويبقى التاريخ؛ بلا تحقق خارجي (FR-REQ-010، X-DAT-7، BR-REQ-006)</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مصدر مقاييس الأزمنة والسحب والـ SLA (BR-WFL-002/007/012،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تُنشأ لكل دخول ودورة؛ الدورة الجديدة بخانات جديدة (BR-WFL-003، FR-WFL-007/008/011)</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يغطي كل حدث؛ غير AuditLog الأمني (FR-WFL-033/034، §6.2)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0"/>
        <w:gridCol w:w="2344"/>
        <w:gridCol w:w="1000"/>
        <w:gridCol w:w="1000"/>
        <w:gridCol w:w="1000"/>
        <w:gridCol w:w="1000"/>
        <w:gridCol w:w="1270"/>
      </w:tblGrid>
      <w:tr>
        <w:trPr>
          <w:cantSplit/>
          <w:tblHeader/>
        </w:trPr>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م6 · الطلبات وإجراءاتها (2/2)</w:t>
      </w:r>
      <w:bookmarkEnd w:id="6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2219325"/>
            <wp:effectExtent t="0" r="0" b="0" l="0"/>
            <wp:docPr id="1" name="diagrams/erd/m6_requests_2.png" descr="م6 · الطلبات وإجراءاتها (2/2)" title="م6 · الطلبات وإجراءاته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19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1937"/>
        <w:gridCol w:w="2583"/>
        <w:gridCol w:w="1000"/>
        <w:gridCol w:w="1000"/>
        <w:gridCol w:w="1000"/>
        <w:gridCol w:w="1000"/>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خطاف بمفتاح عدم تكرار يعيد النتيجة المخزَّنة (FR-WFL-021، BR-WFL-015) -- جدول جديد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 بفترة ونطاق؛ لا تفويض متسلسل (FR-WFL-020، BR-WFL-021، V-WFL-06)</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3"/>
        <w:gridCol w:w="2601"/>
        <w:gridCol w:w="1000"/>
        <w:gridCol w:w="1000"/>
        <w:gridCol w:w="1000"/>
        <w:gridCol w:w="1000"/>
        <w:gridCol w:w="1000"/>
      </w:tblGrid>
      <w:tr>
        <w:trPr>
          <w:cantSplit/>
          <w:tblHeader/>
        </w:trPr>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م6 · الإشعارات</w:t>
      </w:r>
      <w:bookmarkEnd w:id="67"/>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009900"/>
            <wp:effectExtent t="0" r="0" b="0" l="0"/>
            <wp:docPr id="1" name="diagrams/erd/m6_notifications.png" descr="م6 · الإشعارات" title="م6 ·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009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4"/>
        <w:gridCol w:w="510"/>
        <w:gridCol w:w="2570"/>
        <w:gridCol w:w="1000"/>
        <w:gridCol w:w="1000"/>
        <w:gridCol w:w="1000"/>
        <w:gridCol w:w="1000"/>
      </w:tblGrid>
      <w:tr>
        <w:trPr>
          <w:cantSplit/>
          <w:tblHeader/>
        </w:trPr>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ملخص لمستخدم وقناة وفترة؛ لا يُرسل فارغًا (FR-NTF-014، BR-NTF-004، JOB-NTF-DIGEST) -- جدول جديد يحل DigestBatchId</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المحتوى بلا قيم مقيّدة (FR-NTF-005/006/007/021، BR-NTF-001/002/007/008/011)</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لكل قناة بحالاته وإعادة المحاولة (FR-NTF-019، BR-NTF-009، §8)</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تملكه 13 لكل الوحدات وتبذر فيه الوحدات أحداثها (FR-NTF-001، §9.2، §9.2-ب)</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لكل مجموعة أحداث وقناة (FR-NTF-010، BR-NTF-003/014)؛ الإلزامي لا يُوقَف في التطبيق</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لحدث؛ التعديل يسري على الأحداث التالية فقط (FR-NTF-003، BR-NTF-001، V-NTF-02)</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لكل (حدث، قناة، لغة)؛ الحذف = العودة إلى قالب البذرة (FR-NTF-012، FR-NTF-025)</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8"/>
        <w:gridCol w:w="2596"/>
        <w:gridCol w:w="1000"/>
        <w:gridCol w:w="1000"/>
        <w:gridCol w:w="1000"/>
        <w:gridCol w:w="1000"/>
        <w:gridCol w:w="1000"/>
      </w:tblGrid>
      <w:tr>
        <w:trPr>
          <w:cantSplit/>
          <w:tblHeader/>
        </w:trPr>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10.9 م7/م8 · الاعتمادات المستندية والبروفورما</w:t>
      </w:r>
      <w:bookmarkEnd w:id="68"/>
    </w:p>
    <w:p>
      <w:pPr>
        <w:pStyle w:val="Heading3"/>
        <w:bidi/>
      </w:pPr>
      <w:bookmarkStart w:name="_sec69" w:id="69"/>
      <w:r>
        <w:rPr>
          <w:rFonts w:ascii="Arial" w:cs="Arial" w:eastAsia="Arial" w:hAnsi="Arial"/>
          <w:b/>
          <w:bCs/>
          <w:color w:val="2B5C8A"/>
          <w:sz w:val="23"/>
          <w:szCs w:val="23"/>
          <w:rtl/>
        </w:rPr>
        <w:t xml:space="preserve">م7/م8 · شروط الاعتماد والنماذج (1/2)</w:t>
      </w:r>
      <w:bookmarkEnd w:id="6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867150"/>
            <wp:effectExtent t="0" r="0" b="0" l="0"/>
            <wp:docPr id="1" name="diagrams/erd/m7_8_lc_terms_1.png" descr="م7/م8 · شروط الاعتماد والنماذج (1/2)" title="م7/م8 · شروط الاعتماد والنماذج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867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0"/>
        <w:gridCol w:w="2767"/>
        <w:gridCol w:w="2657"/>
        <w:gridCol w:w="1000"/>
        <w:gridCol w:w="1000"/>
        <w:gridCol w:w="1000"/>
        <w:gridCol w:w="1000"/>
      </w:tblGrid>
      <w:tr>
        <w:trPr>
          <w:cantSplit/>
          <w:tblHeader/>
        </w:trPr>
        <w:tc>
          <w:tcPr>
            <w:tcW w:type="dxa" w:w="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في شروط الاعتماد: بيانات تُبذر لكل مشترك (FR-LCT-004، BR-LCT-002)؛ مراجع UCP في lc.LcFieldUcpRef</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لحقل: مادة + فقرة (UcpRefs في المواصفة)؛ يغذّي الشارة وR-LCT-01 وBR-LCT-018 -- وسيط جديد</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مورّد/عميل خفيف بلا هوية؛ يُرقّى إلى Party عند الحاجة (FR-LCT-036/037، BR-LCT-022، Q-PTY-03)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بإصدارات: نص قالب بمعاملات (FR-LCT-017..019، BR-LCT-012)؛ مراجع UCP في lc.LcDocumentClauseUcpRef</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لبند مستند: مادة + فقرة (UcpRefs في المواصفة) -- وسيط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اعتماد: صف لكل نسخة بأعمدة قاموس §6.2؛ مشترك بين البروفورما والطلب والاعتماد والتعديل (FR-LCT-001..035)</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86</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مختار في الشروط ومعاملاته؛ النص المصيَّر يُجمَّد عند القفل (FR-LCT-018، BR-LCT-012) --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7"/>
        <w:gridCol w:w="2077"/>
        <w:gridCol w:w="1000"/>
        <w:gridCol w:w="1000"/>
        <w:gridCol w:w="1000"/>
        <w:gridCol w:w="1000"/>
        <w:gridCol w:w="1000"/>
      </w:tblGrid>
      <w:tr>
        <w:trPr>
          <w:cantSplit/>
          <w:tblHeader/>
        </w:trPr>
        <w:tc>
          <w:tcPr>
            <w:tcW w:type="dxa" w:w="2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م7/م8 · شروط الاعتماد والنماذج (2/2)</w:t>
      </w:r>
      <w:bookmarkEnd w:id="70"/>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00425"/>
            <wp:effectExtent t="0" r="0" b="0" l="0"/>
            <wp:docPr id="1" name="diagrams/erd/m7_8_lc_terms_2.png" descr="م7/م8 · شروط الاعتماد والنماذج (2/2)" title="م7/م8 · شروط الاعتماد والنماذج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400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8"/>
        <w:gridCol w:w="1906"/>
        <w:gridCol w:w="2700"/>
        <w:gridCol w:w="1000"/>
        <w:gridCol w:w="1000"/>
        <w:gridCol w:w="1000"/>
        <w:gridCol w:w="1000"/>
      </w:tblGrid>
      <w:tr>
        <w:trPr>
          <w:cantSplit/>
          <w:tblHeader/>
        </w:trPr>
        <w:tc>
          <w:tcPr>
            <w:tcW w:type="dxa" w:w="1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صف لكل فئة (6 صفوف كاملة يتحقق منها التطبيق V-LCT-12) (FR-LCT-020، BR-LCT-014)</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بنك/منتج/نوع نموذج بإصدار وفترة نفاذ وملحق عقدي (FR-LCT-026، BR-LCT-017، 02 F-14)</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حقل نظام إلى حقل PDF أو بند في ورقة البوابة (FR-LCT-027، BR-LCT-020) -- جديد</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4"/>
        <w:gridCol w:w="1950"/>
        <w:gridCol w:w="1000"/>
        <w:gridCol w:w="1000"/>
        <w:gridCol w:w="1000"/>
        <w:gridCol w:w="1000"/>
        <w:gridCol w:w="1000"/>
      </w:tblGrid>
      <w:tr>
        <w:trPr>
          <w:cantSplit/>
          <w:tblHeader/>
        </w:trPr>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م7/م8 · الاعتمادات والبروفورما (1/2)</w:t>
      </w:r>
      <w:bookmarkEnd w:id="7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095500"/>
            <wp:effectExtent t="0" r="0" b="0" l="0"/>
            <wp:docPr id="1" name="diagrams/erd/m7_8_lc_ops_1.png" descr="م7/م8 · الاعتمادات والبروفورما (1/2)" title="م7/م8 · الاعتمادات والبروفورم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6"/>
        <w:gridCol w:w="2619"/>
        <w:gridCol w:w="2619"/>
        <w:gridCol w:w="1000"/>
        <w:gridCol w:w="1000"/>
        <w:gridCol w:w="1000"/>
        <w:gridCol w:w="1000"/>
      </w:tblGrid>
      <w:tr>
        <w:trPr>
          <w:cantSplit/>
          <w:tblHeader/>
        </w:trPr>
        <w:tc>
          <w:tcPr>
            <w:tcW w:type="dxa" w:w="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مشتريات (نحن الطالب) ومبيعات (نحن المستفيد) (FR-LCI-011..016، FR-LCE-009، BR-LCI-004/008/016، BR-LCE-007/009)</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للاعتماد (ERP...)؛ بلا تفرّد؛ البحث بالمطبَّع (FR-LCI-013، BR-REQ-006) -- جديد</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أو مستلَم (FR-LCI-018/019، FR-LCE-020، BR-LCI-011/012، BR-LCE-014)؛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تحت اعتماد؛ في التصدير يشمل تحويل التخصيص (FR-LCI-023، BR-LCI-013، BR-LCE-011)؛ الحالات §8</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لا يقابله حد ائتماني (FR-LCE-013..015، BR-LCE-009..013)؛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بيع (FR-LCE-016/017، BR-LCE-011/013) -- جديد؛ Σ التوزيع ≤ مبلغ السحب وكل جزء ≤ متبقي أمره يتحقق منهما التطبيق</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على مستندات سحب أو اعتماد؛ القرار يتطلب lc.discrepancy.decide (FR-LCI-024، FR-LCE-021، §8) -- جديد</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1"/>
        <w:gridCol w:w="2099"/>
        <w:gridCol w:w="1000"/>
        <w:gridCol w:w="1000"/>
        <w:gridCol w:w="1000"/>
        <w:gridCol w:w="1000"/>
        <w:gridCol w:w="1364"/>
      </w:tblGrid>
      <w:tr>
        <w:trPr>
          <w:cantSplit/>
          <w:tblHeader/>
        </w:trPr>
        <w:tc>
          <w:tcPr>
            <w:tcW w:type="dxa" w:w="2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م7/م8 · الاعتمادات والبروفورما (2/2)</w:t>
      </w:r>
      <w:bookmarkEnd w:id="7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52675"/>
            <wp:effectExtent t="0" r="0" b="0" l="0"/>
            <wp:docPr id="1" name="diagrams/erd/m7_8_lc_ops_2.png" descr="م7/م8 · الاعتمادات والبروفورما (2/2)" title="م7/م8 · الاعتمادات والبروفورم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2352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
        <w:gridCol w:w="2403"/>
        <w:gridCol w:w="2763"/>
        <w:gridCol w:w="1000"/>
        <w:gridCol w:w="1000"/>
        <w:gridCol w:w="1000"/>
        <w:gridCol w:w="1000"/>
      </w:tblGrid>
      <w:tr>
        <w:trPr>
          <w:cantSplit/>
          <w:tblHeader/>
        </w:trPr>
        <w:tc>
          <w:tcPr>
            <w:tcW w:type="dxa" w:w="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لا تعديل بعد الإصدار؛ الرقم {seq:000}-{erp}-{yy} (FR-LCE-005..008، BR-LCE-001..006)</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البروفورما (FR-LCE-003، BR-LCE-001)؛ يُثبَّت بعد الإصدار</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شروط الاعتماد المستلَم بالبروفورما (FR-LCT-031، FR-LCE-023، BR-LCT-021) -- جديد (Could)</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واحد وحكمه وقرار الخزينة (FR-LCT-031، BR-LCT-021) -- جديد (Could)</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8"/>
        <w:gridCol w:w="2144"/>
        <w:gridCol w:w="1000"/>
        <w:gridCol w:w="1000"/>
        <w:gridCol w:w="1000"/>
        <w:gridCol w:w="1000"/>
        <w:gridCol w:w="1072"/>
      </w:tblGrid>
      <w:tr>
        <w:trPr>
          <w:cantSplit/>
          <w:tblHeader/>
        </w:trPr>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73" w:id="73"/>
      <w:r>
        <w:rPr>
          <w:rFonts w:ascii="Arial" w:cs="Arial" w:eastAsia="Arial" w:hAnsi="Arial"/>
          <w:b/>
          <w:bCs/>
          <w:color w:val="1F3A5F"/>
          <w:sz w:val="32"/>
          <w:szCs w:val="32"/>
          <w:rtl/>
        </w:rPr>
        <w:t xml:space="preserve">11. أنماط التصميم للمجالات الرئيسية</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74" w:id="74"/>
      <w:r>
        <w:rPr>
          <w:rFonts w:ascii="Arial" w:cs="Arial" w:eastAsia="Arial" w:hAnsi="Arial"/>
          <w:b/>
          <w:bCs/>
          <w:color w:val="2B5C8A"/>
          <w:sz w:val="26"/>
          <w:szCs w:val="26"/>
          <w:rtl/>
        </w:rPr>
        <w:t xml:space="preserve">11.1 إقفال دورة العمل بيد إدارة الخزينة (C-7)</w:t>
      </w:r>
      <w:bookmarkEnd w:id="7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1"/>
        <w:bidi/>
      </w:pPr>
      <w:bookmarkStart w:name="_sec75" w:id="75"/>
      <w:r>
        <w:rPr>
          <w:rFonts w:ascii="Arial" w:cs="Arial" w:eastAsia="Arial" w:hAnsi="Arial"/>
          <w:b/>
          <w:bCs/>
          <w:color w:val="1F3A5F"/>
          <w:sz w:val="32"/>
          <w:szCs w:val="32"/>
          <w:rtl/>
        </w:rPr>
        <w:t xml:space="preserve">12. النشر وإدارة التغيير</w:t>
      </w:r>
      <w:bookmarkEnd w:id="75"/>
    </w:p>
    <w:p>
      <w:pPr>
        <w:pStyle w:val="Heading2"/>
        <w:bidi/>
      </w:pPr>
      <w:bookmarkStart w:name="_sec76" w:id="76"/>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76"/>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77" w:id="77"/>
      <w:r>
        <w:rPr>
          <w:rFonts w:ascii="Arial" w:cs="Arial" w:eastAsia="Arial" w:hAnsi="Arial"/>
          <w:b/>
          <w:bCs/>
          <w:color w:val="2B5C8A"/>
          <w:sz w:val="26"/>
          <w:szCs w:val="26"/>
          <w:rtl/>
        </w:rPr>
        <w:t xml:space="preserve">12.2 تغيير النموذج</w:t>
      </w:r>
      <w:bookmarkEnd w:id="77"/>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78" w:id="78"/>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78"/>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79" w:id="79"/>
      <w:r>
        <w:rPr>
          <w:rFonts w:ascii="Arial" w:cs="Arial" w:eastAsia="Arial" w:hAnsi="Arial"/>
          <w:b/>
          <w:bCs/>
          <w:color w:val="2B5C8A"/>
          <w:sz w:val="26"/>
          <w:szCs w:val="26"/>
          <w:rtl/>
        </w:rPr>
        <w:t xml:space="preserve">12.4 الأداء والحمل</w:t>
      </w:r>
      <w:bookmarkEnd w:id="79"/>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80" w:id="80"/>
      <w:r>
        <w:rPr>
          <w:rFonts w:ascii="Arial" w:cs="Arial" w:eastAsia="Arial" w:hAnsi="Arial"/>
          <w:b/>
          <w:bCs/>
          <w:color w:val="1F3A5F"/>
          <w:sz w:val="32"/>
          <w:szCs w:val="32"/>
          <w:rtl/>
        </w:rPr>
        <w:t xml:space="preserve">13. البذور وتهيئة المشترك (خطة — لم تُنفَّذ بعد)</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6"/>
        <w:gridCol w:w="6655"/>
        <w:gridCol w:w="2073"/>
      </w:tblGrid>
      <w:tr>
        <w:trPr>
          <w:cantSplit/>
          <w:tblHeader/>
        </w:trPr>
        <w:tc>
          <w:tcPr>
            <w:tcW w:type="dxa" w:w="11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6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6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والكتالوجات الافتراضية، والأدوار القياسية وربطها بالصلاحيات، وقوالب دورات العمل، وملفات KYC المسبقة، وقواعد الإشعارات</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81" w:id="81"/>
      <w:r>
        <w:rPr>
          <w:rFonts w:ascii="Arial" w:cs="Arial" w:eastAsia="Arial" w:hAnsi="Arial"/>
          <w:b/>
          <w:bCs/>
          <w:color w:val="1F3A5F"/>
          <w:sz w:val="32"/>
          <w:szCs w:val="32"/>
          <w:rtl/>
        </w:rPr>
        <w:t xml:space="preserve">14. أدلة التحقق وحدودها (بصراحة)</w:t>
      </w:r>
      <w:bookmarkEnd w:id="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1"/>
        <w:gridCol w:w="2804"/>
        <w:gridCol w:w="3289"/>
      </w:tblGrid>
      <w:tr>
        <w:trPr>
          <w:cantSplit/>
          <w:tblHeader/>
        </w:trPr>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3,261 عمودًا؛ لا مراجع معلّقة؛ لا مخالفة لقواعد النطاق</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750 مفتاحًا أجنبيًا / 691 قيد فريد أو أساسي</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206 منحة في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و36 منحة حذف و7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28 عمودًا مقيّدًا، القواعد R1–R10</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82" w:id="82"/>
      <w:r>
        <w:rPr>
          <w:rFonts w:ascii="Arial" w:cs="Arial" w:eastAsia="Arial" w:hAnsi="Arial"/>
          <w:b/>
          <w:bCs/>
          <w:color w:val="1F3A5F"/>
          <w:sz w:val="32"/>
          <w:szCs w:val="32"/>
          <w:rtl/>
        </w:rPr>
        <w:t xml:space="preserve">15. القرارات المتخذة (تُعتمد ما لم تعترض)</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bl>
    <w:p>
      <w:pPr>
        <w:bidi/>
        <w:spacing w:after="120" w:before="0"/>
      </w:pPr>
    </w:p>
    <w:p>
      <w:pPr>
        <w:pStyle w:val="Heading1"/>
        <w:bidi/>
      </w:pPr>
      <w:bookmarkStart w:name="_sec83" w:id="83"/>
      <w:r>
        <w:rPr>
          <w:rFonts w:ascii="Arial" w:cs="Arial" w:eastAsia="Arial" w:hAnsi="Arial"/>
          <w:b/>
          <w:bCs/>
          <w:color w:val="1F3A5F"/>
          <w:sz w:val="32"/>
          <w:szCs w:val="32"/>
          <w:rtl/>
        </w:rPr>
        <w:t xml:space="preserve">16. حدود معروفة ونقاط مفتوحة</w:t>
      </w:r>
      <w:bookmarkEnd w:id="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bl>
    <w:p>
      <w:pPr>
        <w:bidi/>
        <w:spacing w:after="120" w:before="0"/>
      </w:pPr>
    </w:p>
    <w:p>
      <w:pPr>
        <w:pStyle w:val="Heading1"/>
        <w:bidi/>
      </w:pPr>
      <w:bookmarkStart w:name="_sec84" w:id="84"/>
      <w:r>
        <w:rPr>
          <w:rFonts w:ascii="Arial" w:cs="Arial" w:eastAsia="Arial" w:hAnsi="Arial"/>
          <w:b/>
          <w:bCs/>
          <w:color w:val="1F3A5F"/>
          <w:sz w:val="32"/>
          <w:szCs w:val="32"/>
          <w:rtl/>
        </w:rPr>
        <w:t xml:space="preserve">17. الخطوة التالية</w:t>
      </w:r>
      <w:bookmarkEnd w:id="84"/>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DB-20 والنقاط O-9 إلى O-13، والأسئلة التي تحتاج قرارك: </w:t>
      </w:r>
      <w:r>
        <w:rPr>
          <w:rFonts w:ascii="Arial" w:cs="Arial" w:eastAsia="Arial" w:hAnsi="Arial"/>
          <w:b/>
          <w:bCs/>
          <w:sz w:val="21"/>
          <w:szCs w:val="21"/>
          <w:rtl/>
        </w:rPr>
        <w:t xml:space="preserve">هل تعتمد تعديل المواصفة 13 (O-10)؟</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c470ac567d42eedd91ab7ee555441b02367e1bd1.png"/><Relationship Id="rId11" Type="http://schemas.openxmlformats.org/officeDocument/2006/relationships/image" Target="media/023b31d707ef814fb37a6f78c983f37d17f3be09.png"/><Relationship Id="rId12" Type="http://schemas.openxmlformats.org/officeDocument/2006/relationships/image" Target="media/61b6c35024ab28041d7d687b0d7f47e617dbe1b4.png"/><Relationship Id="rId13" Type="http://schemas.openxmlformats.org/officeDocument/2006/relationships/image" Target="media/fca40a4fa681c3eefd3f239df45e811ed04cece1.png"/><Relationship Id="rId14" Type="http://schemas.openxmlformats.org/officeDocument/2006/relationships/image" Target="media/42c076f45866303c793be26b365a7b9a9bb52046.png"/><Relationship Id="rId15" Type="http://schemas.openxmlformats.org/officeDocument/2006/relationships/image" Target="media/cf31b8d910948162ab4b702cf181cf61031b086a.png"/><Relationship Id="rId16" Type="http://schemas.openxmlformats.org/officeDocument/2006/relationships/image" Target="media/bea930643d25907b2b54aec6345460c53044d547.png"/><Relationship Id="rId17" Type="http://schemas.openxmlformats.org/officeDocument/2006/relationships/image" Target="media/fb18f1ab0c00396f5822212cd16eb5bbae1c0367.png"/><Relationship Id="rId18" Type="http://schemas.openxmlformats.org/officeDocument/2006/relationships/image" Target="media/1750bf75c337518a61a2a91cca8b0eccb0cc8fd8.png"/><Relationship Id="rId19" Type="http://schemas.openxmlformats.org/officeDocument/2006/relationships/image" Target="media/04f82a080134aa03928cc6dcd1329a26a8ab6272.png"/><Relationship Id="rId20" Type="http://schemas.openxmlformats.org/officeDocument/2006/relationships/image" Target="media/531dc38f8646e831a34e83b219bcbaaaf3d0da50.png"/><Relationship Id="rId21" Type="http://schemas.openxmlformats.org/officeDocument/2006/relationships/image" Target="media/05d8913912533f1862a0d4e7c1b93692b95e534d.png"/><Relationship Id="rId22" Type="http://schemas.openxmlformats.org/officeDocument/2006/relationships/image" Target="media/71ad352161ac63c43eb68804732380a1821c8760.png"/><Relationship Id="rId23" Type="http://schemas.openxmlformats.org/officeDocument/2006/relationships/image" Target="media/752813ea820f05f588aeb820653fbc71bd3b4b79.png"/><Relationship Id="rId24" Type="http://schemas.openxmlformats.org/officeDocument/2006/relationships/image" Target="media/b6c382edc0783bcca5b1c148550af6df58adaab1.png"/><Relationship Id="rId25" Type="http://schemas.openxmlformats.org/officeDocument/2006/relationships/image" Target="media/6915dff6e3072f08c4d945977e26afe3d6b226e8.png"/><Relationship Id="rId26" Type="http://schemas.openxmlformats.org/officeDocument/2006/relationships/image" Target="media/30531685e1e1e529916d18bdb3accd6b91956af3.png"/><Relationship Id="rId27" Type="http://schemas.openxmlformats.org/officeDocument/2006/relationships/image" Target="media/73dc0ed5775a38ef9b6c5126ec77a96012c4d189.png"/><Relationship Id="rId28" Type="http://schemas.openxmlformats.org/officeDocument/2006/relationships/image" Target="media/a73fae9c0a6e46affa227a18da5924e6ff12bc70.png"/><Relationship Id="rId29" Type="http://schemas.openxmlformats.org/officeDocument/2006/relationships/image" Target="media/47a62ca87f935981152c9540effede00df048039.png"/><Relationship Id="rId30" Type="http://schemas.openxmlformats.org/officeDocument/2006/relationships/image" Target="media/1ff6007d5d5b479cc6716e05dabdac308ba0aa74.png"/><Relationship Id="rId31" Type="http://schemas.openxmlformats.org/officeDocument/2006/relationships/image" Target="media/ad456ed9b4ad15a9b5a826c5a7db03e62b76e6f2.png"/><Relationship Id="rId32" Type="http://schemas.openxmlformats.org/officeDocument/2006/relationships/image" Target="media/2dc7231a8084eb2f48a0107a9795f446590739d5.png"/><Relationship Id="rId33" Type="http://schemas.openxmlformats.org/officeDocument/2006/relationships/image" Target="media/98c144785e68f65b7a804f7456ab008fe9d1f029.png"/><Relationship Id="rId34" Type="http://schemas.openxmlformats.org/officeDocument/2006/relationships/image" Target="media/8af799cdaf7bbc826681872366f481033603f109.png"/><Relationship Id="rId35" Type="http://schemas.openxmlformats.org/officeDocument/2006/relationships/image" Target="media/8640aec2dc55d34bf0240500ab824f07d7b731e6.png"/><Relationship Id="rId36" Type="http://schemas.openxmlformats.org/officeDocument/2006/relationships/image" Target="media/c69dcb7ce1c4e01bdfc73a5f4d6ebc0b50f3b5cd.png"/><Relationship Id="rId37" Type="http://schemas.openxmlformats.org/officeDocument/2006/relationships/image" Target="media/c4615e65950bd144b092d288c8d633a3d5b84454.png"/><Relationship Id="rId38" Type="http://schemas.openxmlformats.org/officeDocument/2006/relationships/image" Target="media/5e172e2f481a593c48cb5f3e53d361b46d057276.png"/><Relationship Id="rId39" Type="http://schemas.openxmlformats.org/officeDocument/2006/relationships/image" Target="media/5e3412575ca9447636425629efe8844c2db67af8.png"/><Relationship Id="rId40" Type="http://schemas.openxmlformats.org/officeDocument/2006/relationships/image" Target="media/8cad7f53e7f790586740edfe1d9580a81c231906.png"/><Relationship Id="rId41" Type="http://schemas.openxmlformats.org/officeDocument/2006/relationships/image" Target="media/3a4f9ed2a5ebfc6ba057967d3acc1732c93c2ab2.png"/><Relationship Id="rId42" Type="http://schemas.openxmlformats.org/officeDocument/2006/relationships/image" Target="media/a88f36267d46f73e233b1d2cfbf9b2dba0ee7d5c.png"/><Relationship Id="rId43" Type="http://schemas.openxmlformats.org/officeDocument/2006/relationships/image" Target="media/d8d6294b90c5fcdded058ed87334e507bd88210b.png"/><Relationship Id="rId44" Type="http://schemas.openxmlformats.org/officeDocument/2006/relationships/image" Target="media/20863b92992a5ad4ae5f2559551c3ef0ad1dc404.png"/><Relationship Id="rId45" Type="http://schemas.openxmlformats.org/officeDocument/2006/relationships/image" Target="media/8a60545d579139d80b5b3e3be2277d235d4030e5.png"/><Relationship Id="rId46" Type="http://schemas.openxmlformats.org/officeDocument/2006/relationships/image" Target="media/7008bc244f86ea28562c3e07ecd466b89506f6b3.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2026-10-10T23:48:38.353Z</dcterms:created>
  <dcterms:modified xsi:type="dcterms:W3CDTF">2026-10-10T23:48:38.354Z</dcterms:modified>
</cp:coreProperties>
</file>

<file path=docProps/custom.xml><?xml version="1.0" encoding="utf-8"?>
<Properties xmlns="http://schemas.openxmlformats.org/officeDocument/2006/custom-properties" xmlns:vt="http://schemas.openxmlformats.org/officeDocument/2006/docPropsVTypes"/>
</file>