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80">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8">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22">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6">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6">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6">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504">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7">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docs/20-database-design.md:89 و199-229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db/model/10-platform.model:332-345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«resolved» (docs/review/design-review-2026-10-11.json:229-231)، لأن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(db/generated/tsql/001_tables.sql:547)،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(db/model/15-workflow-notifications.model:282) بلا عمود مفتاح، خلافًا لقاعدة «عمود المفتاح في الصف يحدد الإصدار» (docs/20-database-design.md:227).</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docs/20-database-design.md:210 وdb/model/10-platform.model:75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Arial" w:cs="Arial" w:eastAsia="Arial" w:hAnsi="Arial"/>
          <w:b/>
          <w:bCs/>
          <w:sz w:val="21"/>
          <w:szCs w:val="21"/>
          <w:rtl/>
        </w:rPr>
        <w:t xml:space="preserve">عبر نفق SSH بلا </w:t>
      </w:r>
      <w:r>
        <w:rPr>
          <w:rFonts w:ascii="Courier New" w:cs="Courier New" w:eastAsia="Courier New" w:hAnsi="Courier New"/>
          <w:b/>
          <w:bCs/>
          <w:color w:val="1F2937"/>
          <w:sz w:val="18"/>
          <w:szCs w:val="18"/>
          <w:shd w:fill="F1F3F5" w:color="auto" w:val="clear"/>
          <w:rtl/>
        </w:rPr>
        <w:t xml:space="preserve">‎-C‎</w:t>
      </w:r>
      <w:r>
        <w:rPr>
          <w:rFonts w:ascii="Arial" w:cs="Arial" w:eastAsia="Arial" w:hAnsi="Arial"/>
          <w:b/>
          <w:bCs/>
          <w:sz w:val="21"/>
          <w:szCs w:val="21"/>
          <w:rtl/>
        </w:rPr>
        <w:t xml:space="preserve"> (المراجعة الداخلية v6، D11):</w:t>
      </w:r>
      <w:r>
        <w:rPr>
          <w:rFonts w:ascii="Arial" w:cs="Arial" w:eastAsia="Arial" w:hAnsi="Arial"/>
          <w:b w:val="false"/>
          <w:bCs w:val="false"/>
          <w:sz w:val="21"/>
          <w:szCs w:val="21"/>
          <w:rtl/>
        </w:rPr>
        <w:t xml:space="preserve"> الشهادة صادرة لاسم خادم القاعدة (مثل </w:t>
      </w:r>
      <w:r>
        <w:rPr>
          <w:rFonts w:ascii="Courier New" w:cs="Courier New" w:eastAsia="Courier New" w:hAnsi="Courier New"/>
          <w:b w:val="false"/>
          <w:bCs w:val="false"/>
          <w:color w:val="1F2937"/>
          <w:sz w:val="18"/>
          <w:szCs w:val="18"/>
          <w:shd w:fill="F1F3F5" w:color="auto" w:val="clear"/>
          <w:rtl/>
        </w:rPr>
        <w:t xml:space="preserve">‎db.internal.bankfas.com‎</w:t>
      </w:r>
      <w:r>
        <w:rPr>
          <w:rFonts w:ascii="Arial" w:cs="Arial" w:eastAsia="Arial" w:hAnsi="Arial"/>
          <w:b w:val="false"/>
          <w:bCs w:val="false"/>
          <w:sz w:val="21"/>
          <w:szCs w:val="21"/>
          <w:rtl/>
        </w:rPr>
        <w:t xml:space="preserve">)، والنفق يصل إلى </w:t>
      </w:r>
      <w:r>
        <w:rPr>
          <w:rFonts w:ascii="Courier New" w:cs="Courier New" w:eastAsia="Courier New" w:hAnsi="Courier New"/>
          <w:b w:val="false"/>
          <w:bCs w:val="false"/>
          <w:color w:val="1F2937"/>
          <w:sz w:val="18"/>
          <w:szCs w:val="18"/>
          <w:shd w:fill="F1F3F5" w:color="auto" w:val="clear"/>
          <w:rtl/>
        </w:rPr>
        <w:t xml:space="preserve">‎localhost‎</w:t>
      </w:r>
      <w:r>
        <w:rPr>
          <w:rFonts w:ascii="Arial" w:cs="Arial" w:eastAsia="Arial" w:hAnsi="Arial"/>
          <w:b w:val="false"/>
          <w:bCs w:val="false"/>
          <w:sz w:val="21"/>
          <w:szCs w:val="21"/>
          <w:rtl/>
        </w:rPr>
        <w:t xml:space="preserve">، فيفشل التحقق من الاسم. وهذا ما يدفع المشغّل إلى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والحل ألا يُتصل بـ </w:t>
      </w:r>
      <w:r>
        <w:rPr>
          <w:rFonts w:ascii="Courier New" w:cs="Courier New" w:eastAsia="Courier New" w:hAnsi="Courier New"/>
          <w:b w:val="false"/>
          <w:bCs w:val="false"/>
          <w:color w:val="1F2937"/>
          <w:sz w:val="18"/>
          <w:szCs w:val="18"/>
          <w:shd w:fill="F1F3F5" w:color="auto" w:val="clear"/>
          <w:rtl/>
        </w:rPr>
        <w:t xml:space="preserve">‎localhost‎</w:t>
      </w:r>
      <w:r>
        <w:rPr>
          <w:rFonts w:ascii="Arial" w:cs="Arial" w:eastAsia="Arial" w:hAnsi="Arial"/>
          <w:b w:val="false"/>
          <w:bCs w:val="false"/>
          <w:sz w:val="21"/>
          <w:szCs w:val="21"/>
          <w:rtl/>
        </w:rPr>
        <w:t xml:space="preserve">: يُضاف في </w:t>
      </w:r>
      <w:r>
        <w:rPr>
          <w:rFonts w:ascii="Courier New" w:cs="Courier New" w:eastAsia="Courier New" w:hAnsi="Courier New"/>
          <w:b w:val="false"/>
          <w:bCs w:val="false"/>
          <w:color w:val="1F2937"/>
          <w:sz w:val="18"/>
          <w:szCs w:val="18"/>
          <w:shd w:fill="F1F3F5" w:color="auto" w:val="clear"/>
          <w:rtl/>
        </w:rPr>
        <w:t xml:space="preserve">‎/etc/hosts‎</w:t>
      </w:r>
      <w:r>
        <w:rPr>
          <w:rFonts w:ascii="Arial" w:cs="Arial" w:eastAsia="Arial" w:hAnsi="Arial"/>
          <w:b w:val="false"/>
          <w:bCs w:val="false"/>
          <w:sz w:val="21"/>
          <w:szCs w:val="21"/>
          <w:rtl/>
        </w:rPr>
        <w:t xml:space="preserve"> على محطة المشغّل سطر </w:t>
      </w:r>
      <w:r>
        <w:rPr>
          <w:rFonts w:ascii="Courier New" w:cs="Courier New" w:eastAsia="Courier New" w:hAnsi="Courier New"/>
          <w:b w:val="false"/>
          <w:bCs w:val="false"/>
          <w:color w:val="1F2937"/>
          <w:sz w:val="18"/>
          <w:szCs w:val="18"/>
          <w:shd w:fill="F1F3F5" w:color="auto" w:val="clear"/>
          <w:rtl/>
        </w:rPr>
        <w:t xml:space="preserve">‎127.0.0.1 db.internal.bankfas.com‎</w:t>
      </w:r>
      <w:r>
        <w:rPr>
          <w:rFonts w:ascii="Arial" w:cs="Arial" w:eastAsia="Arial" w:hAnsi="Arial"/>
          <w:b w:val="false"/>
          <w:bCs w:val="false"/>
          <w:sz w:val="21"/>
          <w:szCs w:val="21"/>
          <w:rtl/>
        </w:rPr>
        <w:t xml:space="preserve">، ويُفتح النفق </w:t>
      </w:r>
      <w:r>
        <w:rPr>
          <w:rFonts w:ascii="Courier New" w:cs="Courier New" w:eastAsia="Courier New" w:hAnsi="Courier New"/>
          <w:b w:val="false"/>
          <w:bCs w:val="false"/>
          <w:color w:val="1F2937"/>
          <w:sz w:val="18"/>
          <w:szCs w:val="18"/>
          <w:shd w:fill="F1F3F5" w:color="auto" w:val="clear"/>
          <w:rtl/>
        </w:rPr>
        <w:t xml:space="preserve">‎ssh -L 14330:127.0.0.1:1433 ...‎</w:t>
      </w:r>
      <w:r>
        <w:rPr>
          <w:rFonts w:ascii="Arial" w:cs="Arial" w:eastAsia="Arial" w:hAnsi="Arial"/>
          <w:b w:val="false"/>
          <w:bCs w:val="false"/>
          <w:sz w:val="21"/>
          <w:szCs w:val="21"/>
          <w:rtl/>
        </w:rPr>
        <w:t xml:space="preserve">، ويُتصل بـ </w:t>
      </w:r>
      <w:r>
        <w:rPr>
          <w:rFonts w:ascii="Courier New" w:cs="Courier New" w:eastAsia="Courier New" w:hAnsi="Courier New"/>
          <w:b w:val="false"/>
          <w:bCs w:val="false"/>
          <w:color w:val="1F2937"/>
          <w:sz w:val="18"/>
          <w:szCs w:val="18"/>
          <w:shd w:fill="F1F3F5" w:color="auto" w:val="clear"/>
          <w:rtl/>
        </w:rPr>
        <w:t xml:space="preserve">‎SQL_SERVER=db.internal.bankfas.com,14330‎</w:t>
      </w:r>
      <w:r>
        <w:rPr>
          <w:rFonts w:ascii="Arial" w:cs="Arial" w:eastAsia="Arial" w:hAnsi="Arial"/>
          <w:b w:val="false"/>
          <w:bCs w:val="false"/>
          <w:sz w:val="21"/>
          <w:szCs w:val="21"/>
          <w:rtl/>
        </w:rPr>
        <w:t xml:space="preserve">. فيطابق الاسم الشهادة، وتبقى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وأدوات CI ترفض فوق ذلك حذف قاعدة فيها مشتركون حقيقيون، حتى لو وصلت إلى خادم إنتاج عبر النفق (</w:t>
      </w:r>
      <w:r>
        <w:rPr>
          <w:rFonts w:ascii="Courier New" w:cs="Courier New" w:eastAsia="Courier New" w:hAnsi="Courier New"/>
          <w:b w:val="false"/>
          <w:bCs w:val="false"/>
          <w:color w:val="1F2937"/>
          <w:sz w:val="18"/>
          <w:szCs w:val="18"/>
          <w:shd w:fill="F1F3F5" w:color="auto" w:val="clear"/>
          <w:rtl/>
        </w:rPr>
        <w:t xml:space="preserve">‎tools/ci/ci_guard.sh‎</w:t>
      </w:r>
      <w:r>
        <w:rPr>
          <w:rFonts w:ascii="Arial" w:cs="Arial" w:eastAsia="Arial" w:hAnsi="Arial"/>
          <w:b w:val="false"/>
          <w:bCs w:val="false"/>
          <w:sz w:val="21"/>
          <w:szCs w:val="21"/>
          <w:rtl/>
        </w:rPr>
        <w:t xml:space="preserve">، 50991).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614"/>
        <w:gridCol w:w="1434"/>
        <w:gridCol w:w="5023"/>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11ب. رؤوس سلاسل التدقيق المستعادة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دقائق</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المستعادة تنتهي قبل آخر المراسي المحفوظة خارجها، فيفشل الفحص (ANCHOR_MISSING). </w:t>
            </w:r>
            <w:r>
              <w:rPr>
                <w:rFonts w:ascii="Courier New" w:cs="Courier New" w:eastAsia="Courier New" w:hAnsi="Courier New"/>
                <w:b w:val="false"/>
                <w:bCs w:val="false"/>
                <w:color w:val="1F2937"/>
                <w:sz w:val="16"/>
                <w:szCs w:val="16"/>
                <w:shd w:fill="F1F3F5" w:color="auto" w:val="clear"/>
                <w:rtl/>
              </w:rPr>
              <w:t xml:space="preserve">‎tools/deploy/audit_anchor.sh restored &lt;المخزن&gt; &lt;مرجع التغيير&gt;‎</w:t>
            </w:r>
            <w:r>
              <w:rPr>
                <w:rFonts w:ascii="Arial" w:cs="Arial" w:eastAsia="Arial" w:hAnsi="Arial"/>
                <w:b w:val="false"/>
                <w:bCs w:val="false"/>
                <w:sz w:val="18"/>
                <w:szCs w:val="18"/>
                <w:rtl/>
              </w:rPr>
              <w:t xml:space="preserve"> يفحص كل سلسلة فحصًا كاملًا مقابل المراسي حتى رأسها المستعاد، ويكتب ملف </w:t>
            </w:r>
            <w:r>
              <w:rPr>
                <w:rFonts w:ascii="Courier New" w:cs="Courier New" w:eastAsia="Courier New" w:hAnsi="Courier New"/>
                <w:b w:val="false"/>
                <w:bCs w:val="false"/>
                <w:color w:val="1F2937"/>
                <w:sz w:val="16"/>
                <w:szCs w:val="16"/>
                <w:shd w:fill="F1F3F5" w:color="auto" w:val="clear"/>
                <w:rtl/>
              </w:rPr>
              <w:t xml:space="preserve">‎restore-...‎</w:t>
            </w:r>
            <w:r>
              <w:rPr>
                <w:rFonts w:ascii="Arial" w:cs="Arial" w:eastAsia="Arial" w:hAnsi="Arial"/>
                <w:b w:val="false"/>
                <w:bCs w:val="false"/>
                <w:sz w:val="18"/>
                <w:szCs w:val="18"/>
                <w:rtl/>
              </w:rPr>
              <w:t xml:space="preserve"> بالرؤوس ومرجع التغيير؛ والمراسي بعدها لا تُحتسب. تُراجَع ملفات الاستعادة في المراجعة الشهرية (DOC-S12 §5.3؛ ADR 0033؛ المراجعة الداخلية v6، D13؛ AA7)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(23)، المشغّل والدعم (14)، ربط المهام (7، J1 إلى J7)، تهيئة المشترك (7)، الترقيم (8، ومع اتصالات متزامنة 2)، تاريخ KYC (4)، البيانات المرجعية (8)،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(docs/20-database-design.md:271،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5.4 الشريحة S2-ب</w:t>
      </w:r>
      <w:bookmarkEnd w:id="371"/>
    </w:p>
    <w:p>
      <w:pPr>
        <w:bidi/>
        <w:spacing w:after="110" w:before="0" w:line="312"/>
      </w:pPr>
      <w:r>
        <w:rPr>
          <w:rFonts w:ascii="Arial" w:cs="Arial" w:eastAsia="Arial" w:hAnsi="Arial"/>
          <w:b w:val="false"/>
          <w:bCs w:val="false"/>
          <w:sz w:val="21"/>
          <w:szCs w:val="21"/>
          <w:rtl/>
        </w:rPr>
        <w:t xml:space="preserve">أُضيف مع بناء S2-ب (2026-10-23،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افتراضات موجز S2-ب OQ-1 إلى 17 (</w:t>
            </w:r>
            <w:r>
              <w:rPr>
                <w:rFonts w:ascii="Courier New" w:cs="Courier New" w:eastAsia="Courier New" w:hAnsi="Courier New"/>
                <w:b w:val="false"/>
                <w:bCs w:val="false"/>
                <w:color w:val="1F2937"/>
                <w:sz w:val="16"/>
                <w:szCs w:val="16"/>
                <w:shd w:fill="F1F3F5" w:color="auto" w:val="clear"/>
                <w:rtl/>
              </w:rPr>
              <w:t xml:space="preserve">‎docs/31‎</w:t>
            </w:r>
            <w:r>
              <w:rPr>
                <w:rFonts w:ascii="Arial" w:cs="Arial" w:eastAsia="Arial" w:hAnsi="Arial"/>
                <w:b w:val="false"/>
                <w:bCs w:val="false"/>
                <w:sz w:val="18"/>
                <w:szCs w:val="18"/>
                <w:rtl/>
              </w:rPr>
              <w:t xml:space="preserve"> الصف 41)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DS-FIN-C الاصطناعية مع DS-AGR C في بيئة الاختبار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بحالة لكل معطى (docs/10-detailed-analysis/12-m5-facilities-pricing-collateral-obligations.md:762)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AC-FAC-13: لوحة امتثال التسهيل C بمقاييسها في تاريخ ثابت، مطابقةً لـ R-OBL-04 ودون ثانيتين (NFR-PERF-01)</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 إلى 9 في DOC-B02 §11</w:t>
            </w:r>
          </w:p>
        </w:tc>
      </w:tr>
    </w:tbl>
    <w:p>
      <w:pPr>
        <w:bidi/>
        <w:spacing w:after="120" w:before="0"/>
      </w:pPr>
    </w:p>
    <w:p>
      <w:pPr>
        <w:pStyle w:val="Heading2"/>
        <w:bidi/>
      </w:pPr>
      <w:bookmarkStart w:name="_sec372" w:id="372"/>
      <w:r>
        <w:rPr>
          <w:rFonts w:ascii="Arial" w:cs="Arial" w:eastAsia="Arial" w:hAnsi="Arial"/>
          <w:b/>
          <w:bCs/>
          <w:color w:val="2B5C8A"/>
          <w:sz w:val="26"/>
          <w:szCs w:val="26"/>
          <w:rtl/>
        </w:rPr>
        <w:t xml:space="preserve">6. اختبار خروج S0</w:t>
      </w:r>
      <w:bookmarkEnd w:id="372"/>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3" w:id="373"/>
      <w:r>
        <w:rPr>
          <w:rFonts w:ascii="Arial" w:cs="Arial" w:eastAsia="Arial" w:hAnsi="Arial"/>
          <w:b/>
          <w:bCs/>
          <w:color w:val="2B5C8A"/>
          <w:sz w:val="26"/>
          <w:szCs w:val="26"/>
          <w:rtl/>
        </w:rPr>
        <w:t xml:space="preserve">7. شدة العيوب وفرزها</w:t>
      </w:r>
      <w:bookmarkEnd w:id="3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4" w:id="374"/>
      <w:r>
        <w:rPr>
          <w:rFonts w:ascii="Arial" w:cs="Arial" w:eastAsia="Arial" w:hAnsi="Arial"/>
          <w:b/>
          <w:bCs/>
          <w:color w:val="2B5C8A"/>
          <w:sz w:val="26"/>
          <w:szCs w:val="26"/>
          <w:rtl/>
        </w:rPr>
        <w:t xml:space="preserve">8. قواعد بيانات الاختبار</w:t>
      </w:r>
      <w:bookmarkEnd w:id="374"/>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5" w:id="375"/>
      <w:r>
        <w:rPr>
          <w:rFonts w:ascii="Arial" w:cs="Arial" w:eastAsia="Arial" w:hAnsi="Arial"/>
          <w:b/>
          <w:bCs/>
          <w:color w:val="2B5C8A"/>
          <w:sz w:val="26"/>
          <w:szCs w:val="26"/>
          <w:rtl/>
        </w:rPr>
        <w:t xml:space="preserve">9. تسجيل النتائج والتتبع</w:t>
      </w:r>
      <w:bookmarkEnd w:id="375"/>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6" w:id="376"/>
      <w:r>
        <w:rPr>
          <w:rFonts w:ascii="Arial" w:cs="Arial" w:eastAsia="Arial" w:hAnsi="Arial"/>
          <w:b/>
          <w:bCs/>
          <w:color w:val="2B5C8A"/>
          <w:sz w:val="26"/>
          <w:szCs w:val="26"/>
          <w:rtl/>
        </w:rPr>
        <w:t xml:space="preserve">10. جدول الاختبار لكل شريحة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11. القرارات المطلوبة</w:t>
      </w:r>
      <w:bookmarkEnd w:id="3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8" w:id="378"/>
      <w:r>
        <w:rPr>
          <w:rFonts w:ascii="Arial" w:cs="Arial" w:eastAsia="Arial" w:hAnsi="Arial"/>
          <w:b/>
          <w:bCs/>
          <w:color w:val="2B5C8A"/>
          <w:sz w:val="26"/>
          <w:szCs w:val="26"/>
          <w:rtl/>
        </w:rPr>
        <w:t xml:space="preserve">12. تعارضات وفجوات في المصادر</w:t>
      </w:r>
      <w:bookmarkEnd w:id="378"/>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9" w:id="379"/>
      <w:r>
        <w:rPr>
          <w:rFonts w:ascii="Arial" w:cs="Arial" w:eastAsia="Arial" w:hAnsi="Arial"/>
          <w:b/>
          <w:bCs/>
          <w:color w:val="2B5C8A"/>
          <w:sz w:val="26"/>
          <w:szCs w:val="26"/>
          <w:rtl/>
        </w:rPr>
        <w:t xml:space="preserve">13. التتبع</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docs/20-database-design.md:271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80" w:id="380"/>
      <w:r>
        <w:rPr>
          <w:rFonts w:ascii="Arial" w:cs="Arial" w:eastAsia="Arial" w:hAnsi="Arial"/>
          <w:b/>
          <w:bCs/>
          <w:color w:val="1F3A5F"/>
          <w:sz w:val="32"/>
          <w:szCs w:val="32"/>
          <w:rtl/>
        </w:rPr>
        <w:t xml:space="preserve">DOC-B02 — سجل سيناريوهات القبول للشريحتين S0 وS1</w:t>
      </w:r>
      <w:bookmarkEnd w:id="3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1" w:id="381"/>
      <w:r>
        <w:rPr>
          <w:rFonts w:ascii="Arial" w:cs="Arial" w:eastAsia="Arial" w:hAnsi="Arial"/>
          <w:b/>
          <w:bCs/>
          <w:color w:val="2B5C8A"/>
          <w:sz w:val="26"/>
          <w:szCs w:val="26"/>
          <w:rtl/>
        </w:rPr>
        <w:t xml:space="preserve">1. الغرض والنطاق</w:t>
      </w:r>
      <w:bookmarkEnd w:id="38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2" w:id="382"/>
      <w:r>
        <w:rPr>
          <w:rFonts w:ascii="Arial" w:cs="Arial" w:eastAsia="Arial" w:hAnsi="Arial"/>
          <w:b/>
          <w:bCs/>
          <w:color w:val="2B5C8A"/>
          <w:sz w:val="26"/>
          <w:szCs w:val="26"/>
          <w:rtl/>
        </w:rPr>
        <w:t xml:space="preserve">2. السجل</w:t>
      </w:r>
      <w:bookmarkEnd w:id="382"/>
    </w:p>
    <w:p>
      <w:pPr>
        <w:pStyle w:val="Heading3"/>
        <w:bidi/>
      </w:pPr>
      <w:bookmarkStart w:name="_sec383" w:id="383"/>
      <w:r>
        <w:rPr>
          <w:rFonts w:ascii="Arial" w:cs="Arial" w:eastAsia="Arial" w:hAnsi="Arial"/>
          <w:b/>
          <w:bCs/>
          <w:color w:val="2B5C8A"/>
          <w:sz w:val="23"/>
          <w:szCs w:val="23"/>
          <w:rtl/>
        </w:rPr>
        <w:t xml:space="preserve">2.1 سيناريوهات قائمة داخل النطاق</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4" w:id="384"/>
      <w:r>
        <w:rPr>
          <w:rFonts w:ascii="Arial" w:cs="Arial" w:eastAsia="Arial" w:hAnsi="Arial"/>
          <w:b/>
          <w:bCs/>
          <w:color w:val="2B5C8A"/>
          <w:sz w:val="23"/>
          <w:szCs w:val="23"/>
          <w:rtl/>
        </w:rPr>
        <w:t xml:space="preserve">2.2 سيناريوهات جديدة</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5" w:id="385"/>
      <w:r>
        <w:rPr>
          <w:rFonts w:ascii="Arial" w:cs="Arial" w:eastAsia="Arial" w:hAnsi="Arial"/>
          <w:b/>
          <w:bCs/>
          <w:color w:val="2B5C8A"/>
          <w:sz w:val="26"/>
          <w:szCs w:val="26"/>
          <w:rtl/>
        </w:rPr>
        <w:t xml:space="preserve">3. نصوص السيناريوهات الجديدة</w:t>
      </w:r>
      <w:bookmarkEnd w:id="38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6" w:id="386"/>
      <w:r>
        <w:rPr>
          <w:rFonts w:ascii="Arial" w:cs="Arial" w:eastAsia="Arial" w:hAnsi="Arial"/>
          <w:b/>
          <w:bCs/>
          <w:color w:val="2B5C8A"/>
          <w:sz w:val="23"/>
          <w:szCs w:val="23"/>
          <w:rtl/>
        </w:rPr>
        <w:t xml:space="preserve">3.1 المنصة (PLT)</w:t>
      </w:r>
      <w:bookmarkEnd w:id="38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7" w:id="387"/>
      <w:r>
        <w:rPr>
          <w:rFonts w:ascii="Arial" w:cs="Arial" w:eastAsia="Arial" w:hAnsi="Arial"/>
          <w:b/>
          <w:bCs/>
          <w:color w:val="2B5C8A"/>
          <w:sz w:val="23"/>
          <w:szCs w:val="23"/>
          <w:rtl/>
        </w:rPr>
        <w:t xml:space="preserve">3.2 الهيكل المؤسسي (ORG)</w:t>
      </w:r>
      <w:bookmarkEnd w:id="38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8" w:id="388"/>
      <w:r>
        <w:rPr>
          <w:rFonts w:ascii="Arial" w:cs="Arial" w:eastAsia="Arial" w:hAnsi="Arial"/>
          <w:b/>
          <w:bCs/>
          <w:color w:val="2B5C8A"/>
          <w:sz w:val="23"/>
          <w:szCs w:val="23"/>
          <w:rtl/>
        </w:rPr>
        <w:t xml:space="preserve">3.3 الأشخاص والجهات (PTY)</w:t>
      </w:r>
      <w:bookmarkEnd w:id="38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9" w:id="389"/>
      <w:r>
        <w:rPr>
          <w:rFonts w:ascii="Arial" w:cs="Arial" w:eastAsia="Arial" w:hAnsi="Arial"/>
          <w:b/>
          <w:bCs/>
          <w:color w:val="2B5C8A"/>
          <w:sz w:val="23"/>
          <w:szCs w:val="23"/>
          <w:rtl/>
        </w:rPr>
        <w:t xml:space="preserve">3.4 المنشآت المالية (INS)</w:t>
      </w:r>
      <w:bookmarkEnd w:id="38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90" w:id="390"/>
      <w:r>
        <w:rPr>
          <w:rFonts w:ascii="Arial" w:cs="Arial" w:eastAsia="Arial" w:hAnsi="Arial"/>
          <w:b/>
          <w:bCs/>
          <w:color w:val="2B5C8A"/>
          <w:sz w:val="23"/>
          <w:szCs w:val="23"/>
          <w:rtl/>
        </w:rPr>
        <w:t xml:space="preserve">3.5 الحسابات (ACC)</w:t>
      </w:r>
      <w:bookmarkEnd w:id="39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1" w:id="391"/>
      <w:r>
        <w:rPr>
          <w:rFonts w:ascii="Arial" w:cs="Arial" w:eastAsia="Arial" w:hAnsi="Arial"/>
          <w:b/>
          <w:bCs/>
          <w:color w:val="2B5C8A"/>
          <w:sz w:val="23"/>
          <w:szCs w:val="23"/>
          <w:rtl/>
        </w:rPr>
        <w:t xml:space="preserve">3.6 الكتالوجات (CAT)</w:t>
      </w:r>
      <w:bookmarkEnd w:id="39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2" w:id="392"/>
      <w:r>
        <w:rPr>
          <w:rFonts w:ascii="Arial" w:cs="Arial" w:eastAsia="Arial" w:hAnsi="Arial"/>
          <w:b/>
          <w:bCs/>
          <w:color w:val="2B5C8A"/>
          <w:sz w:val="23"/>
          <w:szCs w:val="23"/>
          <w:rtl/>
        </w:rPr>
        <w:t xml:space="preserve">3.7 الإشعارات (NTF)</w:t>
      </w:r>
      <w:bookmarkEnd w:id="39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3" w:id="393"/>
      <w:r>
        <w:rPr>
          <w:rFonts w:ascii="Arial" w:cs="Arial" w:eastAsia="Arial" w:hAnsi="Arial"/>
          <w:b/>
          <w:bCs/>
          <w:color w:val="2B5C8A"/>
          <w:sz w:val="26"/>
          <w:szCs w:val="26"/>
          <w:rtl/>
        </w:rPr>
        <w:t xml:space="preserve">4. معايير الخروج المرتبطة</w:t>
      </w:r>
      <w:bookmarkEnd w:id="3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4" w:id="394"/>
      <w:r>
        <w:rPr>
          <w:rFonts w:ascii="Arial" w:cs="Arial" w:eastAsia="Arial" w:hAnsi="Arial"/>
          <w:b/>
          <w:bCs/>
          <w:color w:val="2B5C8A"/>
          <w:sz w:val="26"/>
          <w:szCs w:val="26"/>
          <w:rtl/>
        </w:rPr>
        <w:t xml:space="preserve">5. جدول التغطية: المتطلب إلى السيناريو</w:t>
      </w:r>
      <w:bookmarkEnd w:id="394"/>
    </w:p>
    <w:p>
      <w:pPr>
        <w:pStyle w:val="Heading3"/>
        <w:bidi/>
      </w:pPr>
      <w:bookmarkStart w:name="_sec395" w:id="395"/>
      <w:r>
        <w:rPr>
          <w:rFonts w:ascii="Arial" w:cs="Arial" w:eastAsia="Arial" w:hAnsi="Arial"/>
          <w:b/>
          <w:bCs/>
          <w:color w:val="2B5C8A"/>
          <w:sz w:val="23"/>
          <w:szCs w:val="23"/>
          <w:rtl/>
        </w:rPr>
        <w:t xml:space="preserve">5.1 المنصة (PLT)</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5.2 الهيكل المؤسسي (ORG)</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5.3 الأشخاص والجهات (PTY)</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5.4 المنشآت المالية (INS)</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5.5 الحسابات (ACC)</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5.6 الكتالوجات (CAT)</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1" w:id="401"/>
      <w:r>
        <w:rPr>
          <w:rFonts w:ascii="Arial" w:cs="Arial" w:eastAsia="Arial" w:hAnsi="Arial"/>
          <w:b/>
          <w:bCs/>
          <w:color w:val="2B5C8A"/>
          <w:sz w:val="23"/>
          <w:szCs w:val="23"/>
          <w:rtl/>
        </w:rPr>
        <w:t xml:space="preserve">5.7 الإشعارات في S1 (NTF)</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2" w:id="402"/>
      <w:r>
        <w:rPr>
          <w:rFonts w:ascii="Arial" w:cs="Arial" w:eastAsia="Arial" w:hAnsi="Arial"/>
          <w:b/>
          <w:bCs/>
          <w:color w:val="2B5C8A"/>
          <w:sz w:val="26"/>
          <w:szCs w:val="26"/>
          <w:rtl/>
        </w:rPr>
        <w:t xml:space="preserve">6. القرارات المطلوبة</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3" w:id="403"/>
      <w:r>
        <w:rPr>
          <w:rFonts w:ascii="Arial" w:cs="Arial" w:eastAsia="Arial" w:hAnsi="Arial"/>
          <w:b/>
          <w:bCs/>
          <w:color w:val="2B5C8A"/>
          <w:sz w:val="26"/>
          <w:szCs w:val="26"/>
          <w:rtl/>
        </w:rPr>
        <w:t xml:space="preserve">7. تعارضات وفجوات في المصادر</w:t>
      </w:r>
      <w:bookmarkEnd w:id="403"/>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4" w:id="404"/>
      <w:r>
        <w:rPr>
          <w:rFonts w:ascii="Arial" w:cs="Arial" w:eastAsia="Arial" w:hAnsi="Arial"/>
          <w:b/>
          <w:bCs/>
          <w:color w:val="2B5C8A"/>
          <w:sz w:val="26"/>
          <w:szCs w:val="26"/>
          <w:rtl/>
        </w:rPr>
        <w:t xml:space="preserve">8. التتبع</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9. ملحق S1-ب (2026-10-22)</w:t>
      </w:r>
      <w:bookmarkEnd w:id="405"/>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2"/>
        <w:bidi/>
      </w:pPr>
      <w:bookmarkStart w:name="_sec406" w:id="406"/>
      <w:r>
        <w:rPr>
          <w:rFonts w:ascii="Arial" w:cs="Arial" w:eastAsia="Arial" w:hAnsi="Arial"/>
          <w:b/>
          <w:bCs/>
          <w:color w:val="2B5C8A"/>
          <w:sz w:val="26"/>
          <w:szCs w:val="26"/>
          <w:rtl/>
        </w:rPr>
        <w:t xml:space="preserve">10. ملحق S2 (2026-10-22)</w:t>
      </w:r>
      <w:bookmarkEnd w:id="406"/>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وAC-FAC-11 وAC-FAC-12 معياران إلزاميان للخروج، بعد أن اعتمد المالك OQ-1 وOQ-17 في 2026-10-23.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p>
      <w:pPr>
        <w:pStyle w:val="Heading2"/>
        <w:bidi/>
      </w:pPr>
      <w:bookmarkStart w:name="_sec407" w:id="407"/>
      <w:r>
        <w:rPr>
          <w:rFonts w:ascii="Arial" w:cs="Arial" w:eastAsia="Arial" w:hAnsi="Arial"/>
          <w:b/>
          <w:bCs/>
          <w:color w:val="2B5C8A"/>
          <w:sz w:val="26"/>
          <w:szCs w:val="26"/>
          <w:rtl/>
        </w:rPr>
        <w:t xml:space="preserve">11. ملحق S2-ب (2026-10-23)</w:t>
      </w:r>
      <w:bookmarkEnd w:id="407"/>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ADR 0044). الخروج بالافتراضين OQ-11 وOQ-17، وقد اعتمدهما المالك في 2026-10-23: </w:t>
      </w:r>
      <w:r>
        <w:rPr>
          <w:rFonts w:ascii="Arial" w:cs="Arial" w:eastAsia="Arial" w:hAnsi="Arial"/>
          <w:b/>
          <w:bCs/>
          <w:sz w:val="21"/>
          <w:szCs w:val="21"/>
          <w:rtl/>
        </w:rPr>
        <w:t xml:space="preserve">AC-FAC-7</w:t>
      </w:r>
      <w:r>
        <w:rPr>
          <w:rFonts w:ascii="Arial" w:cs="Arial" w:eastAsia="Arial" w:hAnsi="Arial"/>
          <w:b w:val="false"/>
          <w:bCs w:val="false"/>
          <w:sz w:val="21"/>
          <w:szCs w:val="21"/>
          <w:rtl/>
        </w:rPr>
        <w:t xml:space="preserve"> مقسومًا على معطياته، و</w:t>
      </w:r>
      <w:r>
        <w:rPr>
          <w:rFonts w:ascii="Arial" w:cs="Arial" w:eastAsia="Arial" w:hAnsi="Arial"/>
          <w:b/>
          <w:bCs/>
          <w:sz w:val="21"/>
          <w:szCs w:val="21"/>
          <w:rtl/>
        </w:rPr>
        <w:t xml:space="preserve">AC-FAC-13</w:t>
      </w:r>
      <w:r>
        <w:rPr>
          <w:rFonts w:ascii="Arial" w:cs="Arial" w:eastAsia="Arial" w:hAnsi="Arial"/>
          <w:b w:val="false"/>
          <w:bCs w:val="false"/>
          <w:sz w:val="21"/>
          <w:szCs w:val="21"/>
          <w:rtl/>
        </w:rPr>
        <w:t xml:space="preserve"> الجديد، ومعهما AC-FIN-1 إلى 9، وهي اختبارات الدفعات من B إلى G.</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3041"/>
        <w:gridCol w:w="4799"/>
        <w:gridCol w:w="972"/>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على قائمة مدققة منفردة: 12,000,000 ÷ 10,500,000 = 1.142857، مخالفة بهامش ‎−0.057143 (‎−4.76%‎)، وتُفتح مخالفة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‎AcFac7Tests.Given_a_current_ratio_below_*‎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(2)</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من مدير الخزينة يجعل المخالفة WAIVED، ويبقى الاختبار BREACH، ويزول سبب الأحمر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‎AcFac7Tests.Given_a_waiver_*‎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(3)</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العرض بأصول متداولة 12,800,000: التقييم 2 بقيمة 1.219048 وإنذار (1.59%)، وNeedsReview، ولا إغلاق</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‎AcFac7Tests.Given_a_restatement_*‎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(4)</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على 620,000 و480,000 و700,000: «كل شهر» 480,000 مخالفة (‎−4%‎)، و«متوسط الفترة» 600,000 ممتثل (‎+20%‎)</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‎AcFac7Tests.Given_monthly_balances_*‎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(5)</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من إيراد 100,000,000: تحويل 14,200,000 يعطي 14.2% مخالفة ويبقى 800,000، و15,900,000 يعطي 15.9% إنذارًا (6%)</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‎AcFac7Tests.Given_a_share_of_revenue_*‎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(6)</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 بلا حد وقيمته 2.0: النتيجة NOT_ASSESSED_NO_THRESHOLD، لا «ممتثل»، واللون لا يتغير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‎AcFac7Tests.Given_no_threshold_*‎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(7)</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تنتهي 2026-09-30 بمهلة 30 يومًا بلا أرصدة: PENDING_DATA حتى 2026-10-30، ثم MISSING_DATA وFIN.DATA_MISSING في 2026-10-31 (ساعة مُحقَنة)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(8)</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لا يعتمد قائمته وإن حمل الصلاحيتين</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‎AcFac7Tests.Given_one_user_with_both_*‎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AC-FAC-13 (جديد)</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الاتفاقيتان C وD من DS-AGR مع حزمة DS-FIN-C الاصطناعية عبر الواجهة. لوحة C في 2028-02-15: كل تعهد مقيس بآخر نتيجة وهامش؛ ولون أحمر بأسبابه (مخالفة غير متنازل عنها، ومخالفة مفتوحة، وسريان غير مؤكد)؛ وصافي القيمة الملموسة أعيد تقييمه بعد إعادة العرض بالتقييم 2 ممتثلًا، ومخالفته معلَّمة للمراجعة؛ وعدادات العائلات؛ والنزول إلى مدخلات الاختبار. وتعهدات D الثلاثة بلا حد عدّاد لا لون. والتسهيل بلا التزامات رمادي. وصف R-OBL-05 يطابق R-OBL-04. والزمن دون ثانيتين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‎S2bExitTests.AC_FAC_13_*‎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S2-ب وإعداداتها في حساب جديد، وحراسات 063</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‎FinanceFoundationTests‎</w:t>
            </w:r>
            <w:r>
              <w:rPr>
                <w:rFonts w:ascii="Arial" w:cs="Arial" w:eastAsia="Arial" w:hAnsi="Arial"/>
                <w:b w:val="false"/>
                <w:bCs w:val="false"/>
                <w:sz w:val="18"/>
                <w:szCs w:val="18"/>
                <w:rtl/>
              </w:rPr>
              <w:t xml:space="preserve"> (اثنان)</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AC-FIN-2</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الإدخال والتوازن والتقديم والاعتماد من غير المُعِدّ والإصدارات</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‎StatementTests.Statement_entry_*‎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AC-FIN-3</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ووحداتها، وتقديرات الإيراد، والكتالوج، واللصق بمعاينة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‎StatementTests.Consolidation_*‎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AC-FIN-4</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الأرصدة الشهرية: إدخال وتأكيد وإعادة فتح بمستخدمين مختلفين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‎MonthlyFigureTests.Monthly_balances_*‎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AC-FIN-5</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التحويلات بمستوى واحد، والأداء في تاريخ (BR-FIN-017)، وإغلاق الفترة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‎MonthlyFigureTests.Bank_flows_*‎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AC-FIN-6</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الرفض عند الحفظ بالموضع، والإصدار والاعتماد، والحساب على قائمة. ومحلل Core بكل قالب</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‎FormulaTests‎</w:t>
            </w:r>
            <w:r>
              <w:rPr>
                <w:rFonts w:ascii="Arial" w:cs="Arial" w:eastAsia="Arial" w:hAnsi="Arial"/>
                <w:b w:val="false"/>
                <w:bCs w:val="false"/>
                <w:sz w:val="18"/>
                <w:szCs w:val="18"/>
                <w:rtl/>
              </w:rPr>
              <w:t xml:space="preserve"> (تكامل ووحدة)</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AC-FIN-7</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الاختبارات من نهاية السنة المالية، والمحرك، والمخالفات وNeedsReview، والقيمة اليدوية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‎CovenantEngineTests‎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‎CovenantPeriodsTests‎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‎CovenantJudgeTests‎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AC-FIN-8</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المحلول CA2 عبر الواجهة بأرقام المرجع، ورفض التقديم بعد تغيّر ما قُرئ، والتجريبي يبقى مسودة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‎CreditTests.CA2_*‎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AC-FIN-9</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CA23 عبر العامل، والجاهزية، والتصنيفات، والتصديق (AU ينجح وTM يُرفض)، وثبات بصمة حزمة الأدلة، واعتماد نسبة الخسارة من غير مُعِدّها</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‎ReadinessTests‎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يغطيه هذا الملحق مكتوب في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ومنه: لا اختبار متصفح لـ S2-ب، وتحوّل AMBER إلى RED في CA23 مغطى في اختبار القاعدة وحده.</w:t>
      </w:r>
    </w:p>
    <w:p>
      <w:pPr>
        <w:bidi/>
        <w:spacing w:after="110" w:before="0" w:line="312"/>
      </w:pPr>
      <w:r>
        <w:rPr>
          <w:rFonts w:ascii="Arial" w:cs="Arial" w:eastAsia="Arial" w:hAnsi="Arial"/>
          <w:b w:val="false"/>
          <w:bCs w:val="false"/>
          <w:sz w:val="21"/>
          <w:szCs w:val="21"/>
          <w:rtl/>
        </w:rPr>
        <w:t xml:space="preserve">تنبيه على الحزمة DS-FIN-C: كتبها وكيل ذكاء اصطناعي، وأرقامها مخترعة. أدوار المُعِدّ والمراجع والمعتمِد تُوقَّع قبل UAT، وحالتها في البيان PROPOSED.</w:t>
      </w:r>
    </w:p>
    <w:p>
      <w:pPr>
        <w:pStyle w:val="Heading1"/>
        <w:bidi/>
      </w:pPr>
      <w:bookmarkStart w:name="_sec408" w:id="408"/>
      <w:r>
        <w:rPr>
          <w:rFonts w:ascii="Arial" w:cs="Arial" w:eastAsia="Arial" w:hAnsi="Arial"/>
          <w:b/>
          <w:bCs/>
          <w:color w:val="1F3A5F"/>
          <w:sz w:val="32"/>
          <w:szCs w:val="32"/>
          <w:rtl/>
        </w:rPr>
        <w:t xml:space="preserve">DOC-B03 — مواصفة المتطلبات غير الوظيفية</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 الغرض والنطاق</w:t>
      </w:r>
      <w:bookmarkEnd w:id="409"/>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10" w:id="410"/>
      <w:r>
        <w:rPr>
          <w:rFonts w:ascii="Arial" w:cs="Arial" w:eastAsia="Arial" w:hAnsi="Arial"/>
          <w:b/>
          <w:bCs/>
          <w:color w:val="2B5C8A"/>
          <w:sz w:val="26"/>
          <w:szCs w:val="26"/>
          <w:rtl/>
        </w:rPr>
        <w:t xml:space="preserve">2. الأداء والتزامن (NFR-PERF)</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2"/>
        <w:bidi/>
      </w:pPr>
      <w:bookmarkStart w:name="_sec411" w:id="411"/>
      <w:r>
        <w:rPr>
          <w:rFonts w:ascii="Arial" w:cs="Arial" w:eastAsia="Arial" w:hAnsi="Arial"/>
          <w:b/>
          <w:bCs/>
          <w:color w:val="2B5C8A"/>
          <w:sz w:val="26"/>
          <w:szCs w:val="26"/>
          <w:rtl/>
        </w:rPr>
        <w:t xml:space="preserve">3. التوفر (NFR-AVL)</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12" w:id="412"/>
      <w:r>
        <w:rPr>
          <w:rFonts w:ascii="Arial" w:cs="Arial" w:eastAsia="Arial" w:hAnsi="Arial"/>
          <w:b/>
          <w:bCs/>
          <w:color w:val="2B5C8A"/>
          <w:sz w:val="26"/>
          <w:szCs w:val="26"/>
          <w:rtl/>
        </w:rPr>
        <w:t xml:space="preserve">4. التعافي (NFR-REC)</w:t>
      </w:r>
      <w:bookmarkEnd w:id="412"/>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13" w:id="413"/>
      <w:r>
        <w:rPr>
          <w:rFonts w:ascii="Arial" w:cs="Arial" w:eastAsia="Arial" w:hAnsi="Arial"/>
          <w:b/>
          <w:bCs/>
          <w:color w:val="2B5C8A"/>
          <w:sz w:val="26"/>
          <w:szCs w:val="26"/>
          <w:rtl/>
        </w:rPr>
        <w:t xml:space="preserve">5. الأمن (NFR-SEC، ويحل محل DOC-S14)</w:t>
      </w:r>
      <w:bookmarkEnd w:id="413"/>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4" w:id="414"/>
      <w:r>
        <w:rPr>
          <w:rFonts w:ascii="Arial" w:cs="Arial" w:eastAsia="Arial" w:hAnsi="Arial"/>
          <w:b/>
          <w:bCs/>
          <w:color w:val="2B5C8A"/>
          <w:sz w:val="26"/>
          <w:szCs w:val="26"/>
          <w:rtl/>
        </w:rPr>
        <w:t xml:space="preserve">6. قابلية التوسع (NFR-SCL)</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7. إمكانية الوصول (NFR-ACC)</w:t>
      </w:r>
      <w:bookmarkEnd w:id="415"/>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8. التشغيل (NFR-OPS)</w:t>
      </w:r>
      <w:bookmarkEnd w:id="4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7" w:id="417"/>
      <w:r>
        <w:rPr>
          <w:rFonts w:ascii="Arial" w:cs="Arial" w:eastAsia="Arial" w:hAnsi="Arial"/>
          <w:b/>
          <w:bCs/>
          <w:color w:val="2B5C8A"/>
          <w:sz w:val="26"/>
          <w:szCs w:val="26"/>
          <w:rtl/>
        </w:rPr>
        <w:t xml:space="preserve">9. اللغة والتوطين (NFR-I18N)</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8" w:id="418"/>
      <w:r>
        <w:rPr>
          <w:rFonts w:ascii="Arial" w:cs="Arial" w:eastAsia="Arial" w:hAnsi="Arial"/>
          <w:b/>
          <w:bCs/>
          <w:color w:val="2B5C8A"/>
          <w:sz w:val="26"/>
          <w:szCs w:val="26"/>
          <w:rtl/>
        </w:rPr>
        <w:t xml:space="preserve">10. التحقق بحسب الشريحة</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11. القرارات المطلوبة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2"/>
        <w:bidi/>
      </w:pPr>
      <w:bookmarkStart w:name="_sec420" w:id="420"/>
      <w:r>
        <w:rPr>
          <w:rFonts w:ascii="Arial" w:cs="Arial" w:eastAsia="Arial" w:hAnsi="Arial"/>
          <w:b/>
          <w:bCs/>
          <w:color w:val="2B5C8A"/>
          <w:sz w:val="26"/>
          <w:szCs w:val="26"/>
          <w:rtl/>
        </w:rPr>
        <w:t xml:space="preserve">12. تعارضات وفجوات في المصادر</w:t>
      </w:r>
      <w:bookmarkEnd w:id="420"/>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(docs/20-database-design.md:271)،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21" w:id="421"/>
      <w:r>
        <w:rPr>
          <w:rFonts w:ascii="Arial" w:cs="Arial" w:eastAsia="Arial" w:hAnsi="Arial"/>
          <w:b/>
          <w:bCs/>
          <w:color w:val="2B5C8A"/>
          <w:sz w:val="26"/>
          <w:szCs w:val="26"/>
          <w:rtl/>
        </w:rPr>
        <w:t xml:space="preserve">13. التتبع</w:t>
      </w:r>
      <w:bookmarkEnd w:id="4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docs/20-database-design.md:271؛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22" w:id="422"/>
      <w:r>
        <w:rPr>
          <w:rFonts w:ascii="Arial" w:cs="Arial" w:eastAsia="Arial" w:hAnsi="Arial"/>
          <w:b/>
          <w:bCs/>
          <w:color w:val="1F3A5F"/>
          <w:sz w:val="32"/>
          <w:szCs w:val="32"/>
          <w:rtl/>
        </w:rPr>
        <w:t xml:space="preserve">DOC-B04 — عقد الواجهة البرمجية ونموذج الأخطاء</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1. الغرض والنطاق</w:t>
      </w:r>
      <w:bookmarkEnd w:id="423"/>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4" w:id="424"/>
      <w:r>
        <w:rPr>
          <w:rFonts w:ascii="Arial" w:cs="Arial" w:eastAsia="Arial" w:hAnsi="Arial"/>
          <w:b/>
          <w:bCs/>
          <w:color w:val="2B5C8A"/>
          <w:sz w:val="26"/>
          <w:szCs w:val="26"/>
          <w:rtl/>
        </w:rPr>
        <w:t xml:space="preserve">2. ما يوجد اليوم</w:t>
      </w:r>
      <w:bookmarkEnd w:id="4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5" w:id="425"/>
      <w:r>
        <w:rPr>
          <w:rFonts w:ascii="Arial" w:cs="Arial" w:eastAsia="Arial" w:hAnsi="Arial"/>
          <w:b/>
          <w:bCs/>
          <w:color w:val="2B5C8A"/>
          <w:sz w:val="26"/>
          <w:szCs w:val="26"/>
          <w:rtl/>
        </w:rPr>
        <w:t xml:space="preserve">3. المبادئ العامة</w:t>
      </w:r>
      <w:bookmarkEnd w:id="425"/>
    </w:p>
    <w:p>
      <w:pPr>
        <w:pStyle w:val="Heading3"/>
        <w:bidi/>
      </w:pPr>
      <w:bookmarkStart w:name="_sec426" w:id="426"/>
      <w:r>
        <w:rPr>
          <w:rFonts w:ascii="Arial" w:cs="Arial" w:eastAsia="Arial" w:hAnsi="Arial"/>
          <w:b/>
          <w:bCs/>
          <w:color w:val="2B5C8A"/>
          <w:sz w:val="23"/>
          <w:szCs w:val="23"/>
          <w:rtl/>
        </w:rPr>
        <w:t xml:space="preserve">3.1 العناوين والإصدار</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3.2 تسمية الموارد وشكل البيانات</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8" w:id="428"/>
      <w:r>
        <w:rPr>
          <w:rFonts w:ascii="Arial" w:cs="Arial" w:eastAsia="Arial" w:hAnsi="Arial"/>
          <w:b/>
          <w:bCs/>
          <w:color w:val="2B5C8A"/>
          <w:sz w:val="23"/>
          <w:szCs w:val="23"/>
          <w:rtl/>
        </w:rPr>
        <w:t xml:space="preserve">3.3 الارتباط والتتبع</w:t>
      </w:r>
      <w:bookmarkEnd w:id="428"/>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9" w:id="429"/>
      <w:r>
        <w:rPr>
          <w:rFonts w:ascii="Arial" w:cs="Arial" w:eastAsia="Arial" w:hAnsi="Arial"/>
          <w:b/>
          <w:bCs/>
          <w:color w:val="2B5C8A"/>
          <w:sz w:val="26"/>
          <w:szCs w:val="26"/>
          <w:rtl/>
        </w:rPr>
        <w:t xml:space="preserve">4. المعرّفات العامة والمفاتيح الداخلية</w:t>
      </w:r>
      <w:bookmarkEnd w:id="429"/>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30" w:id="430"/>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31" w:id="431"/>
      <w:r>
        <w:rPr>
          <w:rFonts w:ascii="Arial" w:cs="Arial" w:eastAsia="Arial" w:hAnsi="Arial"/>
          <w:b/>
          <w:bCs/>
          <w:color w:val="2B5C8A"/>
          <w:sz w:val="26"/>
          <w:szCs w:val="26"/>
          <w:rtl/>
        </w:rPr>
        <w:t xml:space="preserve">6. التزامن المتفائل (RowVersion وETag وIf-Match)</w:t>
      </w:r>
      <w:bookmarkEnd w:id="431"/>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32" w:id="432"/>
      <w:r>
        <w:rPr>
          <w:rFonts w:ascii="Arial" w:cs="Arial" w:eastAsia="Arial" w:hAnsi="Arial"/>
          <w:b/>
          <w:bCs/>
          <w:color w:val="2B5C8A"/>
          <w:sz w:val="26"/>
          <w:szCs w:val="26"/>
          <w:rtl/>
        </w:rPr>
        <w:t xml:space="preserve">7. مفتاح التكرار (Idempotency-Key)</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33" w:id="433"/>
      <w:r>
        <w:rPr>
          <w:rFonts w:ascii="Arial" w:cs="Arial" w:eastAsia="Arial" w:hAnsi="Arial"/>
          <w:b/>
          <w:bCs/>
          <w:color w:val="2B5C8A"/>
          <w:sz w:val="26"/>
          <w:szCs w:val="26"/>
          <w:rtl/>
        </w:rPr>
        <w:t xml:space="preserve">8. مغلف الخطأ (application/problem+json)</w:t>
      </w:r>
      <w:bookmarkEnd w:id="433"/>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4" w:id="434"/>
      <w:r>
        <w:rPr>
          <w:rFonts w:ascii="Arial" w:cs="Arial" w:eastAsia="Arial" w:hAnsi="Arial"/>
          <w:b/>
          <w:bCs/>
          <w:color w:val="2B5C8A"/>
          <w:sz w:val="26"/>
          <w:szCs w:val="26"/>
          <w:rtl/>
        </w:rPr>
        <w:t xml:space="preserve">9. جداول التحويل إلى HTTP</w:t>
      </w:r>
      <w:bookmarkEnd w:id="434"/>
    </w:p>
    <w:p>
      <w:pPr>
        <w:pStyle w:val="Heading3"/>
        <w:bidi/>
      </w:pPr>
      <w:bookmarkStart w:name="_sec435" w:id="435"/>
      <w:r>
        <w:rPr>
          <w:rFonts w:ascii="Arial" w:cs="Arial" w:eastAsia="Arial" w:hAnsi="Arial"/>
          <w:b/>
          <w:bCs/>
          <w:color w:val="2B5C8A"/>
          <w:sz w:val="23"/>
          <w:szCs w:val="23"/>
          <w:rtl/>
        </w:rPr>
        <w:t xml:space="preserve">9.1 دليل الحالات</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6" w:id="436"/>
      <w:r>
        <w:rPr>
          <w:rFonts w:ascii="Arial" w:cs="Arial" w:eastAsia="Arial" w:hAnsi="Arial"/>
          <w:b/>
          <w:bCs/>
          <w:color w:val="2B5C8A"/>
          <w:sz w:val="23"/>
          <w:szCs w:val="23"/>
          <w:rtl/>
        </w:rPr>
        <w:t xml:space="preserve">9.2 رموز التحقق V-XXX-nn</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7" w:id="437"/>
      <w:r>
        <w:rPr>
          <w:rFonts w:ascii="Arial" w:cs="Arial" w:eastAsia="Arial" w:hAnsi="Arial"/>
          <w:b/>
          <w:bCs/>
          <w:color w:val="2B5C8A"/>
          <w:sz w:val="23"/>
          <w:szCs w:val="23"/>
          <w:rtl/>
        </w:rPr>
        <w:t xml:space="preserve">9.3 رموز الأعمال</w:t>
      </w:r>
      <w:bookmarkEnd w:id="4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8" w:id="438"/>
      <w:r>
        <w:rPr>
          <w:rFonts w:ascii="Arial" w:cs="Arial" w:eastAsia="Arial" w:hAnsi="Arial"/>
          <w:b/>
          <w:bCs/>
          <w:color w:val="2B5C8A"/>
          <w:sz w:val="23"/>
          <w:szCs w:val="23"/>
          <w:rtl/>
        </w:rPr>
        <w:t xml:space="preserve">9.4 أخطاء قاعدة البيانات</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9" w:id="439"/>
      <w:r>
        <w:rPr>
          <w:rFonts w:ascii="Arial" w:cs="Arial" w:eastAsia="Arial" w:hAnsi="Arial"/>
          <w:b/>
          <w:bCs/>
          <w:color w:val="2B5C8A"/>
          <w:sz w:val="23"/>
          <w:szCs w:val="23"/>
          <w:rtl/>
        </w:rPr>
        <w:t xml:space="preserve">9.5 أخطاء الدخول</w:t>
      </w:r>
      <w:bookmarkEnd w:id="439"/>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40" w:id="440"/>
      <w:r>
        <w:rPr>
          <w:rFonts w:ascii="Arial" w:cs="Arial" w:eastAsia="Arial" w:hAnsi="Arial"/>
          <w:b/>
          <w:bCs/>
          <w:color w:val="2B5C8A"/>
          <w:sz w:val="26"/>
          <w:szCs w:val="26"/>
          <w:rtl/>
        </w:rPr>
        <w:t xml:space="preserve">10. توطين الرسائل</w:t>
      </w:r>
      <w:bookmarkEnd w:id="440"/>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41" w:id="441"/>
      <w:r>
        <w:rPr>
          <w:rFonts w:ascii="Arial" w:cs="Arial" w:eastAsia="Arial" w:hAnsi="Arial"/>
          <w:b/>
          <w:bCs/>
          <w:color w:val="2B5C8A"/>
          <w:sz w:val="26"/>
          <w:szCs w:val="26"/>
          <w:rtl/>
        </w:rPr>
        <w:t xml:space="preserve">11. مسار ترجمة الخطأ</w:t>
      </w:r>
      <w:bookmarkEnd w:id="441"/>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42" w:id="442"/>
      <w:r>
        <w:rPr>
          <w:rFonts w:ascii="Arial" w:cs="Arial" w:eastAsia="Arial" w:hAnsi="Arial"/>
          <w:b/>
          <w:bCs/>
          <w:color w:val="2B5C8A"/>
          <w:sz w:val="26"/>
          <w:szCs w:val="26"/>
          <w:rtl/>
        </w:rPr>
        <w:t xml:space="preserve">12. وثيقة OpenAPI</w:t>
      </w:r>
      <w:bookmarkEnd w:id="442"/>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43" w:id="443"/>
      <w:r>
        <w:rPr>
          <w:rFonts w:ascii="Arial" w:cs="Arial" w:eastAsia="Arial" w:hAnsi="Arial"/>
          <w:b/>
          <w:bCs/>
          <w:color w:val="2B5C8A"/>
          <w:sz w:val="26"/>
          <w:szCs w:val="26"/>
          <w:rtl/>
        </w:rPr>
        <w:t xml:space="preserve">13. القرارات المطلوبة</w:t>
      </w:r>
      <w:bookmarkEnd w:id="4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4" w:id="444"/>
      <w:r>
        <w:rPr>
          <w:rFonts w:ascii="Arial" w:cs="Arial" w:eastAsia="Arial" w:hAnsi="Arial"/>
          <w:b/>
          <w:bCs/>
          <w:color w:val="2B5C8A"/>
          <w:sz w:val="26"/>
          <w:szCs w:val="26"/>
          <w:rtl/>
        </w:rPr>
        <w:t xml:space="preserve">14. تعارضات وفجوات في المصادر</w:t>
      </w:r>
      <w:bookmarkEnd w:id="444"/>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5" w:id="445"/>
      <w:r>
        <w:rPr>
          <w:rFonts w:ascii="Arial" w:cs="Arial" w:eastAsia="Arial" w:hAnsi="Arial"/>
          <w:b/>
          <w:bCs/>
          <w:color w:val="2B5C8A"/>
          <w:sz w:val="26"/>
          <w:szCs w:val="26"/>
          <w:rtl/>
        </w:rPr>
        <w:t xml:space="preserve">15. التتبع</w:t>
      </w:r>
      <w:bookmarkEnd w:id="4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6" w:id="446"/>
      <w:r>
        <w:rPr>
          <w:rFonts w:ascii="Arial" w:cs="Arial" w:eastAsia="Arial" w:hAnsi="Arial"/>
          <w:b/>
          <w:bCs/>
          <w:color w:val="1F3A5F"/>
          <w:sz w:val="32"/>
          <w:szCs w:val="32"/>
          <w:rtl/>
        </w:rPr>
        <w:t xml:space="preserve">DOC-B05 — خطة البذر والترحيل الأولي</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7" w:id="447"/>
      <w:r>
        <w:rPr>
          <w:rFonts w:ascii="Arial" w:cs="Arial" w:eastAsia="Arial" w:hAnsi="Arial"/>
          <w:b/>
          <w:bCs/>
          <w:color w:val="2B5C8A"/>
          <w:sz w:val="26"/>
          <w:szCs w:val="26"/>
          <w:rtl/>
        </w:rPr>
        <w:t xml:space="preserve">1. الغرض والنطاق</w:t>
      </w:r>
      <w:bookmarkEnd w:id="447"/>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8" w:id="448"/>
      <w:r>
        <w:rPr>
          <w:rFonts w:ascii="Arial" w:cs="Arial" w:eastAsia="Arial" w:hAnsi="Arial"/>
          <w:b/>
          <w:bCs/>
          <w:color w:val="2B5C8A"/>
          <w:sz w:val="26"/>
          <w:szCs w:val="26"/>
          <w:rtl/>
        </w:rPr>
        <w:t xml:space="preserve">2. ما يوجد اليوم</w:t>
      </w:r>
      <w:bookmarkEnd w:id="4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ومسار الترحيل بعد النشر الأول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(ADR 0034، MG1 إلى MG7)</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docs/20-database-design.md:627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9" w:id="449"/>
      <w:r>
        <w:rPr>
          <w:rFonts w:ascii="Arial" w:cs="Arial" w:eastAsia="Arial" w:hAnsi="Arial"/>
          <w:b/>
          <w:bCs/>
          <w:color w:val="2B5C8A"/>
          <w:sz w:val="26"/>
          <w:szCs w:val="26"/>
          <w:rtl/>
        </w:rPr>
        <w:t xml:space="preserve">3. طبقات التحميل</w:t>
      </w:r>
      <w:bookmarkEnd w:id="449"/>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50" w:id="450"/>
      <w:r>
        <w:rPr>
          <w:rFonts w:ascii="Arial" w:cs="Arial" w:eastAsia="Arial" w:hAnsi="Arial"/>
          <w:b/>
          <w:bCs/>
          <w:color w:val="2B5C8A"/>
          <w:sz w:val="26"/>
          <w:szCs w:val="26"/>
          <w:rtl/>
        </w:rPr>
        <w:t xml:space="preserve">4. بذر المنصة (عالمي)</w:t>
      </w:r>
      <w:bookmarkEnd w:id="450"/>
    </w:p>
    <w:p>
      <w:pPr>
        <w:pStyle w:val="Heading3"/>
        <w:bidi/>
      </w:pPr>
      <w:bookmarkStart w:name="_sec451" w:id="451"/>
      <w:r>
        <w:rPr>
          <w:rFonts w:ascii="Arial" w:cs="Arial" w:eastAsia="Arial" w:hAnsi="Arial"/>
          <w:b/>
          <w:bCs/>
          <w:color w:val="2B5C8A"/>
          <w:sz w:val="23"/>
          <w:szCs w:val="23"/>
          <w:rtl/>
        </w:rPr>
        <w:t xml:space="preserve">4.1 الجداول والمحتوى</w:t>
      </w:r>
      <w:bookmarkEnd w:id="4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db/model/10-platform.model:501-511</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52" w:id="452"/>
      <w:r>
        <w:rPr>
          <w:rFonts w:ascii="Arial" w:cs="Arial" w:eastAsia="Arial" w:hAnsi="Arial"/>
          <w:b/>
          <w:bCs/>
          <w:color w:val="2B5C8A"/>
          <w:sz w:val="23"/>
          <w:szCs w:val="23"/>
          <w:rtl/>
        </w:rPr>
        <w:t xml:space="preserve">4.2 ما لا يُبذر على مستوى المنصة</w:t>
      </w:r>
      <w:bookmarkEnd w:id="452"/>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53" w:id="453"/>
      <w:r>
        <w:rPr>
          <w:rFonts w:ascii="Arial" w:cs="Arial" w:eastAsia="Arial" w:hAnsi="Arial"/>
          <w:b/>
          <w:bCs/>
          <w:color w:val="2B5C8A"/>
          <w:sz w:val="23"/>
          <w:szCs w:val="23"/>
          <w:rtl/>
        </w:rPr>
        <w:t xml:space="preserve">4.3 الموقع في ترتيب النشر (منفّذ)</w:t>
      </w:r>
      <w:bookmarkEnd w:id="4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4" w:id="454"/>
      <w:r>
        <w:rPr>
          <w:rFonts w:ascii="Arial" w:cs="Arial" w:eastAsia="Arial" w:hAnsi="Arial"/>
          <w:b/>
          <w:bCs/>
          <w:color w:val="2B5C8A"/>
          <w:sz w:val="26"/>
          <w:szCs w:val="26"/>
          <w:rtl/>
        </w:rPr>
        <w:t xml:space="preserve">5. بذر المشترك عند التهيئة</w:t>
      </w:r>
      <w:bookmarkEnd w:id="454"/>
    </w:p>
    <w:p>
      <w:pPr>
        <w:pStyle w:val="Heading3"/>
        <w:bidi/>
      </w:pPr>
      <w:bookmarkStart w:name="_sec455" w:id="455"/>
      <w:r>
        <w:rPr>
          <w:rFonts w:ascii="Arial" w:cs="Arial" w:eastAsia="Arial" w:hAnsi="Arial"/>
          <w:b/>
          <w:bCs/>
          <w:color w:val="2B5C8A"/>
          <w:sz w:val="23"/>
          <w:szCs w:val="23"/>
          <w:rtl/>
        </w:rPr>
        <w:t xml:space="preserve">5.1 الحزم</w:t>
      </w:r>
      <w:bookmarkEnd w:id="455"/>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db/model/10-platform.model:192-203 و218-222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db/model/10-platform.model:518-530؛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 بندًا من البنود المعيارية (db/seed/104)، تُعرض منها 51 أولًا (S2-ب OQ-1)؛ يولّدها </w:t>
            </w:r>
            <w:r>
              <w:rPr>
                <w:rFonts w:ascii="Courier New" w:cs="Courier New" w:eastAsia="Courier New" w:hAnsi="Courier New"/>
                <w:b w:val="false"/>
                <w:bCs w:val="false"/>
                <w:color w:val="1F2937"/>
                <w:sz w:val="16"/>
                <w:szCs w:val="16"/>
                <w:shd w:fill="F1F3F5" w:color="auto" w:val="clear"/>
                <w:rtl/>
              </w:rPr>
              <w:t xml:space="preserve">‎tools/dbgen/fin_lines_pack.py‎</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db/model/14-collateral-obligations-financials.model:422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6" w:id="456"/>
      <w:r>
        <w:rPr>
          <w:rFonts w:ascii="Arial" w:cs="Arial" w:eastAsia="Arial" w:hAnsi="Arial"/>
          <w:b/>
          <w:bCs/>
          <w:color w:val="2B5C8A"/>
          <w:sz w:val="23"/>
          <w:szCs w:val="23"/>
          <w:rtl/>
        </w:rPr>
        <w:t xml:space="preserve">5.2 مصادر القوائم ومالكوها</w:t>
      </w:r>
      <w:bookmarkEnd w:id="4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7" w:id="457"/>
      <w:r>
        <w:rPr>
          <w:rFonts w:ascii="Arial" w:cs="Arial" w:eastAsia="Arial" w:hAnsi="Arial"/>
          <w:b/>
          <w:bCs/>
          <w:color w:val="2B5C8A"/>
          <w:sz w:val="26"/>
          <w:szCs w:val="26"/>
          <w:rtl/>
        </w:rPr>
        <w:t xml:space="preserve">6. قواعد التكرار الآمن والإصدار</w:t>
      </w:r>
      <w:bookmarkEnd w:id="457"/>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8" w:id="458"/>
      <w:r>
        <w:rPr>
          <w:rFonts w:ascii="Arial" w:cs="Arial" w:eastAsia="Arial" w:hAnsi="Arial"/>
          <w:b/>
          <w:bCs/>
          <w:color w:val="2B5C8A"/>
          <w:sz w:val="26"/>
          <w:szCs w:val="26"/>
          <w:rtl/>
        </w:rPr>
        <w:t xml:space="preserve">7. الترحيل الأولي من Excel</w:t>
      </w:r>
      <w:bookmarkEnd w:id="458"/>
    </w:p>
    <w:p>
      <w:pPr>
        <w:pStyle w:val="Heading3"/>
        <w:bidi/>
      </w:pPr>
      <w:bookmarkStart w:name="_sec459" w:id="459"/>
      <w:r>
        <w:rPr>
          <w:rFonts w:ascii="Arial" w:cs="Arial" w:eastAsia="Arial" w:hAnsi="Arial"/>
          <w:b/>
          <w:bCs/>
          <w:color w:val="2B5C8A"/>
          <w:sz w:val="23"/>
          <w:szCs w:val="23"/>
          <w:rtl/>
        </w:rPr>
        <w:t xml:space="preserve">7.1 القوالب</w:t>
      </w:r>
      <w:bookmarkEnd w:id="459"/>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60" w:id="460"/>
      <w:r>
        <w:rPr>
          <w:rFonts w:ascii="Arial" w:cs="Arial" w:eastAsia="Arial" w:hAnsi="Arial"/>
          <w:b/>
          <w:bCs/>
          <w:color w:val="2B5C8A"/>
          <w:sz w:val="23"/>
          <w:szCs w:val="23"/>
          <w:rtl/>
        </w:rPr>
        <w:t xml:space="preserve">7.2 ترتيب التحميل</w:t>
      </w:r>
      <w:bookmarkEnd w:id="460"/>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61" w:id="461"/>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62" w:id="462"/>
      <w:r>
        <w:rPr>
          <w:rFonts w:ascii="Arial" w:cs="Arial" w:eastAsia="Arial" w:hAnsi="Arial"/>
          <w:b/>
          <w:bCs/>
          <w:color w:val="2B5C8A"/>
          <w:sz w:val="26"/>
          <w:szCs w:val="26"/>
          <w:rtl/>
        </w:rPr>
        <w:t xml:space="preserve">8. الاختبارات (تُنقل إلى DOC-B01)</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9. القرارات المطلوبة</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313"/>
        <w:gridCol w:w="3898"/>
        <w:gridCol w:w="1096"/>
        <w:gridCol w:w="146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وتختبره MG1 إلى MG7 (docs/20-database-design.md:627)</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10. تعارضات وفجوات في المصادر</w:t>
      </w:r>
      <w:bookmarkEnd w:id="464"/>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5" w:id="465"/>
      <w:r>
        <w:rPr>
          <w:rFonts w:ascii="Arial" w:cs="Arial" w:eastAsia="Arial" w:hAnsi="Arial"/>
          <w:b/>
          <w:bCs/>
          <w:color w:val="2B5C8A"/>
          <w:sz w:val="26"/>
          <w:szCs w:val="26"/>
          <w:rtl/>
        </w:rPr>
        <w:t xml:space="preserve">11. التتبع</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6" w:id="466"/>
      <w:r>
        <w:rPr>
          <w:rFonts w:ascii="Arial" w:cs="Arial" w:eastAsia="Arial" w:hAnsi="Arial"/>
          <w:b/>
          <w:bCs/>
          <w:color w:val="1F3A5F"/>
          <w:sz w:val="32"/>
          <w:szCs w:val="32"/>
          <w:rtl/>
        </w:rPr>
        <w:t xml:space="preserve">DOC-B07 — قائمة شاشات S0 وخريطة التنقل والنماذج الأولية</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7" w:id="467"/>
      <w:r>
        <w:rPr>
          <w:rFonts w:ascii="Arial" w:cs="Arial" w:eastAsia="Arial" w:hAnsi="Arial"/>
          <w:b/>
          <w:bCs/>
          <w:color w:val="2B5C8A"/>
          <w:sz w:val="26"/>
          <w:szCs w:val="26"/>
          <w:rtl/>
        </w:rPr>
        <w:t xml:space="preserve">1. الغرض والنطاق</w:t>
      </w:r>
      <w:bookmarkEnd w:id="467"/>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8" w:id="468"/>
      <w:r>
        <w:rPr>
          <w:rFonts w:ascii="Arial" w:cs="Arial" w:eastAsia="Arial" w:hAnsi="Arial"/>
          <w:b/>
          <w:bCs/>
          <w:color w:val="2B5C8A"/>
          <w:sz w:val="26"/>
          <w:szCs w:val="26"/>
          <w:rtl/>
        </w:rPr>
        <w:t xml:space="preserve">2. شاشات بوابة المشترك في S0</w:t>
      </w:r>
      <w:bookmarkEnd w:id="4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9" w:id="469"/>
      <w:r>
        <w:rPr>
          <w:rFonts w:ascii="Arial" w:cs="Arial" w:eastAsia="Arial" w:hAnsi="Arial"/>
          <w:b/>
          <w:bCs/>
          <w:color w:val="2B5C8A"/>
          <w:sz w:val="26"/>
          <w:szCs w:val="26"/>
          <w:rtl/>
        </w:rPr>
        <w:t xml:space="preserve">3. شاشات لوحة المشغّل في S0</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70" w:id="470"/>
      <w:r>
        <w:rPr>
          <w:rFonts w:ascii="Arial" w:cs="Arial" w:eastAsia="Arial" w:hAnsi="Arial"/>
          <w:b/>
          <w:bCs/>
          <w:color w:val="2B5C8A"/>
          <w:sz w:val="26"/>
          <w:szCs w:val="26"/>
          <w:rtl/>
        </w:rPr>
        <w:t xml:space="preserve">4. خريطة التنقل</w:t>
      </w:r>
      <w:bookmarkEnd w:id="470"/>
    </w:p>
    <w:p>
      <w:pPr>
        <w:pStyle w:val="Heading3"/>
        <w:bidi/>
      </w:pPr>
      <w:bookmarkStart w:name="_sec471" w:id="471"/>
      <w:r>
        <w:rPr>
          <w:rFonts w:ascii="Arial" w:cs="Arial" w:eastAsia="Arial" w:hAnsi="Arial"/>
          <w:b/>
          <w:bCs/>
          <w:color w:val="2B5C8A"/>
          <w:sz w:val="23"/>
          <w:szCs w:val="23"/>
          <w:rtl/>
        </w:rPr>
        <w:t xml:space="preserve">4.1 العناوين والفصل بين البوابتين</w:t>
      </w:r>
      <w:bookmarkEnd w:id="471"/>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72" w:id="472"/>
      <w:r>
        <w:rPr>
          <w:rFonts w:ascii="Arial" w:cs="Arial" w:eastAsia="Arial" w:hAnsi="Arial"/>
          <w:b/>
          <w:bCs/>
          <w:color w:val="2B5C8A"/>
          <w:sz w:val="23"/>
          <w:szCs w:val="23"/>
          <w:rtl/>
        </w:rPr>
        <w:t xml:space="preserve">4.2 قشرة بوابة المشترك</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73" w:id="473"/>
      <w:r>
        <w:rPr>
          <w:rFonts w:ascii="Arial" w:cs="Arial" w:eastAsia="Arial" w:hAnsi="Arial"/>
          <w:b/>
          <w:bCs/>
          <w:color w:val="2B5C8A"/>
          <w:sz w:val="23"/>
          <w:szCs w:val="23"/>
          <w:rtl/>
        </w:rPr>
        <w:t xml:space="preserve">4.3 إظهار عناصر القائمة</w:t>
      </w:r>
      <w:bookmarkEnd w:id="473"/>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4" w:id="474"/>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4"/>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5" w:id="475"/>
      <w:r>
        <w:rPr>
          <w:rFonts w:ascii="Arial" w:cs="Arial" w:eastAsia="Arial" w:hAnsi="Arial"/>
          <w:b/>
          <w:bCs/>
          <w:color w:val="2B5C8A"/>
          <w:sz w:val="26"/>
          <w:szCs w:val="26"/>
          <w:rtl/>
        </w:rPr>
        <w:t xml:space="preserve">5. النماذج الأولية منخفضة الدقة</w:t>
      </w:r>
      <w:bookmarkEnd w:id="475"/>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6" w:id="476"/>
      <w:r>
        <w:rPr>
          <w:rFonts w:ascii="Arial" w:cs="Arial" w:eastAsia="Arial" w:hAnsi="Arial"/>
          <w:b/>
          <w:bCs/>
          <w:color w:val="2B5C8A"/>
          <w:sz w:val="23"/>
          <w:szCs w:val="23"/>
          <w:rtl/>
        </w:rPr>
        <w:t xml:space="preserve">5.1 الدخول (SCR-PLT-01)</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7" w:id="477"/>
      <w:r>
        <w:rPr>
          <w:rFonts w:ascii="Arial" w:cs="Arial" w:eastAsia="Arial" w:hAnsi="Arial"/>
          <w:b/>
          <w:bCs/>
          <w:color w:val="2B5C8A"/>
          <w:sz w:val="23"/>
          <w:szCs w:val="23"/>
          <w:rtl/>
        </w:rPr>
        <w:t xml:space="preserve">5.2 التحقق بخطوتين (SCR-PLT-02)</w:t>
      </w:r>
      <w:bookmarkEnd w:id="47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8" w:id="478"/>
      <w:r>
        <w:rPr>
          <w:rFonts w:ascii="Arial" w:cs="Arial" w:eastAsia="Arial" w:hAnsi="Arial"/>
          <w:b/>
          <w:bCs/>
          <w:color w:val="2B5C8A"/>
          <w:sz w:val="23"/>
          <w:szCs w:val="23"/>
          <w:rtl/>
        </w:rPr>
        <w:t xml:space="preserve">5.3 قائمة المستخدمين (SCR-PLT-07)</w:t>
      </w:r>
      <w:bookmarkEnd w:id="47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9" w:id="479"/>
      <w:r>
        <w:rPr>
          <w:rFonts w:ascii="Arial" w:cs="Arial" w:eastAsia="Arial" w:hAnsi="Arial"/>
          <w:b/>
          <w:bCs/>
          <w:color w:val="2B5C8A"/>
          <w:sz w:val="23"/>
          <w:szCs w:val="23"/>
          <w:rtl/>
        </w:rPr>
        <w:t xml:space="preserve">5.4 بطاقة المستخدم: تبويب الأدوار (SCR-PLT-08)</w:t>
      </w:r>
      <w:bookmarkEnd w:id="479"/>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80" w:id="480"/>
      <w:r>
        <w:rPr>
          <w:rFonts w:ascii="Arial" w:cs="Arial" w:eastAsia="Arial" w:hAnsi="Arial"/>
          <w:b/>
          <w:bCs/>
          <w:color w:val="2B5C8A"/>
          <w:sz w:val="23"/>
          <w:szCs w:val="23"/>
          <w:rtl/>
        </w:rPr>
        <w:t xml:space="preserve">5.5 قائمة المشتركين في لوحة المشغّل (SCR-PLT-52)</w:t>
      </w:r>
      <w:bookmarkEnd w:id="48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81" w:id="481"/>
      <w:r>
        <w:rPr>
          <w:rFonts w:ascii="Arial" w:cs="Arial" w:eastAsia="Arial" w:hAnsi="Arial"/>
          <w:b/>
          <w:bCs/>
          <w:color w:val="2B5C8A"/>
          <w:sz w:val="26"/>
          <w:szCs w:val="26"/>
          <w:rtl/>
        </w:rPr>
        <w:t xml:space="preserve">6. قواعد مشتركة للشاشات</w:t>
      </w:r>
      <w:bookmarkEnd w:id="481"/>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82" w:id="482"/>
      <w:r>
        <w:rPr>
          <w:rFonts w:ascii="Arial" w:cs="Arial" w:eastAsia="Arial" w:hAnsi="Arial"/>
          <w:b/>
          <w:bCs/>
          <w:color w:val="2B5C8A"/>
          <w:sz w:val="26"/>
          <w:szCs w:val="26"/>
          <w:rtl/>
        </w:rPr>
        <w:t xml:space="preserve">7. القرارات المطلوبة</w:t>
      </w:r>
      <w:bookmarkEnd w:id="4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83" w:id="483"/>
      <w:r>
        <w:rPr>
          <w:rFonts w:ascii="Arial" w:cs="Arial" w:eastAsia="Arial" w:hAnsi="Arial"/>
          <w:b/>
          <w:bCs/>
          <w:color w:val="2B5C8A"/>
          <w:sz w:val="26"/>
          <w:szCs w:val="26"/>
          <w:rtl/>
        </w:rPr>
        <w:t xml:space="preserve">8. تعارضات وفجوات في المصادر</w:t>
      </w:r>
      <w:bookmarkEnd w:id="483"/>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4" w:id="484"/>
      <w:r>
        <w:rPr>
          <w:rFonts w:ascii="Arial" w:cs="Arial" w:eastAsia="Arial" w:hAnsi="Arial"/>
          <w:b/>
          <w:bCs/>
          <w:color w:val="2B5C8A"/>
          <w:sz w:val="26"/>
          <w:szCs w:val="26"/>
          <w:rtl/>
        </w:rPr>
        <w:t xml:space="preserve">9. التتبع</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10. ملحق S2-ب: شاشات البيانات المالية والتحقق والتقييم (2026-10-23)</w:t>
      </w:r>
      <w:bookmarkEnd w:id="485"/>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المواصفة 12 لا تذكر شاشة للمتطلبات FR-FIN-020 إلى 049 (12m:500-512)، فأضاف الموجز SCR-FIN-06 إلى 09 (S2B-GAP-18). كل الشاشات بالعربية واتجاه اليمين إلى اليسار، والأرقام والتواريخ والرموز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4"/>
        <w:gridCol w:w="3821"/>
        <w:gridCol w:w="2687"/>
        <w:gridCol w:w="1942"/>
      </w:tblGrid>
      <w:tr>
        <w:trPr>
          <w:cantSplit/>
          <w:tblHeader/>
        </w:trPr>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‎/financial-statements‎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والرأس، وشبكة البنود بالإجماليات الحية، واللصق بمعاينة، والوحدات، والإصدارات، ومقاييس التحليل</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الأرصدة الشهرية، والتحويلات، والتأكيد وإعادة الفتح، وإغلاق الفترات</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الصيغ، والتحقق الحي بالموضع، والمعاينة على قائمة، والإصدار والاعتماد والنسخ</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‎/reports/statement-breaches‎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SCR-FIN-01</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الخروقات والإنذارات الناشئة عن القوائم</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SCR-FIN-06</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‎/assessments/:id‎</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‎endorse‎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الذاتي: الدرجات النوعية بمبرراتها، والحساب، والعوامل، والملاحظات، والمعالجات، والتقديم والاعتماد والإعادة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SCR-FIN-07</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‎/presentation-versions‎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المعالجات بخطواتها، والبناء، والاختيار بسبب</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SCR-FIN-08</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‎/assessments/:id/readiness‎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‎/lender-ratings‎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صلاحيات التقييم الثلاث</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والتصديق مع أسباب المنع، وحزمة الأدلة وبصمتها، وتصنيفات البنوك والفرق ومواضع الافتراق والمعايرة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SCR-FIN-09</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‎/provision‎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الخسارة واعتمادها، وفحص المخصص لكل قائمة</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التعهدات ونتائجها و«لماذا هذه النتيجة؟»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 و</w:t>
            </w:r>
            <w:r>
              <w:rPr>
                <w:rFonts w:ascii="Courier New" w:cs="Courier New" w:eastAsia="Courier New" w:hAnsi="Courier New"/>
                <w:b w:val="false"/>
                <w:bCs w:val="false"/>
                <w:color w:val="1F2937"/>
                <w:sz w:val="16"/>
                <w:szCs w:val="16"/>
                <w:shd w:fill="F1F3F5" w:color="auto" w:val="clear"/>
                <w:rtl/>
              </w:rPr>
              <w:t xml:space="preserve">‎/reports/compliance‎</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الامتثال بالقاعدة BR-OBL-010 في تاريخ: اللون وأسبابه، والعائلات، والمقاييس وتقييماتها ومخالفاتها؛ وR-OBL-05 للمجموعة بحسب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 ورسائلها تُترجم من </w:t>
      </w:r>
      <w:r>
        <w:rPr>
          <w:rFonts w:ascii="Courier New" w:cs="Courier New" w:eastAsia="Courier New" w:hAnsi="Courier New"/>
          <w:b w:val="false"/>
          <w:bCs w:val="false"/>
          <w:color w:val="1F2937"/>
          <w:sz w:val="18"/>
          <w:szCs w:val="18"/>
          <w:shd w:fill="F1F3F5" w:color="auto" w:val="clear"/>
          <w:rtl/>
        </w:rPr>
        <w:t xml:space="preserve">‎ar.ts‎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التقييم استرشادي داخلي.</w:t>
      </w:r>
      <w:r>
        <w:rPr>
          <w:rFonts w:ascii="Arial" w:cs="Arial" w:eastAsia="Arial" w:hAnsi="Arial"/>
          <w:b w:val="false"/>
          <w:bCs w:val="false"/>
          <w:sz w:val="21"/>
          <w:szCs w:val="21"/>
          <w:rtl/>
        </w:rPr>
        <w:t xml:space="preserve"> تعرض شاشته في رأسها أنه درجة داخلية على سلّم يحمل رموز موديز، وليس تصنيفًا من الوكالة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w:t>
      </w:r>
    </w:p>
    <w:p>
      <w:pPr>
        <w:bidi/>
        <w:spacing w:after="60" w:before="0"/>
      </w:pPr>
    </w:p>
    <w:p>
      <w:pPr>
        <w:pStyle w:val="Heading1"/>
        <w:bidi/>
      </w:pPr>
      <w:bookmarkStart w:name="_sec486" w:id="486"/>
      <w:r>
        <w:rPr>
          <w:rFonts w:ascii="Arial" w:cs="Arial" w:eastAsia="Arial" w:hAnsi="Arial"/>
          <w:b/>
          <w:bCs/>
          <w:color w:val="1F3A5F"/>
          <w:sz w:val="32"/>
          <w:szCs w:val="32"/>
          <w:rtl/>
        </w:rPr>
        <w:t xml:space="preserve">DOC-B09 — مصفوفة المسؤوليات وسجل ملكية القرارات</w:t>
      </w:r>
      <w:bookmarkEnd w:id="4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1. الغرض والنطاق</w:t>
      </w:r>
      <w:bookmarkEnd w:id="487"/>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8" w:id="488"/>
      <w:r>
        <w:rPr>
          <w:rFonts w:ascii="Arial" w:cs="Arial" w:eastAsia="Arial" w:hAnsi="Arial"/>
          <w:b/>
          <w:bCs/>
          <w:color w:val="2B5C8A"/>
          <w:sz w:val="26"/>
          <w:szCs w:val="26"/>
          <w:rtl/>
        </w:rPr>
        <w:t xml:space="preserve">2. الأدوار</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9" w:id="489"/>
      <w:r>
        <w:rPr>
          <w:rFonts w:ascii="Arial" w:cs="Arial" w:eastAsia="Arial" w:hAnsi="Arial"/>
          <w:b/>
          <w:bCs/>
          <w:color w:val="2B5C8A"/>
          <w:sz w:val="26"/>
          <w:szCs w:val="26"/>
          <w:rtl/>
        </w:rPr>
        <w:t xml:space="preserve">3. قواعد الملكية</w:t>
      </w:r>
      <w:bookmarkEnd w:id="489"/>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90" w:id="490"/>
      <w:r>
        <w:rPr>
          <w:rFonts w:ascii="Arial" w:cs="Arial" w:eastAsia="Arial" w:hAnsi="Arial"/>
          <w:b/>
          <w:bCs/>
          <w:color w:val="2B5C8A"/>
          <w:sz w:val="26"/>
          <w:szCs w:val="26"/>
          <w:rtl/>
        </w:rPr>
        <w:t xml:space="preserve">4. بوابة S0</w:t>
      </w:r>
      <w:bookmarkEnd w:id="490"/>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91" w:id="491"/>
      <w:r>
        <w:rPr>
          <w:rFonts w:ascii="Arial" w:cs="Arial" w:eastAsia="Arial" w:hAnsi="Arial"/>
          <w:b/>
          <w:bCs/>
          <w:color w:val="2B5C8A"/>
          <w:sz w:val="26"/>
          <w:szCs w:val="26"/>
          <w:rtl/>
        </w:rPr>
        <w:t xml:space="preserve">5. مصفوفة RACI لوثائق P0</w:t>
      </w:r>
      <w:bookmarkEnd w:id="491"/>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92" w:id="492"/>
      <w:r>
        <w:rPr>
          <w:rFonts w:ascii="Arial" w:cs="Arial" w:eastAsia="Arial" w:hAnsi="Arial"/>
          <w:b/>
          <w:bCs/>
          <w:color w:val="2B5C8A"/>
          <w:sz w:val="26"/>
          <w:szCs w:val="26"/>
          <w:rtl/>
        </w:rPr>
        <w:t xml:space="preserve">6. سجل ملكية القرارات</w:t>
      </w:r>
      <w:bookmarkEnd w:id="492"/>
    </w:p>
    <w:p>
      <w:pPr>
        <w:pStyle w:val="Heading3"/>
        <w:bidi/>
      </w:pPr>
      <w:bookmarkStart w:name="_sec493" w:id="493"/>
      <w:r>
        <w:rPr>
          <w:rFonts w:ascii="Arial" w:cs="Arial" w:eastAsia="Arial" w:hAnsi="Arial"/>
          <w:b/>
          <w:bCs/>
          <w:color w:val="2B5C8A"/>
          <w:sz w:val="23"/>
          <w:szCs w:val="23"/>
          <w:rtl/>
        </w:rPr>
        <w:t xml:space="preserve">6.1 القرارات في tools/dbgen/erd_open_items.py</w:t>
      </w:r>
      <w:bookmarkEnd w:id="493"/>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6.2 البنود في docs/20-database-design.md §16</w:t>
      </w:r>
      <w:bookmarkEnd w:id="494"/>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5" w:id="495"/>
      <w:r>
        <w:rPr>
          <w:rFonts w:ascii="Arial" w:cs="Arial" w:eastAsia="Arial" w:hAnsi="Arial"/>
          <w:b/>
          <w:bCs/>
          <w:color w:val="2B5C8A"/>
          <w:sz w:val="26"/>
          <w:szCs w:val="26"/>
          <w:rtl/>
        </w:rPr>
        <w:t xml:space="preserve">7. الأسئلة المفتوحة الـ155</w:t>
      </w:r>
      <w:bookmarkEnd w:id="495"/>
    </w:p>
    <w:p>
      <w:pPr>
        <w:pStyle w:val="Heading3"/>
        <w:bidi/>
      </w:pPr>
      <w:bookmarkStart w:name="_sec496" w:id="496"/>
      <w:r>
        <w:rPr>
          <w:rFonts w:ascii="Arial" w:cs="Arial" w:eastAsia="Arial" w:hAnsi="Arial"/>
          <w:b/>
          <w:bCs/>
          <w:color w:val="2B5C8A"/>
          <w:sz w:val="23"/>
          <w:szCs w:val="23"/>
          <w:rtl/>
        </w:rPr>
        <w:t xml:space="preserve">7.1 الاقتراح</w:t>
      </w:r>
      <w:bookmarkEnd w:id="496"/>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7" w:id="497"/>
      <w:r>
        <w:rPr>
          <w:rFonts w:ascii="Arial" w:cs="Arial" w:eastAsia="Arial" w:hAnsi="Arial"/>
          <w:b/>
          <w:bCs/>
          <w:color w:val="2B5C8A"/>
          <w:sz w:val="23"/>
          <w:szCs w:val="23"/>
          <w:rtl/>
        </w:rPr>
        <w:t xml:space="preserve">7.2 العدد بحسب الوحدة</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8" w:id="498"/>
      <w:r>
        <w:rPr>
          <w:rFonts w:ascii="Arial" w:cs="Arial" w:eastAsia="Arial" w:hAnsi="Arial"/>
          <w:b/>
          <w:bCs/>
          <w:color w:val="2B5C8A"/>
          <w:sz w:val="23"/>
          <w:szCs w:val="23"/>
          <w:rtl/>
        </w:rPr>
        <w:t xml:space="preserve">7.3 العدد بحسب الشريحة (المفتوح)</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7.4 أسئلة S0 التسعة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500" w:id="500"/>
      <w:r>
        <w:rPr>
          <w:rFonts w:ascii="Arial" w:cs="Arial" w:eastAsia="Arial" w:hAnsi="Arial"/>
          <w:b/>
          <w:bCs/>
          <w:color w:val="2B5C8A"/>
          <w:sz w:val="23"/>
          <w:szCs w:val="23"/>
          <w:rtl/>
        </w:rPr>
        <w:t xml:space="preserve">7.5 المالك المقترح لكل بادئة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501" w:id="501"/>
      <w:r>
        <w:rPr>
          <w:rFonts w:ascii="Arial" w:cs="Arial" w:eastAsia="Arial" w:hAnsi="Arial"/>
          <w:b/>
          <w:bCs/>
          <w:color w:val="2B5C8A"/>
          <w:sz w:val="26"/>
          <w:szCs w:val="26"/>
          <w:rtl/>
        </w:rPr>
        <w:t xml:space="preserve">8. القرارات المطلوبة</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9. تعارضات وفجوات في المصادر</w:t>
      </w:r>
      <w:bookmarkEnd w:id="502"/>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503" w:id="503"/>
      <w:r>
        <w:rPr>
          <w:rFonts w:ascii="Arial" w:cs="Arial" w:eastAsia="Arial" w:hAnsi="Arial"/>
          <w:b/>
          <w:bCs/>
          <w:color w:val="2B5C8A"/>
          <w:sz w:val="26"/>
          <w:szCs w:val="26"/>
          <w:rtl/>
        </w:rPr>
        <w:t xml:space="preserve">10. التتبع</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504" w:id="504"/>
      <w:r>
        <w:rPr>
          <w:rFonts w:ascii="Arial" w:cs="Arial" w:eastAsia="Arial" w:hAnsi="Arial"/>
          <w:b/>
          <w:bCs/>
          <w:color w:val="1F3A5F"/>
          <w:sz w:val="32"/>
          <w:szCs w:val="32"/>
          <w:rtl/>
        </w:rPr>
        <w:t xml:space="preserve">DOC-B10 — المسرد ثنائي اللغة (English / العربية)</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1. الغرض والنطاق</w:t>
      </w:r>
      <w:bookmarkEnd w:id="505"/>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6" w:id="506"/>
      <w:r>
        <w:rPr>
          <w:rFonts w:ascii="Arial" w:cs="Arial" w:eastAsia="Arial" w:hAnsi="Arial"/>
          <w:b/>
          <w:bCs/>
          <w:color w:val="2B5C8A"/>
          <w:sz w:val="26"/>
          <w:szCs w:val="26"/>
          <w:rtl/>
        </w:rPr>
        <w:t xml:space="preserve">2. المنصة والمشترك</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3. الهوية والدخول والجلسات</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4. المستخدمون والأدوار والصلاحيات</w:t>
      </w:r>
      <w:bookmarkEnd w:id="5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9" w:id="509"/>
      <w:r>
        <w:rPr>
          <w:rFonts w:ascii="Arial" w:cs="Arial" w:eastAsia="Arial" w:hAnsi="Arial"/>
          <w:b/>
          <w:bCs/>
          <w:color w:val="2B5C8A"/>
          <w:sz w:val="26"/>
          <w:szCs w:val="26"/>
          <w:rtl/>
        </w:rPr>
        <w:t xml:space="preserve">5. الإعدادات والترقيم والتدقيق والمستندات</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6. الهيكل المؤسسي والأشخاص (M1)</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7. المجال الأساسي (التسهيلات والاعتمادات والطلبات)</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12" w:id="512"/>
      <w:r>
        <w:rPr>
          <w:rFonts w:ascii="Arial" w:cs="Arial" w:eastAsia="Arial" w:hAnsi="Arial"/>
          <w:b/>
          <w:bCs/>
          <w:color w:val="2B5C8A"/>
          <w:sz w:val="26"/>
          <w:szCs w:val="26"/>
          <w:rtl/>
        </w:rPr>
        <w:t xml:space="preserve">8. رسائل S0</w:t>
      </w:r>
      <w:bookmarkEnd w:id="512"/>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9. قواعد ملفات الموارد</w:t>
      </w:r>
      <w:bookmarkEnd w:id="513"/>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14" w:id="514"/>
      <w:r>
        <w:rPr>
          <w:rFonts w:ascii="Arial" w:cs="Arial" w:eastAsia="Arial" w:hAnsi="Arial"/>
          <w:b/>
          <w:bCs/>
          <w:color w:val="2B5C8A"/>
          <w:sz w:val="26"/>
          <w:szCs w:val="26"/>
          <w:rtl/>
        </w:rPr>
        <w:t xml:space="preserve">10. القرارات المطلوبة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5" w:id="515"/>
      <w:r>
        <w:rPr>
          <w:rFonts w:ascii="Arial" w:cs="Arial" w:eastAsia="Arial" w:hAnsi="Arial"/>
          <w:b/>
          <w:bCs/>
          <w:color w:val="2B5C8A"/>
          <w:sz w:val="26"/>
          <w:szCs w:val="26"/>
          <w:rtl/>
        </w:rPr>
        <w:t xml:space="preserve">11. تعارضات وفجوات في المصادر</w:t>
      </w:r>
      <w:bookmarkEnd w:id="515"/>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6" w:id="516"/>
      <w:r>
        <w:rPr>
          <w:rFonts w:ascii="Arial" w:cs="Arial" w:eastAsia="Arial" w:hAnsi="Arial"/>
          <w:b/>
          <w:bCs/>
          <w:color w:val="2B5C8A"/>
          <w:sz w:val="26"/>
          <w:szCs w:val="26"/>
          <w:rtl/>
        </w:rPr>
        <w:t xml:space="preserve">12. التتبع</w:t>
      </w:r>
      <w:bookmarkEnd w:id="5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7" w:id="517"/>
      <w:r>
        <w:rPr>
          <w:rFonts w:ascii="Arial" w:cs="Arial" w:eastAsia="Arial" w:hAnsi="Arial"/>
          <w:b/>
          <w:bCs/>
          <w:color w:val="1F3A5F"/>
          <w:sz w:val="32"/>
          <w:szCs w:val="32"/>
          <w:rtl/>
        </w:rPr>
        <w:t xml:space="preserve">DOC-B11 — مواصفة البيئات والبناء والإصدار</w:t>
      </w:r>
      <w:bookmarkEnd w:id="5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8" w:id="518"/>
      <w:r>
        <w:rPr>
          <w:rFonts w:ascii="Arial" w:cs="Arial" w:eastAsia="Arial" w:hAnsi="Arial"/>
          <w:b/>
          <w:bCs/>
          <w:color w:val="2B5C8A"/>
          <w:sz w:val="26"/>
          <w:szCs w:val="26"/>
          <w:rtl/>
        </w:rPr>
        <w:t xml:space="preserve">1. الغرض والنطاق</w:t>
      </w:r>
      <w:bookmarkEnd w:id="518"/>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9" w:id="519"/>
      <w:r>
        <w:rPr>
          <w:rFonts w:ascii="Arial" w:cs="Arial" w:eastAsia="Arial" w:hAnsi="Arial"/>
          <w:b/>
          <w:bCs/>
          <w:color w:val="2B5C8A"/>
          <w:sz w:val="26"/>
          <w:szCs w:val="26"/>
          <w:rtl/>
        </w:rPr>
        <w:t xml:space="preserve">2. البيئات</w:t>
      </w:r>
      <w:bookmarkEnd w:id="519"/>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20" w:id="520"/>
      <w:r>
        <w:rPr>
          <w:rFonts w:ascii="Arial" w:cs="Arial" w:eastAsia="Arial" w:hAnsi="Arial"/>
          <w:b/>
          <w:bCs/>
          <w:color w:val="2B5C8A"/>
          <w:sz w:val="26"/>
          <w:szCs w:val="26"/>
          <w:rtl/>
        </w:rPr>
        <w:t xml:space="preserve">3. ما يعمل أين</w:t>
      </w:r>
      <w:bookmarkEnd w:id="5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(tools/ci/db_ci.sh:149، الخطوة 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21" w:id="521"/>
      <w:r>
        <w:rPr>
          <w:rFonts w:ascii="Arial" w:cs="Arial" w:eastAsia="Arial" w:hAnsi="Arial"/>
          <w:b/>
          <w:bCs/>
          <w:color w:val="2B5C8A"/>
          <w:sz w:val="26"/>
          <w:szCs w:val="26"/>
          <w:rtl/>
        </w:rPr>
        <w:t xml:space="preserve">4. التفرّع والإصدارات</w:t>
      </w:r>
      <w:bookmarkEnd w:id="521"/>
    </w:p>
    <w:p>
      <w:pPr>
        <w:pStyle w:val="Heading3"/>
        <w:bidi/>
      </w:pPr>
      <w:bookmarkStart w:name="_sec522" w:id="522"/>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22"/>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23" w:id="523"/>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23"/>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24" w:id="524"/>
      <w:r>
        <w:rPr>
          <w:rFonts w:ascii="Arial" w:cs="Arial" w:eastAsia="Arial" w:hAnsi="Arial"/>
          <w:b/>
          <w:bCs/>
          <w:color w:val="2B5C8A"/>
          <w:sz w:val="23"/>
          <w:szCs w:val="23"/>
          <w:rtl/>
        </w:rPr>
        <w:t xml:space="preserve">4.3 سجل الإصدارات (FR-PLT-045، البند 1)</w:t>
      </w:r>
      <w:bookmarkEnd w:id="524"/>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5" w:id="525"/>
      <w:r>
        <w:rPr>
          <w:rFonts w:ascii="Arial" w:cs="Arial" w:eastAsia="Arial" w:hAnsi="Arial"/>
          <w:b/>
          <w:bCs/>
          <w:color w:val="2B5C8A"/>
          <w:sz w:val="26"/>
          <w:szCs w:val="26"/>
          <w:rtl/>
        </w:rPr>
        <w:t xml:space="preserve">5. خط البناء</w:t>
      </w:r>
      <w:bookmarkEnd w:id="525"/>
    </w:p>
    <w:p>
      <w:pPr>
        <w:pStyle w:val="Heading3"/>
        <w:bidi/>
      </w:pPr>
      <w:bookmarkStart w:name="_sec526" w:id="526"/>
      <w:r>
        <w:rPr>
          <w:rFonts w:ascii="Arial" w:cs="Arial" w:eastAsia="Arial" w:hAnsi="Arial"/>
          <w:b/>
          <w:bCs/>
          <w:color w:val="2B5C8A"/>
          <w:sz w:val="23"/>
          <w:szCs w:val="23"/>
          <w:rtl/>
        </w:rPr>
        <w:t xml:space="preserve">5.1 خط القاعدة القائم</w:t>
      </w:r>
      <w:bookmarkEnd w:id="526"/>
    </w:p>
    <w:p>
      <w:pPr>
        <w:bidi/>
        <w:spacing w:after="110" w:before="0" w:line="312"/>
      </w:pPr>
      <w:r>
        <w:rPr>
          <w:rFonts w:ascii="Arial" w:cs="Arial" w:eastAsia="Arial" w:hAnsi="Arial"/>
          <w:b w:val="false"/>
          <w:bCs w:val="false"/>
          <w:sz w:val="21"/>
          <w:szCs w:val="21"/>
          <w:rtl/>
        </w:rPr>
        <w:t xml:space="preserve">الخطوات الـ34 من 0 إلى 24 (ومعها 4b و19b–19d و22b–22f)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(DQ-B01-3).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يعمل فيها الآن (tools/ci/db_ci.sh:104-105).</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7" w:id="527"/>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8" w:id="528"/>
      <w:r>
        <w:rPr>
          <w:rFonts w:ascii="Arial" w:cs="Arial" w:eastAsia="Arial" w:hAnsi="Arial"/>
          <w:b/>
          <w:bCs/>
          <w:color w:val="2B5C8A"/>
          <w:sz w:val="23"/>
          <w:szCs w:val="23"/>
          <w:rtl/>
        </w:rPr>
        <w:t xml:space="preserve">5.3 المهمة الأسبوعية (FR-PLT-045، البند 3)</w:t>
      </w:r>
      <w:bookmarkEnd w:id="528"/>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9" w:id="529"/>
      <w:r>
        <w:rPr>
          <w:rFonts w:ascii="Arial" w:cs="Arial" w:eastAsia="Arial" w:hAnsi="Arial"/>
          <w:b/>
          <w:bCs/>
          <w:color w:val="2B5C8A"/>
          <w:sz w:val="26"/>
          <w:szCs w:val="26"/>
          <w:rtl/>
        </w:rPr>
        <w:t xml:space="preserve">6. استراتيجية ترحيل القاعدة</w:t>
      </w:r>
      <w:bookmarkEnd w:id="529"/>
    </w:p>
    <w:p>
      <w:pPr>
        <w:pStyle w:val="Heading3"/>
        <w:bidi/>
      </w:pPr>
      <w:bookmarkStart w:name="_sec530" w:id="530"/>
      <w:r>
        <w:rPr>
          <w:rFonts w:ascii="Arial" w:cs="Arial" w:eastAsia="Arial" w:hAnsi="Arial"/>
          <w:b/>
          <w:bCs/>
          <w:color w:val="2B5C8A"/>
          <w:sz w:val="23"/>
          <w:szCs w:val="23"/>
          <w:rtl/>
        </w:rPr>
        <w:t xml:space="preserve">6.1 الوضع اليوم</w:t>
      </w:r>
      <w:bookmarkEnd w:id="530"/>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كانت وثيقة القاعدة تقر بأنه «لا يوجد بعدُ مسار ترحيل بين الإصدارات» وتقترح أداة ترحيل مثل DbUp أو Flyway (O-2).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صار O-2 محلولًا (docs/20-database-design.md:627، ADR 0034):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31" w:id="531"/>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31"/>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بُني بدله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بالدفتر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 ADR 0034)، ويمكن لـDbUp أن يحلّ محله لاحقًا على المجلد والدفتر نفسيهما.</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32" w:id="532"/>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32"/>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3"/>
        <w:bidi/>
      </w:pPr>
      <w:bookmarkStart w:name="_sec533" w:id="533"/>
      <w:r>
        <w:rPr>
          <w:rFonts w:ascii="Arial" w:cs="Arial" w:eastAsia="Arial" w:hAnsi="Arial"/>
          <w:b/>
          <w:bCs/>
          <w:color w:val="2B5C8A"/>
          <w:sz w:val="23"/>
          <w:szCs w:val="23"/>
          <w:rtl/>
        </w:rPr>
        <w:t xml:space="preserve">6.4 ما بُني في 2026-10-21 (ADR 0034) </w:t>
      </w:r>
      <w:r>
        <w:rPr>
          <w:rFonts w:ascii="Segoe UI Emoji" w:cs="Segoe UI Emoji" w:eastAsia="Segoe UI Emoji" w:hAnsi="Segoe UI Emoji"/>
          <w:sz w:val="23"/>
          <w:szCs w:val="23"/>
          <w:rtl/>
        </w:rPr>
        <w:t xml:space="preserve">✅</w:t>
      </w:r>
      <w:bookmarkEnd w:id="533"/>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2"/>
        <w:bidi/>
      </w:pPr>
      <w:bookmarkStart w:name="_sec534" w:id="534"/>
      <w:r>
        <w:rPr>
          <w:rFonts w:ascii="Arial" w:cs="Arial" w:eastAsia="Arial" w:hAnsi="Arial"/>
          <w:b/>
          <w:bCs/>
          <w:color w:val="2B5C8A"/>
          <w:sz w:val="26"/>
          <w:szCs w:val="26"/>
          <w:rtl/>
        </w:rPr>
        <w:t xml:space="preserve">7. بوابات الإصدار</w:t>
      </w:r>
      <w:bookmarkEnd w:id="5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48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35" w:id="535"/>
      <w:r>
        <w:rPr>
          <w:rFonts w:ascii="Arial" w:cs="Arial" w:eastAsia="Arial" w:hAnsi="Arial"/>
          <w:b/>
          <w:bCs/>
          <w:color w:val="2B5C8A"/>
          <w:sz w:val="26"/>
          <w:szCs w:val="26"/>
          <w:rtl/>
        </w:rPr>
        <w:t xml:space="preserve">8. التراجع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6" w:id="536"/>
      <w:r>
        <w:rPr>
          <w:rFonts w:ascii="Arial" w:cs="Arial" w:eastAsia="Arial" w:hAnsi="Arial"/>
          <w:b/>
          <w:bCs/>
          <w:color w:val="2B5C8A"/>
          <w:sz w:val="26"/>
          <w:szCs w:val="26"/>
          <w:rtl/>
        </w:rPr>
        <w:t xml:space="preserve">9. الإعدادات والأسرار لكل بيئة</w:t>
      </w:r>
      <w:bookmarkEnd w:id="536"/>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CI (tools/ci/db_ci.sh:163، ADR 0010)</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7" w:id="537"/>
      <w:r>
        <w:rPr>
          <w:rFonts w:ascii="Arial" w:cs="Arial" w:eastAsia="Arial" w:hAnsi="Arial"/>
          <w:b/>
          <w:bCs/>
          <w:color w:val="2B5C8A"/>
          <w:sz w:val="26"/>
          <w:szCs w:val="26"/>
          <w:rtl/>
        </w:rPr>
        <w:t xml:space="preserve">10. البيانات في البيئات غير الإنتاجية</w:t>
      </w:r>
      <w:bookmarkEnd w:id="537"/>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8" w:id="538"/>
      <w:r>
        <w:rPr>
          <w:rFonts w:ascii="Arial" w:cs="Arial" w:eastAsia="Arial" w:hAnsi="Arial"/>
          <w:b/>
          <w:bCs/>
          <w:color w:val="2B5C8A"/>
          <w:sz w:val="26"/>
          <w:szCs w:val="26"/>
          <w:rtl/>
        </w:rPr>
        <w:t xml:space="preserve">11. حزمة النشر القابلة للنقل</w:t>
      </w:r>
      <w:bookmarkEnd w:id="538"/>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9" w:id="539"/>
      <w:r>
        <w:rPr>
          <w:rFonts w:ascii="Arial" w:cs="Arial" w:eastAsia="Arial" w:hAnsi="Arial"/>
          <w:b/>
          <w:bCs/>
          <w:color w:val="2B5C8A"/>
          <w:sz w:val="26"/>
          <w:szCs w:val="26"/>
          <w:rtl/>
        </w:rPr>
        <w:t xml:space="preserve">12. القرارات المطلوبة</w:t>
      </w:r>
      <w:bookmarkEnd w:id="5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(§6.4)، ويمكن لـDbUp أن يحلّ محله لاحقًا على المجلد والدفتر نفسيهما</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40" w:id="540"/>
      <w:r>
        <w:rPr>
          <w:rFonts w:ascii="Arial" w:cs="Arial" w:eastAsia="Arial" w:hAnsi="Arial"/>
          <w:b/>
          <w:bCs/>
          <w:color w:val="2B5C8A"/>
          <w:sz w:val="26"/>
          <w:szCs w:val="26"/>
          <w:rtl/>
        </w:rPr>
        <w:t xml:space="preserve">13. تعارضات وفجوات في المصادر</w:t>
      </w:r>
      <w:bookmarkEnd w:id="540"/>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41" w:id="541"/>
      <w:r>
        <w:rPr>
          <w:rFonts w:ascii="Arial" w:cs="Arial" w:eastAsia="Arial" w:hAnsi="Arial"/>
          <w:b/>
          <w:bCs/>
          <w:color w:val="2B5C8A"/>
          <w:sz w:val="26"/>
          <w:szCs w:val="26"/>
          <w:rtl/>
        </w:rPr>
        <w:t xml:space="preserve">14. التتبع</w:t>
      </w:r>
      <w:bookmarkEnd w:id="5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e4b00acf48a2eb8e3a857e07c84f4e724aa9f63e.png"/><Relationship Id="rId33" Type="http://schemas.openxmlformats.org/officeDocument/2006/relationships/image" Target="media/88c79b426f177c6717eee0572106a87f4dafc00f.png"/><Relationship Id="rId34" Type="http://schemas.openxmlformats.org/officeDocument/2006/relationships/image" Target="media/37ee500171a222f3f0e2a41c6579c7ffae847e16.png"/><Relationship Id="rId35" Type="http://schemas.openxmlformats.org/officeDocument/2006/relationships/image" Target="media/a2623f5ad6ca7c4139e352dd70b31b51d9706745.png"/><Relationship Id="rId36" Type="http://schemas.openxmlformats.org/officeDocument/2006/relationships/image" Target="media/30e29ec8355d1a7a3154e15604d8e620676edfab.png"/><Relationship Id="rId37" Type="http://schemas.openxmlformats.org/officeDocument/2006/relationships/image" Target="media/0eee58419857259a0afac1146a2924d74a9275c9.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aac54e1cbca0647e2bee615414bfa98cd4806890.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a9587711c10ac0038f38199fd19c512f013733fb.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2026-10-23T06:10:37.160Z</dcterms:created>
  <dcterms:modified xsi:type="dcterms:W3CDTF">2026-10-23T06:10:37.160Z</dcterms:modified>
</cp:coreProperties>
</file>

<file path=docProps/custom.xml><?xml version="1.0" encoding="utf-8"?>
<Properties xmlns="http://schemas.openxmlformats.org/officeDocument/2006/custom-properties" xmlns:vt="http://schemas.openxmlformats.org/officeDocument/2006/docPropsVTypes"/>
</file>