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2026-10-18)؛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لـ31 عمودًا مقيّدًا (db/generated/tsql/006_sensitive_columns.sql)، ولكل دالة داخلية في rls وsec وplat وcfg (db/static/090_readonly_denies.sql)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ومسار الدعم دخول ثالث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وصفه الواحد في DQ-F01-7 أدناه (DQ-F01-2، DQ-F04-6)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2274"/>
        <w:gridCol w:w="4653"/>
        <w:gridCol w:w="1963"/>
      </w:tblGrid>
      <w:tr>
        <w:trPr>
          <w:cantSplit/>
          <w:tblHeader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مغلقة: وصول الدعم منفّذ كما في DQ-F01-7 أدناه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docs/20-database-design.md:118؛ db/static/036_operator_and_support.sql:486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 (O-12 في 20-database-design)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4"/>
        <w:gridCol w:w="1090"/>
        <w:gridCol w:w="5575"/>
        <w:gridCol w:w="994"/>
        <w:gridCol w:w="1211"/>
      </w:tblGrid>
      <w:tr>
        <w:trPr>
          <w:cantSplit/>
          <w:tblHeader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DQ-F04-6 المعتمدة في اليوم نفسه،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دخول خاص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قراءة بلا الأعمدة المقيّدة ولا كتابة، وتحت مرشحات الصفوف)، يربطه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بمشترك واحد بعد التحقق من جلسة المشغّل بـ MFA ومن 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سارية (db/static/036_operator_and_support.sql:23-32؛ DOC-F04 §6.2؛ DQ-F04-6). هذا هو الوصف المرجعي، وتحيل إليه G-03 وTHR-15 (DOC-S01)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2026-10-23T06:05:28.229Z</dcterms:created>
  <dcterms:modified xsi:type="dcterms:W3CDTF">2026-10-23T06:05:28.229Z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