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المرحلة الثانية: بناء التطبيق — الشريحة S2-ب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التاريخ: 2026-10-23. الطلب 41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‎docs/31‎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والقرار المعماري ADR 0044.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كتب هذا البناء وهذا التقرير وكيلُ ذكاء اصطناعي. وكتب كذلك الحزم الافتراضية والرسائل والحزمة الاصطناعية DS-FIN-C. كلها مقترحة منه، وتحتاج مراجعة الخزينة.</w:t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ما طلبه المالك</w:t>
      </w:r>
      <w:bookmarkEnd w:id="1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طلب المالك: «أعتمد الافتراضات وابدأ». فاعتمد افتراضات S2 وافتراضات S2-ب السبعة عشر (OQ-1 إلى 17 في §4)، وطلب بناء دفعات S2-ب من A إلى H، وإصلاح ما يفشل بعد كل تشغيل للفحص.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سبق البناءَ موجزٌ درس عقد قاعدة البيانات لـ S2-ب، فوجد 26 ثغرة (S2B-GAP-1 إلى 26) و17 سؤالًا.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S2-ب تشمل وحدتين: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البيانات المالية والتحقق.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وفيها: كتالوج البنود، والقوائم وإصداراتها ووحداتها الموحدة، والأرصدة الشهرية، والتحويلات إلى البنوك، وإغلاق الفترات، ومكتبة الصيغ ومحلّلها، واختبارات التعهدات، ومحرك التحقق، والمخالفات الناشئة عنها.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التقييم الائتماني الذاتي.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يُرى من جهة الشركة، وفيه: التقييم ونسخ العرض، والجاهزية أمام جهات التمويل، وتصنيفاتها ومعايرتها، والتصديق، وحزمة الأدلة، ومصفوفة المخصصات.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مسار الخروج (OQ-11 وOQ-17):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AC-FAC-7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بحالة لكل معطى، و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AC-FAC-13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والثاني لوحة امتثال الاتفاقية C في تاريخ ثابت على الحزمتين DS-AGR C وDS-FIN-C.</w:t>
      </w:r>
    </w:p>
    <w:p>
      <w:pPr>
        <w:bidi/>
        <w:spacing w:after="60" w:before="0"/>
      </w:pP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الدفعات</w:t>
      </w:r>
      <w:bookmarkEnd w:id="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9"/>
        <w:gridCol w:w="5549"/>
        <w:gridCol w:w="2466"/>
      </w:tblGrid>
      <w:tr>
        <w:trPr>
          <w:cantSplit/>
          <w:tblHeader/>
        </w:trPr>
        <w:tc>
          <w:tcPr>
            <w:tcW w:type="dxa" w:w="18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الدفعة</w:t>
            </w:r>
          </w:p>
        </w:tc>
        <w:tc>
          <w:tcPr>
            <w:tcW w:type="dxa" w:w="55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المحتوى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الإيداع</w:t>
            </w:r>
          </w:p>
        </w:tc>
      </w:tr>
      <w:tr>
        <w:trPr>
          <w:cantSplit/>
        </w:trPr>
        <w:tc>
          <w:tcPr>
            <w:tcW w:type="dxa" w:w="18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S2B-A</w:t>
            </w:r>
          </w:p>
        </w:tc>
        <w:tc>
          <w:tcPr>
            <w:tcW w:type="dxa" w:w="55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الحزم (FIN.LINES بـ 157 بندًا، وقائمة FLOW_KIND، وNTF.BASE v5، وFIN.FORMULAS v2، وFIN.PROVISION)، والإعدادات، وحراسات 063، وخريطة الأخطاء، وأسماء أحداث الصندوق الصادر، وبوابة وحدة COVENANTS، وتاريخ المشترك المحلي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31a719e</w:t>
            </w:r>
          </w:p>
        </w:tc>
      </w:tr>
      <w:tr>
        <w:trPr>
          <w:cantSplit/>
        </w:trPr>
        <w:tc>
          <w:tcPr>
            <w:tcW w:type="dxa" w:w="18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S2B-B وS2B-C</w:t>
            </w:r>
          </w:p>
        </w:tc>
        <w:tc>
          <w:tcPr>
            <w:tcW w:type="dxa" w:w="55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القوائم وبنودها وإجمالياتها وإصداراتها ووحداتها، وتقديرات الإيراد، والكتالوج. ثم الأرصدة الشهرية والتحويلات وإغلاق الفترة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95d417e</w:t>
            </w:r>
          </w:p>
        </w:tc>
      </w:tr>
      <w:tr>
        <w:trPr>
          <w:cantSplit/>
        </w:trPr>
        <w:tc>
          <w:tcPr>
            <w:tcW w:type="dxa" w:w="18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S2B-D</w:t>
            </w:r>
          </w:p>
        </w:tc>
        <w:tc>
          <w:tcPr>
            <w:tcW w:type="dxa" w:w="55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محلّل الصيغ ومكتبتها، ومقاييس التحليل، وأعمدة التعهد الجديدة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ee3446b</w:t>
            </w:r>
          </w:p>
        </w:tc>
      </w:tr>
      <w:tr>
        <w:trPr>
          <w:cantSplit/>
        </w:trPr>
        <w:tc>
          <w:tcPr>
            <w:tcW w:type="dxa" w:w="18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S2B-E</w:t>
            </w:r>
          </w:p>
        </w:tc>
        <w:tc>
          <w:tcPr>
            <w:tcW w:type="dxa" w:w="55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جدول الاختبارات، ومحرك التحقق، والمخالفات، وJOB-FIN-EVAL، وتقرير R-FIN-05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5ce6dc7</w:t>
            </w:r>
          </w:p>
        </w:tc>
      </w:tr>
      <w:tr>
        <w:trPr>
          <w:cantSplit/>
        </w:trPr>
        <w:tc>
          <w:tcPr>
            <w:tcW w:type="dxa" w:w="18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S2B-F</w:t>
            </w:r>
          </w:p>
        </w:tc>
        <w:tc>
          <w:tcPr>
            <w:tcW w:type="dxa" w:w="55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التقييم الائتماني ونسخ العرض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5a516b4</w:t>
            </w:r>
          </w:p>
        </w:tc>
      </w:tr>
      <w:tr>
        <w:trPr>
          <w:cantSplit/>
        </w:trPr>
        <w:tc>
          <w:tcPr>
            <w:tcW w:type="dxa" w:w="18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S2B-G</w:t>
            </w:r>
          </w:p>
        </w:tc>
        <w:tc>
          <w:tcPr>
            <w:tcW w:type="dxa" w:w="55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ملف الجاهزية، وتصنيفات البنوك والمعايرة، والتصديق، وحزمة الأدلة، ومصفوفة المخصصات، وJOB-FIN-READINESS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dbe5004</w:t>
            </w:r>
          </w:p>
        </w:tc>
      </w:tr>
      <w:tr>
        <w:trPr>
          <w:cantSplit/>
        </w:trPr>
        <w:tc>
          <w:tcPr>
            <w:tcW w:type="dxa" w:w="18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S2B-H</w:t>
            </w:r>
          </w:p>
        </w:tc>
        <w:tc>
          <w:tcPr>
            <w:tcW w:type="dxa" w:w="554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لوحة الامتثال بالقاعدة BR-OBL-010، وR-OBL-05، وAC-FAC-7، وDS-FIN-C، وAC-FAC-13، والمستندات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006cf0e و21cce4d وهذا الإيداع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ما طلبه المالك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الدفعات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ما يعمل الآن</w:t>
        </w:r>
      </w:hyperlink>
    </w:p>
    <w:p>
      <w:pPr>
        <w:bidi/>
        <w:spacing w:after="50" w:before="0"/>
        <w:ind w:left="0"/>
      </w:pPr>
      <w:hyperlink w:history="1" w:anchor="_sec10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الافتراضات المعتمدة</w:t>
        </w:r>
      </w:hyperlink>
    </w:p>
    <w:p>
      <w:pPr>
        <w:bidi/>
        <w:spacing w:after="50" w:before="0"/>
        <w:ind w:left="0"/>
      </w:pPr>
      <w:hyperlink w:history="1" w:anchor="_sec1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الانحرافات عن الموجز والمواصفات</w:t>
        </w:r>
      </w:hyperlink>
    </w:p>
    <w:p>
      <w:pPr>
        <w:bidi/>
        <w:spacing w:after="50" w:before="0"/>
        <w:ind w:left="0"/>
      </w:pPr>
      <w:hyperlink w:history="1" w:anchor="_sec1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6. الاختبار</w:t>
        </w:r>
      </w:hyperlink>
    </w:p>
    <w:p>
      <w:pPr>
        <w:bidi/>
        <w:spacing w:after="50" w:before="0"/>
        <w:ind w:left="0"/>
      </w:pPr>
      <w:hyperlink w:history="1" w:anchor="_sec1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7. ما بقي خارج S2-ب</w:t>
        </w:r>
      </w:hyperlink>
    </w:p>
    <w:p>
      <w:r>
        <w:br w:type="page"/>
      </w: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ما يعمل الآن</w:t>
      </w:r>
      <w:bookmarkEnd w:id="3"/>
    </w:p>
    <w:p>
      <w:pPr>
        <w:pStyle w:val="Heading2"/>
        <w:bidi/>
      </w:pPr>
      <w:bookmarkStart w:name="_sec4" w:id="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3.1 القوائم والأرقام الشهرية (S2B-B وS2B-C)</w:t>
      </w:r>
      <w:bookmarkEnd w:id="4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كتالوج البنود.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فيه 157 بندًا نظاميًا مقفلًا، لكل بند إجماليه وصيغته وإلزامه (OQ-1). تعرض شبكة الإدخال 51 بندًا، والباقي تحت «تفصيل».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القائمة.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رأسها يحمل الفترة والأساس (منفردة أو موحدة) ودرجة التأكيد والعملة والوحدة.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البنود تُحفظ مسودة، والإجماليات تُحسب حية.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فحص التوازن يطلب سببًا عند التقديم.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المقدِّم هو المُعِدّ، والمعتمِد غيره.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الإصدار الجديد يحتاج سببًا، والسابق يصير SUPERSEDED قبل اعتماد اللاحق في المعاملة نفسها.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اللصق من Excel.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يُعرض أولًا في معاينة، وفيها البنود غير المطابقة. ولا يُكتب شيء قبل التأكيد.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القوائم الموحدة.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تُعرف وحداتها: القابضة والتابعة بطريقة التوحيد ونسبة الملكية.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تقدير الإيراد.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يعتمده شخص غير مُعِدّه، والتقدير الجديد يحل محل السابق.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الأرصدة الشهرية.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شبكة لكل حساب وشهر. يُدخلها حامل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‎fin.stats.enter‎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ويؤكدها غيره بصلاحية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‎fin.stats.confirm‎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كما أُدخلت. وإعادة الفتح بسبب.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التحويلات إلى البنك.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مثل الأرصدة، مع أداء الشركة في تاريخ (R-FIN-06).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إغلاق الفترات.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يجري بإجراءات القاعدة 053، والفتح بسبب ومن غير من أغلق.</w:t>
      </w:r>
    </w:p>
    <w:p>
      <w:pPr>
        <w:bidi/>
        <w:spacing w:after="60" w:before="0"/>
      </w:pPr>
    </w:p>
    <w:p>
      <w:pPr>
        <w:pStyle w:val="Heading2"/>
        <w:bidi/>
      </w:pPr>
      <w:bookmarkStart w:name="_sec5" w:id="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3.2 الصيغ والتعهدات (S2B-D)</w:t>
      </w:r>
      <w:bookmarkEnd w:id="5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المحلّل في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‎BankFas.Core‎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نحوه مقيَّد (BR-FIN-009): أرقام، ورموز الكتالوج، وAVG_BAL وMIN_BAL وEND_BAL وFLOW_TO_BANK، والعمليات الأربع، والأقواس، والدوال SUM وAVG وMIN وMAX وPRIOR وABS.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يرفض عند الحفظ، مع الموضع: الحرف الغريب، والرمز المجهول، وأكثر من عشرة مستويات، والقسمة على صفر ثابت.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القسمة على صفر في التشغيل تعطي «غير معرَّف» بسببه.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مكتبة الصيغ.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إصدارات واعتماد من شخص آخر، ونسخ القالب إلى التسهيل. القالب المستعمل في تعهد معتمد لا يُصدَر منه جديد (OQ-3).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مقاييس التحليل.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تُحسب على القائمة المعتمدة.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أعمدة التعهد الجديدة.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هي: طريقة التجميع، ونافذة السنة، وأساس الإيراد، ونطاق الحسابات، ومهلة التقديم، ونسبة الإنذار، وتاريخ النهاية. وأول فترة اختبار تُحسب من نهاية السنة المالية للشركة المختبَرة.</w:t>
      </w:r>
    </w:p>
    <w:p>
      <w:pPr>
        <w:bidi/>
        <w:spacing w:after="60" w:before="0"/>
      </w:pPr>
    </w:p>
    <w:p>
      <w:pPr>
        <w:pStyle w:val="Heading2"/>
        <w:bidi/>
      </w:pPr>
      <w:bookmarkStart w:name="_sec6" w:id="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3.3 الاختبارات والمحرك والمخالفات (S2B-E)</w:t>
      </w:r>
      <w:bookmarkEnd w:id="6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جدول الاختبارات.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اختبار لكل نهاية فترة لكل تعهد مقيس في المراجعة المعتمدة. يمتد 24 شهرًا أو حتى انتهاء التسهيل، أيهما أقرب.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يُكتب عند اعتماد المراجعة، ويُمدّ كل ليلة.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الاختبارات غير المقيَّمة تنتقل إلى صف التعهد الجديد.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خرج من الجدول يُلغى بسببه.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المحرك.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C# (OQ-2).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ما يجمعه: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أحدث إصدار معتمد من الصيغة، والقائمة المعتمدة للفترة بقاعدة الاختيار (لا بديل صامت بين المنفردة والموحدة)، والأرصدة المؤكدة بطريقة التجميع، والتحويلات المؤكدة إلى بنوك التسهيل، والإيراد بقاعدته.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حالات النتيجة:</w:t>
      </w:r>
    </w:p>
    <w:p>
      <w:pPr>
        <w:pStyle w:val="ListParagraph"/>
        <w:numPr>
          <w:ilvl w:val="2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PENDING_DATA قبل الاستحقاق، وMISSING_DATA بعده.</w:t>
      </w:r>
    </w:p>
    <w:p>
      <w:pPr>
        <w:pStyle w:val="ListParagraph"/>
        <w:numPr>
          <w:ilvl w:val="2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NOT_COMPARABLE عند اختلاف العملة.</w:t>
      </w:r>
    </w:p>
    <w:p>
      <w:pPr>
        <w:pStyle w:val="ListParagraph"/>
        <w:numPr>
          <w:ilvl w:val="2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NOT_ASSESSED_NO_THRESHOLD لتعهد بلا حد.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الحكم واللقطة: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يُحكم بالدقة الكاملة، ويُخزَّن بست خانات عشرية. واللقطة تحمل إصدار الصيغة وكل مُدخل، وتتحقق منها القاعدة 044.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المخالفات.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نتيجة BREACH تفتح مخالفة بمدة المعالجة.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كانت هناك مخالفة مفتوحة أو مغلقة للتعهد والفترة، تُعلَّم NeedsReview ولا تُفتح ثانية (OQ-7).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التقييم اللاحق لا يغلق المخالفة أبدًا.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التنبيهات.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CMP.WARNING مرة لكل تقييم. FIN.DATA_MISSING في اليوم التالي للاستحقاق، ثم أسبوعيًا. FIN.BALANCES_MISSING من اليوم السابع، أسبوعيًا.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المهمة JOB-FIN-EVAL.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تعمل بعد JOB-OBL-CALENDAR بتاريخ المشترك المحلي.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مستهلك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‎statement.approved‎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يعيد تقييم ما قرأ قائمة أخرى أو فاته، صفًا جديدًا.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الواجهات: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اختبارات التسهيل.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«لماذا هذه النتيجة؟» بالمدخلات.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إعادة التقييم، والمراجعة، والقيمة اليدوية بدليلها.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التقرير R-FIN-05.</w:t>
      </w:r>
    </w:p>
    <w:p>
      <w:pPr>
        <w:bidi/>
        <w:spacing w:after="60" w:before="0"/>
      </w:pPr>
    </w:p>
    <w:p>
      <w:pPr>
        <w:pStyle w:val="Heading2"/>
        <w:bidi/>
      </w:pPr>
      <w:bookmarkStart w:name="_sec7" w:id="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3.4 التقييم الائتماني (S2B-F)</w:t>
      </w:r>
      <w:bookmarkEnd w:id="7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التقييم.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مسودة على قائمة معتمدة، أو تجريبي على مسودة أو مقدَّمة يبقى مسودة.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مدخلات المحلل مبرَّرة كلها.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الحساب يجريه إجراء القاعدة بأمر مستقل.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التقديم لا يقبل تقييمًا تغيّر ما قرأه بعد حسابه، فيُعاد الحساب أولًا (50063).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الاعتماد أو الإعادة من شخص غير المُعِدّ. واعتماد تقييم لقائمة يجعل المعتمد السابق للقائمة نفسها SUPERSEDED أولًا.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التقرير.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عروض القاعدة بالعربية والإنجليزية: العوامل، والملاحظات، والبنود، وسجلها، وإعادة التصنيف، والمعالجات، والسيناريوهات، والتسهيلات، والخطط، والمحفزات، والتعهدات، ووحدات المجموعة.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أدوات التحليل.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تحليل البنود أفقيًا ورأسيًا، ومقارنة الموازنة بالفعلي.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نسخ العرض.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خطوات معالجة مبرَّرة على قائمة قبل اعتمادها. تُبنى بإجراء القاعدة، ويختارها شخص غير المُعِدّ بسبب مكتوب.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المرجع.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الاختبار CreditTests يعيد عبر الواجهة أرقام المثال المحلول CA2 كما يحسبها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‎credit_reference.py‎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العوامل والدرجة Ba2 والسيولة SGL-3 والنظرة السلبية والمعالجات.</w:t>
      </w:r>
    </w:p>
    <w:p>
      <w:pPr>
        <w:bidi/>
        <w:spacing w:after="60" w:before="0"/>
      </w:pPr>
    </w:p>
    <w:p>
      <w:pPr>
        <w:pStyle w:val="Heading2"/>
        <w:bidi/>
      </w:pPr>
      <w:bookmarkStart w:name="_sec8" w:id="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3.5 الجاهزية والتصديق والمخصصات (S2B-G)</w:t>
      </w:r>
      <w:bookmarkEnd w:id="8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ملف الجاهزية.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مواعيد جهات التمويل ضمن مدة الإنذار بلون الجاهزية، وما سيطلبه البنك، والإجراءات قبل الموعد، والإنذارات الصادرة.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تصنيفات البنوك.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كل تصنيف بجانب تقييم تاريخه، بالفرق واتجاهه ومواضع الافتراق.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يُؤكَّد التصنيف مقابل خطاب البنك بيد شخص آخر.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ويُحذف ما لم يُجمَّد.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والمعايرة تُحسب لكل شركة ولكل بنك.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التصديق.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الشاشة تعرض لماذا لا يحق لمستخدم أن يصادق. والقرار لإجراء القاعدة (50093): يصادق المدقق الداخلي، ويُرفض مدير الخزينة.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حزمة الأدلة.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تُبنى للتقييم المصادَق وتعيد بصمة SHA-256. البناءان المتتاليان يعطيان البصمة نفسها.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نسب الخسارة.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يُعدّها حامل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‎fin.formula.manage‎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ويعتمدها غيره. ومعها فحص المخصص لكل قائمة.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المهمة JOB-FIN-READINESS.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تعمل بعد JOB-FIN-EVAL بتاريخ المشترك المحلي.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الاختبار ReadinessTests يعيد CA23 عبر العامل: إنذار LEAD عشية الموعد، ثم D90 في يومه، ولا شيء عند إعادة التشغيل. ونص الإنذار بلا مبلغ.</w:t>
      </w:r>
    </w:p>
    <w:p>
      <w:pPr>
        <w:bidi/>
        <w:spacing w:after="60" w:before="0"/>
      </w:pPr>
    </w:p>
    <w:p>
      <w:pPr>
        <w:pStyle w:val="Heading2"/>
        <w:bidi/>
      </w:pPr>
      <w:bookmarkStart w:name="_sec9" w:id="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3.6 لوحة الامتثال والخروج (S2B-H)</w:t>
      </w:r>
      <w:bookmarkEnd w:id="9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لوحة التسهيل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‎GET /facilities/{id}/compliance?asOf‎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تطبق القاعدة BR-OBL-010 كاملة: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RED: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مخالفة مفتوحة أو في المعالجة، أو بند متأخر، أو تعهد وصفي غير ممتثل، أو آخر نتيجة BREACH لم يُتنازل عنها.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AMBER: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WARNING، أو MISSING_DATA، أو بند مستحق قريبًا، أو سريان غير مؤكد، أو مراجعة متأخرة.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GREY: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تسهيل بلا التزامات.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GREEN: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غير ذلك.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العدادات: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NOT_ASSESSED وNOT_COMPARABLE عدّادان لا يغيّران اللون.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ما تعرضه اللوحة: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الأسباب بأعدادها، والعائلات، وكل تعهد مقيس بآخر نتيجة وهامش وتقييمات فترته والقوائم التي قرأها ومخالفته.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التقرير R-OBL-05.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يعرض المجموعة بحسب الشركة والبنك واللون، وصفّه يطابق R-OBL-04.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الشاشات: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SCR-OBL-04 على بطاقة التسهيل، وشاشة المجموعة.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SCR-FIN-06 إلى 09: التقييم، ونسخ العرض، والجاهزية والتصنيفات، والمخصصات.</w:t>
      </w:r>
    </w:p>
    <w:p>
      <w:pPr>
        <w:bidi/>
        <w:spacing w:after="60" w:before="0"/>
      </w:pPr>
    </w:p>
    <w:p>
      <w:pPr>
        <w:pStyle w:val="Heading1"/>
        <w:bidi/>
      </w:pPr>
      <w:bookmarkStart w:name="_sec10" w:id="10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الافتراضات المعتمدة</w:t>
      </w:r>
      <w:bookmarkEnd w:id="10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اعتمدها المالك كلها في 2026-10-23 («أعتمد الافتراضات وابدأ»).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4"/>
        <w:gridCol w:w="5206"/>
        <w:gridCol w:w="3014"/>
      </w:tblGrid>
      <w:tr>
        <w:trPr>
          <w:cantSplit/>
          <w:tblHeader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52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</w:t>
            </w:r>
          </w:p>
        </w:tc>
        <w:tc>
          <w:tcPr>
            <w:tcW w:type="dxa" w:w="30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OQ-1</w:t>
            </w:r>
          </w:p>
        </w:tc>
        <w:tc>
          <w:tcPr>
            <w:tcW w:type="dxa" w:w="52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يُثبَّت 157 بندًا نظاميًا، وتعرض الشبكة 51 منها والباقي تفصيل</w:t>
            </w:r>
          </w:p>
        </w:tc>
        <w:tc>
          <w:tcPr>
            <w:tcW w:type="dxa" w:w="30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معتمد 2026-10-23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OQ-2</w:t>
            </w:r>
          </w:p>
        </w:tc>
        <w:tc>
          <w:tcPr>
            <w:tcW w:type="dxa" w:w="52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المحرك في C#: المحلل في Core وجمع المدخلات في Data، والقاعدة تتحقق من اللقطة</w:t>
            </w:r>
          </w:p>
        </w:tc>
        <w:tc>
          <w:tcPr>
            <w:tcW w:type="dxa" w:w="30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معتمد 2026-10-23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OQ-3</w:t>
            </w:r>
          </w:p>
        </w:tc>
        <w:tc>
          <w:tcPr>
            <w:tcW w:type="dxa" w:w="52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يُستعمل أحدث إصدار معتمد في تاريخ التقييم. والقالب المستعمل في تعهد معتمد لا يُصدَر منه جديد، بل يُنسخ للتسهيل</w:t>
            </w:r>
          </w:p>
        </w:tc>
        <w:tc>
          <w:tcPr>
            <w:tcW w:type="dxa" w:w="30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معتمد 2026-10-23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OQ-4</w:t>
            </w:r>
          </w:p>
        </w:tc>
        <w:tc>
          <w:tcPr>
            <w:tcW w:type="dxa" w:w="52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أفق الاختبارات 24 شهرًا أو انتهاء التسهيل، ويُمدّ كل ليلة</w:t>
            </w:r>
          </w:p>
        </w:tc>
        <w:tc>
          <w:tcPr>
            <w:tcW w:type="dxa" w:w="30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معتمد 2026-10-23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OQ-5</w:t>
            </w:r>
          </w:p>
        </w:tc>
        <w:tc>
          <w:tcPr>
            <w:tcW w:type="dxa" w:w="52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ترتيب المهام اليومية: FAC-VALIDITY ثم OBL-CALENDAR ثم FIN-EVAL ثم FIN-READINESS ثم NTF-EXPIRY</w:t>
            </w:r>
          </w:p>
        </w:tc>
        <w:tc>
          <w:tcPr>
            <w:tcW w:type="dxa" w:w="30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معتمد 2026-10-23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OQ-6</w:t>
            </w:r>
          </w:p>
        </w:tc>
        <w:tc>
          <w:tcPr>
            <w:tcW w:type="dxa" w:w="52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إنذار التعهد إشعار داخلي غير إلزامي بخطورة WARNING</w:t>
            </w:r>
          </w:p>
        </w:tc>
        <w:tc>
          <w:tcPr>
            <w:tcW w:type="dxa" w:w="30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معتمد 2026-10-23، وانظر الانحراف 1 في §5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OQ-7</w:t>
            </w:r>
          </w:p>
        </w:tc>
        <w:tc>
          <w:tcPr>
            <w:tcW w:type="dxa" w:w="52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مخالفة ثانية للتعهد والفترة: تُعلَّم القائمة NeedsReview، والقرار لمدير الخزينة</w:t>
            </w:r>
          </w:p>
        </w:tc>
        <w:tc>
          <w:tcPr>
            <w:tcW w:type="dxa" w:w="30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معتمد 2026-10-23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OQ-8</w:t>
            </w:r>
          </w:p>
        </w:tc>
        <w:tc>
          <w:tcPr>
            <w:tcW w:type="dxa" w:w="52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نافذة النسبة من الإيراد وحجم التحويلات هي فترة الاختبار، بالتحويلات المؤكدة بعملة التعهد</w:t>
            </w:r>
          </w:p>
        </w:tc>
        <w:tc>
          <w:tcPr>
            <w:tcW w:type="dxa" w:w="30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معتمد 2026-10-23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OQ-9</w:t>
            </w:r>
          </w:p>
        </w:tc>
        <w:tc>
          <w:tcPr>
            <w:tcW w:type="dxa" w:w="52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طريقة التجميع إلزامية لمتوسط الرصيد. والنطاق الافتراضي كل حسابات الشركة لدى بنوك التسهيل، والنافذة السنة المالية، والإيراد للفترة نفسها</w:t>
            </w:r>
          </w:p>
        </w:tc>
        <w:tc>
          <w:tcPr>
            <w:tcW w:type="dxa" w:w="30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معتمد 2026-10-23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OQ-10</w:t>
            </w:r>
          </w:p>
        </w:tc>
        <w:tc>
          <w:tcPr>
            <w:tcW w:type="dxa" w:w="52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‎fin.*‎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يتطلب وحدة COVENANTS</w:t>
            </w:r>
          </w:p>
        </w:tc>
        <w:tc>
          <w:tcPr>
            <w:tcW w:type="dxa" w:w="30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معتمد 2026-10-23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OQ-11</w:t>
            </w:r>
          </w:p>
        </w:tc>
        <w:tc>
          <w:tcPr>
            <w:tcW w:type="dxa" w:w="52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التقييم الائتماني دفعتان باختبارات على مستوى الواجهة، والخروج اللوحة وAC-FAC-7</w:t>
            </w:r>
          </w:p>
        </w:tc>
        <w:tc>
          <w:tcPr>
            <w:tcW w:type="dxa" w:w="30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معتمد 2026-10-23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OQ-12</w:t>
            </w:r>
          </w:p>
        </w:tc>
        <w:tc>
          <w:tcPr>
            <w:tcW w:type="dxa" w:w="52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يقرأ القوائم من يحمل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‎fin.view‎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 إحدى صلاحيات الإدخال أو الاعتماد أو التحقق أو التقييم. ومدخل الخزينة يرى الأرقام الشهرية لا القوائم</w:t>
            </w:r>
          </w:p>
        </w:tc>
        <w:tc>
          <w:tcPr>
            <w:tcW w:type="dxa" w:w="30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معتمد 2026-10-23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OQ-13</w:t>
            </w:r>
          </w:p>
        </w:tc>
        <w:tc>
          <w:tcPr>
            <w:tcW w:type="dxa" w:w="52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إعادة التقييم بعد الاعتماد عبر الحدث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‎statement.approved‎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لا داخل المعاملة</w:t>
            </w:r>
          </w:p>
        </w:tc>
        <w:tc>
          <w:tcPr>
            <w:tcW w:type="dxa" w:w="30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معتمد 2026-10-23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OQ-14</w:t>
            </w:r>
          </w:p>
        </w:tc>
        <w:tc>
          <w:tcPr>
            <w:tcW w:type="dxa" w:w="52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الأشهر المتوقعة لحساب بلا تاريخ فتح تبدأ من أول شهر له رقم أو أول فترة اختبار</w:t>
            </w:r>
          </w:p>
        </w:tc>
        <w:tc>
          <w:tcPr>
            <w:tcW w:type="dxa" w:w="30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معتمد 2026-10-23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OQ-15</w:t>
            </w:r>
          </w:p>
        </w:tc>
        <w:tc>
          <w:tcPr>
            <w:tcW w:type="dxa" w:w="52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يصير PENDING_DATA في أول تشغيل بعد الاستحقاق MISSING_DATA مع NTF-OBL-05، ثم أسبوعيًا</w:t>
            </w:r>
          </w:p>
        </w:tc>
        <w:tc>
          <w:tcPr>
            <w:tcW w:type="dxa" w:w="30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معتمد 2026-10-23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OQ-16</w:t>
            </w:r>
          </w:p>
        </w:tc>
        <w:tc>
          <w:tcPr>
            <w:tcW w:type="dxa" w:w="52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حساب التقييم داخل الطلب بأمر مستقل (نحو 1.3 ثانية)</w:t>
            </w:r>
          </w:p>
        </w:tc>
        <w:tc>
          <w:tcPr>
            <w:tcW w:type="dxa" w:w="30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معتمد 2026-10-23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OQ-17</w:t>
            </w:r>
          </w:p>
        </w:tc>
        <w:tc>
          <w:tcPr>
            <w:tcW w:type="dxa" w:w="52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الخروج على DS-AGR C مع حزمة DS-FIN-C الاصطناعية، وAC-FAC-7 على تسهيل يبنيه الاختبار</w:t>
            </w:r>
          </w:p>
        </w:tc>
        <w:tc>
          <w:tcPr>
            <w:tcW w:type="dxa" w:w="30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معتمد 2026-10-23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1" w:id="1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الانحرافات عن الموجز والمواصفات</w:t>
      </w:r>
      <w:bookmarkEnd w:id="11"/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إنذار التعهد حدث مستقل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CMP.WARNING في NTF.BASE v5، لا CMP.BREACH بخطورة WARNING. السبب: قالب مستقل لكل حدث أوضح من قالب محايد ذي تسميات. وما زال داخليًا غير إلزامي كما في OQ-6.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مدّ جدول الاختبارات كل ليلة يجري في JOB-FIN-EVAL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قبل التقييم، لا في JOB-OBL-CALENDAR. الترتيب الناتج هو ترتيب OQ-5 نفسه.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NTF-FIN-01 (FIN.BALANCES_MISSING) يعمل داخل JOB-FIN-EVAL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لا في مهمة مستقلة.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القاعدة 044 خُففت لتعهد النسبة من الإيراد بقاعدة MANUAL_ESTIMATE.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تقبل اللقطة بلا قائمة إن سمّت تقديرًا معتمدًا أو مستبدَلًا للشركة المختبَرة.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مثال BR-FIN-017.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يطابق مثال الوتيرة في القاعدة (E6) في تاريخ منتصف مايو، لا 15 أبريل.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اختبار التقديم بعد تغيّر ما قرأه الحساب.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CreditTests يُغيَّر مبرر مُدخل، لا قائمة.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الخطأ 50095 صار 409 EVIDENCE_PACK_REFUSED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لا 404. فرفض حزمة الأدلة لتقييم غير مصادَق ليس «غير موجود».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لم تُبنَ حتى الآن واجهات: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الكفلاء، وتقرير الائتمان، وخطوط المنتجات في التقييم، وقرارات البنك على التسهيل (FR-FIN-034). يقرأ المحرك هذه الجداول إن كانت فيها صفوف. وتُبنى في دفعة لاحقة.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CA23 عبر العامل.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يغطي الاختبار LEAD ثم D90 وعدم التكرار. ويبقى تحوّل AMBER إلى RED داخل المرحلة مغطى في اختبار القاعدة CA23 الحالة 4 وحده. السبب: تسهيل في مدة الإنذار يجعل السيولة SGL-4، فيبدأ أحمر.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اختبار المتصفح لـ S2-ب لم يُكتب.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يغطي الخروجَ اختبارُ الواجهة البرمجية، وتُفحص الشاشات بالأنواع وبالبناء. وتشغيل المتصفح الحالي يبقى لمسار S0.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ساعة التطبيق تُقدَّم مؤقتًا في AC-FAC-13.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أرقام 2027 الشهرية لا تُدخل قبل انقضاء الشهر (V-FIN-02)، فيقدّم الاختبار ساعة التطبيق إلى 2028-02-16 أثناء إدخالها ثم يعيدها.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RED لا يلغيه إلا التنازل.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يُحسب «BREACH غير متنازل عنه» إلا للتنازل، كما في نص BR-OBL-010. فمخالفة عولجت (CURED) وآخر اختبار لها BREACH تبقي اللون أحمر حتى يأتي اختبار أحدث.</w:t>
      </w:r>
    </w:p>
    <w:p>
      <w:pPr>
        <w:bidi/>
        <w:spacing w:after="60" w:before="0"/>
      </w:pPr>
    </w:p>
    <w:p>
      <w:pPr>
        <w:pStyle w:val="Heading1"/>
        <w:bidi/>
      </w:pPr>
      <w:bookmarkStart w:name="_sec12" w:id="1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6. الاختبار</w:t>
      </w:r>
      <w:bookmarkEnd w:id="12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الاختبارات الجديدة في S2-ب، وكلها ناجحة محليًا على قاعدة حقيقية: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اختبارات الوحدة: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المحلل والفترات والحكم.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اختبارات التكامل: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FinanceFoundationTests وStatementTests وMonthlyFigureTests وFormulaTests وCovenantEngineTests وCreditTests وReadinessTests وAcFac7Tests (8 حالات) وS2bExitTests.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AC-FAC-7.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حالة لكل معطى من 12m:762: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نسبة التداول: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1.142857 مخالفة بهامش ‎−0.057143 (‎−4.76%‎). ثم يأتي التنازل. ثم إعادة العرض: التقييم 2 بقيمة 1.219048 وإنذار (1.59%) وNeedsReview.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متوسط الرصيد: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«كل شهر» يعطي 480,000 مخالفة (‎−4%‎)، و«متوسط الفترة» يعطي 600,000 ممتثلًا (‎+20%‎).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النسبة من الإيراد: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14.2% مخالفة ويبقى 800,000، ثم 15.9% إنذار (6%).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D/E بلا حد: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2.0 غير مُقيَّم ولا يغيّر اللون.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نقص البيانات: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PENDING_DATA حتى 2026-10-30، ثم MISSING_DATA مع FIN.DATA_MISSING في 2026-10-31.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فصل المهام: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المُعِدّ لا يعتمد قائمته.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AC-FAC-13.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لوحة C في 2028-02-15: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اللون: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حمراء بأسبابها.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التعهدات المقيسة الثلاثة:</w:t>
      </w:r>
    </w:p>
    <w:p>
      <w:pPr>
        <w:pStyle w:val="ListParagraph"/>
        <w:numPr>
          <w:ilvl w:val="2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النسبة من الإيراد: 14.2% مخالفة غير متنازل عنها.</w:t>
      </w:r>
    </w:p>
    <w:p>
      <w:pPr>
        <w:pStyle w:val="ListParagraph"/>
        <w:numPr>
          <w:ilvl w:val="2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صافي القيمة الملموسة: أعيد تقييمها بعد إعادة العرض، 330,000,000 ممتثلة بالتقييم 2، ومخالفتها معلَّمة للمراجعة.</w:t>
      </w:r>
    </w:p>
    <w:p>
      <w:pPr>
        <w:pStyle w:val="ListParagraph"/>
        <w:numPr>
          <w:ilvl w:val="2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متوسط الرصيد: 630,000 ممتثل.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ما يكمّل اللوحة: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العدادات بحسب العائلة، والنزول إلى مدخلات الاختبار.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 والتسهيل الفارغ: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تعهدات D الثلاثة غير مُقيَّمة ولا تغيّر اللون، وتسهيل بلا التزامات رمادي.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التقرير والزمن: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R-OBL-05 يطابق R-OBL-04، والاستجابة دون ثانيتين.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الفحص المحلي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‎tools/ci/app_ci.sh‎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على الإيداع 21cce4d نجح كاملًا: 106 اختبارات وحدة، و80 اختبار تكامل على قاعدة حقيقية، واختبار المتصفح.</w:t>
      </w:r>
    </w:p>
    <w:p>
      <w:pPr>
        <w:bidi/>
        <w:spacing w:after="60" w:before="0"/>
      </w:pPr>
    </w:p>
    <w:p>
      <w:pPr>
        <w:pStyle w:val="Heading1"/>
        <w:bidi/>
      </w:pPr>
      <w:bookmarkStart w:name="_sec13" w:id="1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7. ما بقي خارج S2-ب</w:t>
      </w:r>
      <w:bookmarkEnd w:id="13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واجهات الكفلاء، وتقرير الائتمان، وخطوط المنتجات، وقرارات البنك (الانحراف 8).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FR-OBL-015: تحذير الامتثال في الطلبات، لـ S3.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الربط بنظام تصنيف خارجي، واستيراد القوائم من نظام محاسبي.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أدوار المُعِدّ والمراجع والمعتمِد لحزمة DS-FIN-C تُوقَّع قبل UAT، كما في DS-AGR.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الفحص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‎scripts/check_language.py‎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سير العمل «CI» الجذري يفشل على 382 ملفًا من مشروع آخر في المستودع. هذا الفشل سابق لهذه الشريحة وخارج نطاقها.</w:t>
      </w:r>
    </w:p>
    <w:p>
      <w:pPr>
        <w:bidi/>
        <w:spacing w:after="6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BankFas — بناء الشريحة S2-ب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المرحلة الثانية: بناء التطبيق — الشريحة S2-ب</dc:title>
  <dc:creator>Claude</dc:creator>
  <dc:description>BankFas database design document</dc:description>
  <cp:lastModifiedBy>Un-named</cp:lastModifiedBy>
  <cp:revision>1</cp:revision>
  <dcterms:created xsi:type="dcterms:W3CDTF">2026-10-23T06:05:16.465Z</dcterms:created>
  <dcterms:modified xsi:type="dcterms:W3CDTF">2026-10-23T06:05:16.465Z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