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DOC-B02 — سجل سيناريوهات القبول للشريحتين S0 وS1</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DOC-B02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 (BA lead) مع قائد ضمان الجودة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 لسجل S0 وS1، والباقي قبل S2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FR في S0 وS1 من PLT وORG وPTY وINS وACC وCAT وNTF (146 متطلبًا)، وخروج S0 وS1</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DOC-B01، DOC-B03، DOC-B04، DOC-B05، DOC-B07، DOC-B08، DOC-F04، DOC-F05</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 docs/10-detailed-analysis/10-m0-m1-platform-organization.md، docs/10-detailed-analysis/11-m2-m4-institutions-accounts-catalogs.md، docs/10-detailed-analysis/13-m6-workflow-engine-notifications.md، docs/10-detailed-analysis/91-requirements-index.md، db/tests/tenant_isolation_tests.sql، docs/20-database-design.md</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الغرض والنطاق</w:t>
        </w:r>
      </w:hyperlink>
    </w:p>
    <w:p>
      <w:pPr>
        <w:bidi/>
        <w:spacing w:after="50" w:before="0"/>
        <w:ind w:left="0"/>
      </w:pPr>
      <w:hyperlink w:history="1" w:anchor="_sec2">
        <w:r>
          <w:rPr>
            <w:rFonts w:ascii="Arial" w:cs="Arial" w:eastAsia="Arial" w:hAnsi="Arial"/>
            <w:b/>
            <w:bCs/>
            <w:color w:val="1F3A5F"/>
            <w:sz w:val="20"/>
            <w:szCs w:val="20"/>
            <w:rtl/>
          </w:rPr>
          <w:t xml:space="preserve">2. السجل</w:t>
        </w:r>
      </w:hyperlink>
    </w:p>
    <w:p>
      <w:pPr>
        <w:bidi/>
        <w:spacing w:after="50" w:before="0"/>
        <w:ind w:left="0"/>
      </w:pPr>
      <w:hyperlink w:history="1" w:anchor="_sec5">
        <w:r>
          <w:rPr>
            <w:rFonts w:ascii="Arial" w:cs="Arial" w:eastAsia="Arial" w:hAnsi="Arial"/>
            <w:b/>
            <w:bCs/>
            <w:color w:val="1F3A5F"/>
            <w:sz w:val="20"/>
            <w:szCs w:val="20"/>
            <w:rtl/>
          </w:rPr>
          <w:t xml:space="preserve">3. نصوص السيناريوهات الجديدة</w:t>
        </w:r>
      </w:hyperlink>
    </w:p>
    <w:p>
      <w:pPr>
        <w:bidi/>
        <w:spacing w:after="50" w:before="0"/>
        <w:ind w:left="0"/>
      </w:pPr>
      <w:hyperlink w:history="1" w:anchor="_sec13">
        <w:r>
          <w:rPr>
            <w:rFonts w:ascii="Arial" w:cs="Arial" w:eastAsia="Arial" w:hAnsi="Arial"/>
            <w:b/>
            <w:bCs/>
            <w:color w:val="1F3A5F"/>
            <w:sz w:val="20"/>
            <w:szCs w:val="20"/>
            <w:rtl/>
          </w:rPr>
          <w:t xml:space="preserve">4. معايير الخروج المرتبطة</w:t>
        </w:r>
      </w:hyperlink>
    </w:p>
    <w:p>
      <w:pPr>
        <w:bidi/>
        <w:spacing w:after="50" w:before="0"/>
        <w:ind w:left="0"/>
      </w:pPr>
      <w:hyperlink w:history="1" w:anchor="_sec14">
        <w:r>
          <w:rPr>
            <w:rFonts w:ascii="Arial" w:cs="Arial" w:eastAsia="Arial" w:hAnsi="Arial"/>
            <w:b/>
            <w:bCs/>
            <w:color w:val="1F3A5F"/>
            <w:sz w:val="20"/>
            <w:szCs w:val="20"/>
            <w:rtl/>
          </w:rPr>
          <w:t xml:space="preserve">5. جدول التغطية: المتطلب إلى السيناريو</w:t>
        </w:r>
      </w:hyperlink>
    </w:p>
    <w:p>
      <w:pPr>
        <w:bidi/>
        <w:spacing w:after="50" w:before="0"/>
        <w:ind w:left="0"/>
      </w:pPr>
      <w:hyperlink w:history="1" w:anchor="_sec22">
        <w:r>
          <w:rPr>
            <w:rFonts w:ascii="Arial" w:cs="Arial" w:eastAsia="Arial" w:hAnsi="Arial"/>
            <w:b/>
            <w:bCs/>
            <w:color w:val="1F3A5F"/>
            <w:sz w:val="20"/>
            <w:szCs w:val="20"/>
            <w:rtl/>
          </w:rPr>
          <w:t xml:space="preserve">6. القرارات المطلوبة</w:t>
        </w:r>
      </w:hyperlink>
    </w:p>
    <w:p>
      <w:pPr>
        <w:bidi/>
        <w:spacing w:after="50" w:before="0"/>
        <w:ind w:left="0"/>
      </w:pPr>
      <w:hyperlink w:history="1" w:anchor="_sec23">
        <w:r>
          <w:rPr>
            <w:rFonts w:ascii="Arial" w:cs="Arial" w:eastAsia="Arial" w:hAnsi="Arial"/>
            <w:b/>
            <w:bCs/>
            <w:color w:val="1F3A5F"/>
            <w:sz w:val="20"/>
            <w:szCs w:val="20"/>
            <w:rtl/>
          </w:rPr>
          <w:t xml:space="preserve">7. تعارضات وفجوات في المصادر</w:t>
        </w:r>
      </w:hyperlink>
    </w:p>
    <w:p>
      <w:pPr>
        <w:bidi/>
        <w:spacing w:after="50" w:before="0"/>
        <w:ind w:left="0"/>
      </w:pPr>
      <w:hyperlink w:history="1" w:anchor="_sec24">
        <w:r>
          <w:rPr>
            <w:rFonts w:ascii="Arial" w:cs="Arial" w:eastAsia="Arial" w:hAnsi="Arial"/>
            <w:b/>
            <w:bCs/>
            <w:color w:val="1F3A5F"/>
            <w:sz w:val="20"/>
            <w:szCs w:val="20"/>
            <w:rtl/>
          </w:rPr>
          <w:t xml:space="preserve">8. التتبع</w:t>
        </w:r>
      </w:hyperlink>
    </w:p>
    <w:p>
      <w:r>
        <w:br w:type="page"/>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bCs/>
          <w:sz w:val="20"/>
          <w:szCs w:val="20"/>
          <w:rtl/>
        </w:rPr>
        <w:t xml:space="preserve">تحديث التنفيذ (2026-10-12):</w:t>
      </w:r>
      <w:r>
        <w:rPr>
          <w:rFonts w:ascii="Arial" w:cs="Arial" w:eastAsia="Arial" w:hAnsi="Arial"/>
          <w:b w:val="false"/>
          <w:bCs w:val="false"/>
          <w:sz w:val="20"/>
          <w:szCs w:val="20"/>
          <w:rtl/>
        </w:rPr>
        <w:t xml:space="preserve"> AC-PLT-3 مؤتمت في القاعدة (docs/adr/0005-document-numbering-and-reference-seeds.md، db/static/039_numbering.sql) ويمر في CI: الحالة N2 في db/tests/numbering_tests.sql تعطي </w:t>
      </w:r>
      <w:r>
        <w:rPr>
          <w:rFonts w:ascii="Courier New" w:cs="Courier New" w:eastAsia="Courier New" w:hAnsi="Courier New"/>
          <w:b w:val="false"/>
          <w:bCs w:val="false"/>
          <w:color w:val="1F2937"/>
          <w:sz w:val="18"/>
          <w:szCs w:val="18"/>
          <w:shd w:fill="F1F3F5" w:color="auto" w:val="clear"/>
          <w:rtl/>
        </w:rPr>
        <w:t xml:space="preserve">‎003-XX01-26‎</w:t>
      </w:r>
      <w:r>
        <w:rPr>
          <w:rFonts w:ascii="Arial" w:cs="Arial" w:eastAsia="Arial" w:hAnsi="Arial"/>
          <w:b w:val="false"/>
          <w:bCs w:val="false"/>
          <w:sz w:val="20"/>
          <w:szCs w:val="20"/>
          <w:rtl/>
        </w:rPr>
        <w:t xml:space="preserve"> ثم </w:t>
      </w:r>
      <w:r>
        <w:rPr>
          <w:rFonts w:ascii="Courier New" w:cs="Courier New" w:eastAsia="Courier New" w:hAnsi="Courier New"/>
          <w:b w:val="false"/>
          <w:bCs w:val="false"/>
          <w:color w:val="1F2937"/>
          <w:sz w:val="18"/>
          <w:szCs w:val="18"/>
          <w:shd w:fill="F1F3F5" w:color="auto" w:val="clear"/>
          <w:rtl/>
        </w:rPr>
        <w:t xml:space="preserve">‎004-XX01-26‎</w:t>
      </w:r>
      <w:r>
        <w:rPr>
          <w:rFonts w:ascii="Arial" w:cs="Arial" w:eastAsia="Arial" w:hAnsi="Arial"/>
          <w:b w:val="false"/>
          <w:bCs w:val="false"/>
          <w:sz w:val="20"/>
          <w:szCs w:val="20"/>
          <w:rtl/>
        </w:rPr>
        <w:t xml:space="preserve"> بعد رقمين، والرقم الملغى يبقى «ملغى» بسببه ولا يُعاد فيأتي بعده </w:t>
      </w:r>
      <w:r>
        <w:rPr>
          <w:rFonts w:ascii="Courier New" w:cs="Courier New" w:eastAsia="Courier New" w:hAnsi="Courier New"/>
          <w:b w:val="false"/>
          <w:bCs w:val="false"/>
          <w:color w:val="1F2937"/>
          <w:sz w:val="18"/>
          <w:szCs w:val="18"/>
          <w:shd w:fill="F1F3F5" w:color="auto" w:val="clear"/>
          <w:rtl/>
        </w:rPr>
        <w:t xml:space="preserve">‎005-XX01-26‎</w:t>
      </w:r>
      <w:r>
        <w:rPr>
          <w:rFonts w:ascii="Arial" w:cs="Arial" w:eastAsia="Arial" w:hAnsi="Arial"/>
          <w:b w:val="false"/>
          <w:bCs w:val="false"/>
          <w:sz w:val="20"/>
          <w:szCs w:val="20"/>
          <w:rtl/>
        </w:rPr>
        <w:t xml:space="preserve">، وأول رقم في 2027 هو </w:t>
      </w:r>
      <w:r>
        <w:rPr>
          <w:rFonts w:ascii="Courier New" w:cs="Courier New" w:eastAsia="Courier New" w:hAnsi="Courier New"/>
          <w:b w:val="false"/>
          <w:bCs w:val="false"/>
          <w:color w:val="1F2937"/>
          <w:sz w:val="18"/>
          <w:szCs w:val="18"/>
          <w:shd w:fill="F1F3F5" w:color="auto" w:val="clear"/>
          <w:rtl/>
        </w:rPr>
        <w:t xml:space="preserve">‎001-XX01-27‎</w:t>
      </w:r>
      <w:r>
        <w:rPr>
          <w:rFonts w:ascii="Arial" w:cs="Arial" w:eastAsia="Arial" w:hAnsi="Arial"/>
          <w:b w:val="false"/>
          <w:bCs w:val="false"/>
          <w:sz w:val="20"/>
          <w:szCs w:val="20"/>
          <w:rtl/>
        </w:rPr>
        <w:t xml:space="preserve">؛ وفحص التزامن tools/ci/numbering_concurrency.sh يشغّل ستة اتصالات معًا ويتراجع عن ربع المعاملات، فتأتي الأرقام الملتزمة من 1 إلى 114 بلا تكرار ولا فجوة. قرار DQ-B02-4 (بلا فجوات للطلبات والبروفورما) مفروض في القاعدة: تعريفا </w:t>
      </w:r>
      <w:r>
        <w:rPr>
          <w:rFonts w:ascii="Courier New" w:cs="Courier New" w:eastAsia="Courier New" w:hAnsi="Courier New"/>
          <w:b w:val="false"/>
          <w:bCs w:val="false"/>
          <w:color w:val="1F2937"/>
          <w:sz w:val="18"/>
          <w:szCs w:val="18"/>
          <w:shd w:fill="F1F3F5" w:color="auto" w:val="clear"/>
          <w:rtl/>
        </w:rPr>
        <w:t xml:space="preserve">‎req:&lt;TypeCode&gt;‎</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‎PROFORMA‎</w:t>
      </w:r>
      <w:r>
        <w:rPr>
          <w:rFonts w:ascii="Arial" w:cs="Arial" w:eastAsia="Arial" w:hAnsi="Arial"/>
          <w:b w:val="false"/>
          <w:bCs w:val="false"/>
          <w:sz w:val="20"/>
          <w:szCs w:val="20"/>
          <w:rtl/>
        </w:rPr>
        <w:t xml:space="preserve"> لا يقبلان غير GAP_FREE. ويبقى سيناريو API نفسه على التطبيق.</w:t>
      </w:r>
    </w:p>
    <w:p>
      <w:pPr>
        <w:pStyle w:val="Heading1"/>
        <w:bidi/>
      </w:pPr>
      <w:bookmarkStart w:name="_sec1" w:id="1"/>
      <w:r>
        <w:rPr>
          <w:rFonts w:ascii="Arial" w:cs="Arial" w:eastAsia="Arial" w:hAnsi="Arial"/>
          <w:b/>
          <w:bCs/>
          <w:color w:val="1F3A5F"/>
          <w:sz w:val="32"/>
          <w:szCs w:val="32"/>
          <w:rtl/>
        </w:rPr>
        <w:t xml:space="preserve">1. الغرض والنطاق</w:t>
      </w:r>
      <w:bookmarkEnd w:id="1"/>
    </w:p>
    <w:p>
      <w:pPr>
        <w:bidi/>
        <w:spacing w:after="110" w:before="0" w:line="312"/>
      </w:pPr>
      <w:r>
        <w:rPr>
          <w:rFonts w:ascii="Arial" w:cs="Arial" w:eastAsia="Arial" w:hAnsi="Arial"/>
          <w:b w:val="false"/>
          <w:bCs w:val="false"/>
          <w:sz w:val="21"/>
          <w:szCs w:val="21"/>
          <w:rtl/>
        </w:rPr>
        <w:t xml:space="preserve">يربط هذا السجل كل متطلب وظيفي في S0 وS1 بسيناريو قبول واحد على الأقل، بصيغة Given/When/Then، وبطريقة تنفيذه آليًا أو يدويًا.</w:t>
      </w:r>
    </w:p>
    <w:p>
      <w:pPr>
        <w:pStyle w:val="ListParagraph"/>
        <w:numPr>
          <w:ilvl w:val="0"/>
          <w:numId w:val="2"/>
        </w:numPr>
        <w:bidi/>
        <w:spacing w:after="70" w:before="0" w:line="300"/>
      </w:pPr>
      <w:r>
        <w:rPr>
          <w:rFonts w:ascii="Arial" w:cs="Arial" w:eastAsia="Arial" w:hAnsi="Arial"/>
          <w:b w:val="false"/>
          <w:bCs w:val="false"/>
          <w:sz w:val="21"/>
          <w:szCs w:val="21"/>
          <w:rtl/>
        </w:rPr>
        <w:t xml:space="preserve">النطاق: متطلبات S0 وS1 في 10-m0-m1 (PLT وORG وPTY)، ومتطلبات S1 في 11-m2-m4 (INS وACC وCAT)، ومتطلبات S1 في 13-m6 (NTF) لأنها جزء من الشريحة نفسها.</w:t>
      </w:r>
    </w:p>
    <w:p>
      <w:pPr>
        <w:pStyle w:val="ListParagraph"/>
        <w:numPr>
          <w:ilvl w:val="0"/>
          <w:numId w:val="2"/>
        </w:numPr>
        <w:bidi/>
        <w:spacing w:after="70" w:before="0" w:line="300"/>
      </w:pPr>
      <w:r>
        <w:rPr>
          <w:rFonts w:ascii="Arial" w:cs="Arial" w:eastAsia="Arial" w:hAnsi="Arial"/>
          <w:b w:val="false"/>
          <w:bCs w:val="false"/>
          <w:sz w:val="21"/>
          <w:szCs w:val="21"/>
          <w:rtl/>
        </w:rPr>
        <w:t xml:space="preserve">العدد: 38 متطلبًا في S0 و108 في S1، أي 146، بحسب أعمدة الشريحة في جداول FR (مثلًا docs/10-detailed-analysis/10-m0-m1-platform-organization.md:103-149).</w:t>
      </w:r>
    </w:p>
    <w:p>
      <w:pPr>
        <w:pStyle w:val="ListParagraph"/>
        <w:numPr>
          <w:ilvl w:val="0"/>
          <w:numId w:val="2"/>
        </w:numPr>
        <w:bidi/>
        <w:spacing w:after="70" w:before="0" w:line="300"/>
      </w:pPr>
      <w:r>
        <w:rPr>
          <w:rFonts w:ascii="Arial" w:cs="Arial" w:eastAsia="Arial" w:hAnsi="Arial"/>
          <w:b w:val="false"/>
          <w:bCs w:val="false"/>
          <w:sz w:val="21"/>
          <w:szCs w:val="21"/>
          <w:rtl/>
        </w:rPr>
        <w:t xml:space="preserve">خارج النطاق: سيناريوهات S1-ب (AC-ORG-1 وAC-ORG-2 وAC-ACC-2 إلى AC-ACC-4) وما بعدها.</w:t>
      </w:r>
    </w:p>
    <w:p>
      <w:pPr>
        <w:pStyle w:val="ListParagraph"/>
        <w:numPr>
          <w:ilvl w:val="0"/>
          <w:numId w:val="2"/>
        </w:numPr>
        <w:bidi/>
        <w:spacing w:after="70" w:before="0" w:line="300"/>
      </w:pPr>
      <w:r>
        <w:rPr>
          <w:rFonts w:ascii="Arial" w:cs="Arial" w:eastAsia="Arial" w:hAnsi="Arial"/>
          <w:b w:val="false"/>
          <w:bCs w:val="false"/>
          <w:sz w:val="21"/>
          <w:szCs w:val="21"/>
          <w:rtl/>
        </w:rPr>
        <w:t xml:space="preserve">الوضع قبل هذا السجل: 17 سيناريو قائمًا يغطي 36 متطلبًا من الـ 146، منها 11 تغطية ضمنية لا يذكر نص السيناريو فيها رقم المتطلب. ويضيف هذا السجل 44 سيناريو جديدًا للـ 110 الباقية.</w:t>
      </w:r>
    </w:p>
    <w:p>
      <w:pPr>
        <w:pStyle w:val="ListParagraph"/>
        <w:numPr>
          <w:ilvl w:val="0"/>
          <w:numId w:val="2"/>
        </w:numPr>
        <w:bidi/>
        <w:spacing w:after="70" w:before="0" w:line="300"/>
      </w:pPr>
      <w:r>
        <w:rPr>
          <w:rFonts w:ascii="Arial" w:cs="Arial" w:eastAsia="Arial" w:hAnsi="Arial"/>
          <w:b w:val="false"/>
          <w:bCs w:val="false"/>
          <w:sz w:val="21"/>
          <w:szCs w:val="21"/>
          <w:rtl/>
        </w:rPr>
        <w:t xml:space="preserve">صيغة المعرّف </w:t>
      </w:r>
      <w:r>
        <w:rPr>
          <w:rFonts w:ascii="Courier New" w:cs="Courier New" w:eastAsia="Courier New" w:hAnsi="Courier New"/>
          <w:b w:val="false"/>
          <w:bCs w:val="false"/>
          <w:color w:val="1F2937"/>
          <w:sz w:val="18"/>
          <w:szCs w:val="18"/>
          <w:shd w:fill="F1F3F5" w:color="auto" w:val="clear"/>
          <w:rtl/>
        </w:rPr>
        <w:t xml:space="preserve">‎AC-xxx-n‎</w:t>
      </w:r>
      <w:r>
        <w:rPr>
          <w:rFonts w:ascii="Arial" w:cs="Arial" w:eastAsia="Arial" w:hAnsi="Arial"/>
          <w:b w:val="false"/>
          <w:bCs w:val="false"/>
          <w:sz w:val="21"/>
          <w:szCs w:val="21"/>
          <w:rtl/>
        </w:rPr>
        <w:t xml:space="preserve"> مسبوقة برمز الوحدة (docs/10-detailed-analysis/00-overview-and-cross-cutting.md:124)، ويستمر الترقيم من آخر رقم قائم.</w:t>
      </w:r>
    </w:p>
    <w:p>
      <w:pPr>
        <w:bidi/>
        <w:spacing w:after="60" w:before="0"/>
      </w:pPr>
    </w:p>
    <w:p>
      <w:pPr>
        <w:bidi/>
        <w:spacing w:after="110" w:before="0" w:line="312"/>
      </w:pPr>
      <w:r>
        <w:rPr>
          <w:rFonts w:ascii="Arial" w:cs="Arial" w:eastAsia="Arial" w:hAnsi="Arial"/>
          <w:b w:val="false"/>
          <w:bCs w:val="false"/>
          <w:sz w:val="21"/>
          <w:szCs w:val="21"/>
          <w:rtl/>
        </w:rPr>
        <w:t xml:space="preserve">مفتاح عمود الأتمتة: «قاعدة T-n» حالة قائمة في db/tests/tenant_isolation_tests.sql · «API» اختبار تكامل على الواجهة البرمجية · «واجهة» اختبار Playwright · «CI» فحص في خط البناء · «يدوي» قائمة فحص.</w:t>
      </w:r>
    </w:p>
    <w:p>
      <w:pPr>
        <w:pStyle w:val="Heading1"/>
        <w:bidi/>
      </w:pPr>
      <w:bookmarkStart w:name="_sec2" w:id="2"/>
      <w:r>
        <w:rPr>
          <w:rFonts w:ascii="Arial" w:cs="Arial" w:eastAsia="Arial" w:hAnsi="Arial"/>
          <w:b/>
          <w:bCs/>
          <w:color w:val="1F3A5F"/>
          <w:sz w:val="32"/>
          <w:szCs w:val="32"/>
          <w:rtl/>
        </w:rPr>
        <w:t xml:space="preserve">2. السجل</w:t>
      </w:r>
      <w:bookmarkEnd w:id="2"/>
    </w:p>
    <w:p>
      <w:pPr>
        <w:pStyle w:val="Heading2"/>
        <w:bidi/>
      </w:pPr>
      <w:bookmarkStart w:name="_sec3" w:id="3"/>
      <w:r>
        <w:rPr>
          <w:rFonts w:ascii="Arial" w:cs="Arial" w:eastAsia="Arial" w:hAnsi="Arial"/>
          <w:b/>
          <w:bCs/>
          <w:color w:val="2B5C8A"/>
          <w:sz w:val="26"/>
          <w:szCs w:val="26"/>
          <w:rtl/>
        </w:rPr>
        <w:t xml:space="preserve">2.1 سيناريوهات قائمة داخل النطاق</w:t>
      </w:r>
      <w:bookmarkEnd w:id="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20"/>
        <w:gridCol w:w="920"/>
        <w:gridCol w:w="1365"/>
        <w:gridCol w:w="920"/>
        <w:gridCol w:w="920"/>
        <w:gridCol w:w="4819"/>
      </w:tblGrid>
      <w:tr>
        <w:trPr>
          <w:cantSplit/>
          <w:tblHeader/>
        </w:trPr>
        <w:tc>
          <w:tcPr>
            <w:tcW w:type="dxa" w:w="9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9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المتطلبات</w:t>
            </w:r>
          </w:p>
        </w:tc>
        <w:tc>
          <w:tcPr>
            <w:tcW w:type="dxa" w:w="13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9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9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الأتمتة</w:t>
            </w:r>
          </w:p>
        </w:tc>
        <w:tc>
          <w:tcPr>
            <w:tcW w:type="dxa" w:w="48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FR-PLT-036، FR-PLT-020</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عزل مشتركين، وبلا سياق 0 صفوف</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T1-T16c وT24 وT28؛ API</w:t>
            </w:r>
          </w:p>
        </w:tc>
        <w:tc>
          <w:tcPr>
            <w:tcW w:type="dxa" w:w="4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docs/10-detailed-analysis/10-m0-m1-platform-organization.md:650</w:t>
            </w:r>
          </w:p>
        </w:tc>
      </w:tr>
      <w:tr>
        <w:trPr>
          <w:cantSplit/>
        </w:trPr>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FR-PLT-011، FR-PLT-012</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القفل وMFA وتسعة أحداث تدقيق</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T33 وT34 وT36؛ API</w:t>
            </w:r>
          </w:p>
        </w:tc>
        <w:tc>
          <w:tcPr>
            <w:tcW w:type="dxa" w:w="4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docs/10-detailed-analysis/10-m0-m1-platform-organization.md:655</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AC-PLT-3</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FR-PLT-026</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الترقيم بلا فجوات تحت التزامن</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4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docs/10-detailed-analysis/10-m0-m1-platform-organization.md:685</w:t>
            </w:r>
          </w:p>
        </w:tc>
      </w:tr>
      <w:tr>
        <w:trPr>
          <w:cantSplit/>
        </w:trPr>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AC-PLT-4</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بوابة الإصدارات في CI</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w:t>
            </w:r>
          </w:p>
        </w:tc>
        <w:tc>
          <w:tcPr>
            <w:tcW w:type="dxa" w:w="4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docs/10-detailed-analysis/10-m0-m1-platform-organization.md:695</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AC-ORG-3</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FR-ORG-005، FR-PLT-026</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تفرّد رمز ERP وتفعيل PROFORMA</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4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docs/10-detailed-analysis/10-m0-m1-platform-organization.md:690</w:t>
            </w:r>
          </w:p>
        </w:tc>
      </w:tr>
      <w:tr>
        <w:trPr>
          <w:cantSplit/>
        </w:trPr>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AC-PTY-1</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FR-PTY-007، FR-PTY-008، FR-PLT-019</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وجزء PERMISSION_LOCKED في S0</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الكشف وقفل الصلاحية</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 قاعدة T21</w:t>
            </w:r>
          </w:p>
        </w:tc>
        <w:tc>
          <w:tcPr>
            <w:tcW w:type="dxa" w:w="4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docs/10-detailed-analysis/10-m0-m1-platform-organization.md:665</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AC-PTY-2</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FR-PTY-015، FR-PTY-016</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التكرار والدمج</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4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docs/10-detailed-analysis/10-m0-m1-platform-organization.md:670</w:t>
            </w:r>
          </w:p>
        </w:tc>
      </w:tr>
      <w:tr>
        <w:trPr>
          <w:cantSplit/>
        </w:trPr>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AC-PTY-3</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FR-PTY-021، وFR-PTY-024 وFR-PTY-026 في S2</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للانتهاء، S2 للاكتمال</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انتهاء الإقامة والاكتمال</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4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docs/10-detailed-analysis/10-m0-m1-platform-organization.md:675</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AC-INS-1</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FR-INS-014، وضمنيًا FR-INS-013</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معالج إعداد البنك (خروج S1)</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4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docs/10-detailed-analysis/11-m2-m4-institutions-accounts-catalogs.md:646</w:t>
            </w:r>
          </w:p>
        </w:tc>
      </w:tr>
      <w:tr>
        <w:trPr>
          <w:cantSplit/>
        </w:trPr>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AC-INS-2</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FR-INS-008، وضمنيًا FR-INS-016</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«يتبع لـ» وتعطيل جهة افتراضية</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4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docs/10-detailed-analysis/11-m2-m4-institutions-accounts-catalogs.md:648</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AC-INS-3</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FR-INS-007، FR-INS-021، FR-PTY-016</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ترقية جهة اتصال إلى Party</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4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docs/10-detailed-analysis/11-m2-m4-institutions-accounts-catalogs.md:650</w:t>
            </w:r>
          </w:p>
        </w:tc>
      </w:tr>
      <w:tr>
        <w:trPr>
          <w:cantSplit/>
        </w:trPr>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AC-ACC-1</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ضمنيًا FR-ACC-002 و004 و005 و006 و008 و009</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IBAN والحساب الافتراضي والتقنيع</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4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docs/10-detailed-analysis/11-m2-m4-institutions-accounts-catalogs.md:652</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AC-CAT-1</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FR-CAT-002، FR-CAT-004، FR-CAT-026، وضمنيًا 006 و018 و019</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البذر والتعطيل والعزل</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قاعدة T24</w:t>
            </w:r>
          </w:p>
        </w:tc>
        <w:tc>
          <w:tcPr>
            <w:tcW w:type="dxa" w:w="4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docs/10-detailed-analysis/11-m2-m4-institutions-accounts-catalogs.md:660</w:t>
            </w:r>
          </w:p>
        </w:tc>
      </w:tr>
      <w:tr>
        <w:trPr>
          <w:cantSplit/>
        </w:trPr>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AC-CAT-2</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FR-CAT-016</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سعر الأساس في تاريخ</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4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docs/10-detailed-analysis/11-m2-m4-institutions-accounts-catalogs.md:662</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AC-CAT-3</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FR-CAT-015</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أسعار داخلية لبنكين</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4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docs/10-detailed-analysis/11-m2-m4-institutions-accounts-catalogs.md:664</w:t>
            </w:r>
          </w:p>
        </w:tc>
      </w:tr>
      <w:tr>
        <w:trPr>
          <w:cantSplit/>
        </w:trPr>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AC-WFL-8</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FR-NTF-004، FR-NTF-008، وFR-NTF-017 في S2</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 بلا تكرار وبالنطاق</w:t>
            </w:r>
          </w:p>
        </w:tc>
        <w:tc>
          <w:tcPr>
            <w:tcW w:type="dxa" w:w="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4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docs/10-detailed-analysis/13-m6-workflow-engine-notifications.md:781</w:t>
            </w:r>
          </w:p>
        </w:tc>
      </w:tr>
      <w:tr>
        <w:trPr>
          <w:cantSplit/>
        </w:trPr>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AC-WFL-10</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FR-NTF-001، وFR-NTF-015 في S3</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للفحص التقاطعي</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الأحداث والتذكير</w:t>
            </w:r>
          </w:p>
        </w:tc>
        <w:tc>
          <w:tcPr>
            <w:tcW w:type="dxa" w:w="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API</w:t>
            </w:r>
          </w:p>
        </w:tc>
        <w:tc>
          <w:tcPr>
            <w:tcW w:type="dxa" w:w="4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docs/10-detailed-analysis/13-m6-workflow-engine-notifications.md:791</w:t>
            </w:r>
          </w:p>
        </w:tc>
      </w:tr>
    </w:tbl>
    <w:p>
      <w:pPr>
        <w:bidi/>
        <w:spacing w:after="120" w:before="0"/>
      </w:pPr>
    </w:p>
    <w:p>
      <w:pPr>
        <w:pStyle w:val="Heading2"/>
        <w:bidi/>
      </w:pPr>
      <w:bookmarkStart w:name="_sec4" w:id="4"/>
      <w:r>
        <w:rPr>
          <w:rFonts w:ascii="Arial" w:cs="Arial" w:eastAsia="Arial" w:hAnsi="Arial"/>
          <w:b/>
          <w:bCs/>
          <w:color w:val="2B5C8A"/>
          <w:sz w:val="26"/>
          <w:szCs w:val="26"/>
          <w:rtl/>
        </w:rPr>
        <w:t xml:space="preserve">2.2 سيناريوهات جديدة</w:t>
      </w:r>
      <w:bookmarkEnd w:id="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30"/>
        <w:gridCol w:w="1870"/>
        <w:gridCol w:w="1360"/>
        <w:gridCol w:w="1870"/>
        <w:gridCol w:w="2214"/>
        <w:gridCol w:w="1020"/>
      </w:tblGrid>
      <w:tr>
        <w:trPr>
          <w:cantSplit/>
          <w:tblHeader/>
        </w:trPr>
        <w:tc>
          <w:tcPr>
            <w:tcW w:type="dxa" w:w="15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8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المتطلبات</w:t>
            </w:r>
          </w:p>
        </w:tc>
        <w:tc>
          <w:tcPr>
            <w:tcW w:type="dxa" w:w="13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18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22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الأتمتة</w:t>
            </w:r>
          </w:p>
        </w:tc>
        <w:tc>
          <w:tcPr>
            <w:tcW w:type="dxa" w:w="10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AC-PLT-5</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FR-PLT-001، 003، 008، 013</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تأهيل مشترك جديد آليًا (خروج S0)</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اختبار خروج S0</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AC-PLT-6</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FR-PLT-002</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دورة حياة المشترك وأثرها على الربط</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T17 وT26 وT27 وT31؛ 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AC-PLT-7</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FR-PLT-004، 005، 006</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المشغّل وحساباته وحدود الباقة</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CI (check_grants R3)؛ قاعدة T38</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AC-PLT-8</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FR-PLT-007</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وصول الدعم المؤقت</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AC-PLT-9</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FR-PLT-009</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البدء</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AC-PLT-10</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FR-PLT-010</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المرور وتخزينها</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T33 وT35؛ 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الدعوة وإعادة التعيين</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AC-PLT-12</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FR-PLT-014</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مهل الجلسة وإنهاؤها</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T32 وT35 وT37؛ 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AC-PLT-13</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FR-PLT-016، 017، 018، 021</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المستخدمون والأدوار وترتيب التقييم</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CI؛ قاعدة T25 وT30</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AC-PLT-14</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FR-PLT-022، 023، 024</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التدقيق وعارضه</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T13-T15؛ 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AC-PLT-15</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FR-PLT-027 إلى 030، FR-CAT-018</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المستندات ورفعها وتنزيلها</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AC-PLT-16</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FR-PLT-032، 033، 034</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التوطين والتقويم والتنسيق</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 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AC-PLT-17</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FR-PLT-037</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التشفير وتدويرها</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يدوي للاستعادة</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AC-PLT-18</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FR-PLT-041</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الواجهة البرمجية أولًا</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واجهة</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AC-PLT-19</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FR-PLT-043</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إعدادات المشترك وحدودها</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AC-PLT-20</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FR-PLT-044، FR-NTF-016</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وS1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المهام الخلفية</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العنوان الفرعي وسياق المشترك</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T18؛ API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AC-PLT-22</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FR-PLT-042</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طابور الأحداث في معاملة الحفظ</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AC-ORG-4</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FR-ORG-001 إلى 004، 008، FR-PTY-003</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الشركة وهرمها ومرآتها</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AC-ORG-5</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FR-ORG-006، 007</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السنة المالية والضريبة</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AC-ORG-6</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FR-ORG-011، 012، 013، FR-PLT-038</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بمستنداتها وتنبيه انتهائها (خروج S1)</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AC-ORG-7</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FR-ORG-009، 010</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عنوان الشركة وأرشفتها</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AC-ORG-8</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FR-ORG-014</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الإدارات</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AC-PTY-4</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FR-PTY-001، 002، 004، 005</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الشخص ووثيقته الأساسية والبحث</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AC-PTY-5</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FR-PTY-006، 009</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الأرقام والصور</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T21؛ API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AC-PTY-6</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FR-PTY-010، 011، 012</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تحقق الشكل والعناوين والاتصال</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AC-PTY-7</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FR-PTY-013، 014</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الحقول المخصصة</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AC-PTY-8</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FR-PTY-017، 018، 019، 028</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الأدوار المشتقة والرؤية والتعطيل</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AC-PTY-9</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FR-PTY-020، 022</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تحقق الأصل وتجديد الوثيقة</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AC-INS-4</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FR-INS-001 إلى 004</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المنشآت وتعريفها</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§3.4</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AC-INS-5</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FR-INS-005، 006</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هيكل المنشأة وبيانات الوحدة</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§3.4</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AC-INS-6</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FR-INS-009 إلى 013</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العلاقة والتغطية والمنتجات والقناة</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§3.4</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AC-INS-7</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FR-INS-015، 016</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الإغلاق ومسودة المعالج</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§3.4</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AC-INS-8</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FR-INS-017 إلى 020</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التصعيد والجودة والبحث</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أداء</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§3.4</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AC-ACC-5</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FR-ACC-001، 003، 007، 008</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الحسابات والعلاقة والتوقيع والحالات</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AC-ACC-6</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FR-ACC-022</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ويُنفَّذ بعد S1-ب</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صورة نموذج التوقيع</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يدوي</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AC-CAT-4</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FR-CAT-001، 005، 025</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إطار الكتالوج والتدقيق</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§3.6</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AC-CAT-5</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FR-CAT-007 إلى 010، 022</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المنتجات والمصاريف والتمويل</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§3.6</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AC-CAT-6</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FR-CAT-011 إلى 014</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كتالوجات التسهيلات والضمانات والالتزامات</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§3.6</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AC-CAT-7</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FR-CAT-020، 021، 023</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القوائم والمرجع العالمي والعملات</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حالة قاعدة مقترحة</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§3.6</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FR-NTF-002، 012، 021</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 الإصدار وحماية المحتوى</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CI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§3.7</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AC-NTF-2</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FR-NTF-003، 005، 006، 010</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المستلمون والجرس والقراءة</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§3.7</w:t>
            </w:r>
          </w:p>
        </w:tc>
      </w:tr>
      <w:tr>
        <w:trPr>
          <w:cantSplit/>
        </w:trPr>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AC-NTF-3</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FR-NTF-018، 019، 022</w:t>
            </w:r>
          </w:p>
        </w:tc>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الأحداث الأمنية والتسليم والمحوّلات</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§3.7</w:t>
            </w:r>
          </w:p>
        </w:tc>
      </w:tr>
      <w:tr>
        <w:trPr>
          <w:cantSplit/>
        </w:trPr>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AC-NTF-4</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FR-NTF-024، FR-PLT-034</w:t>
            </w:r>
          </w:p>
        </w:tc>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1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لغة الإشعار</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§3.7</w:t>
            </w:r>
          </w:p>
        </w:tc>
      </w:tr>
    </w:tbl>
    <w:p>
      <w:pPr>
        <w:bidi/>
        <w:spacing w:after="120" w:before="0"/>
      </w:pPr>
    </w:p>
    <w:p>
      <w:pPr>
        <w:pStyle w:val="Heading1"/>
        <w:bidi/>
      </w:pPr>
      <w:bookmarkStart w:name="_sec5" w:id="5"/>
      <w:r>
        <w:rPr>
          <w:rFonts w:ascii="Arial" w:cs="Arial" w:eastAsia="Arial" w:hAnsi="Arial"/>
          <w:b/>
          <w:bCs/>
          <w:color w:val="1F3A5F"/>
          <w:sz w:val="32"/>
          <w:szCs w:val="32"/>
          <w:rtl/>
        </w:rPr>
        <w:t xml:space="preserve">3. نصوص السيناريوهات الجديدة</w:t>
      </w:r>
      <w:bookmarkEnd w:id="5"/>
    </w:p>
    <w:p>
      <w:pPr>
        <w:bidi/>
        <w:spacing w:after="110" w:before="0" w:line="312"/>
      </w:pPr>
      <w:r>
        <w:rPr>
          <w:rFonts w:ascii="Arial" w:cs="Arial" w:eastAsia="Arial" w:hAnsi="Arial"/>
          <w:b w:val="false"/>
          <w:bCs w:val="false"/>
          <w:sz w:val="21"/>
          <w:szCs w:val="21"/>
          <w:rtl/>
        </w:rPr>
        <w:t xml:space="preserve">الأسماء والرموز والأرقام كلها افتراضية. وحيث يذكر السيناريو حالة قاعدة قائمة فهي تثبت الجزء الخاص بالقاعدة، ويبقى جزء الواجهة البرمجية مطلوبًا.</w:t>
      </w:r>
    </w:p>
    <w:p>
      <w:pPr>
        <w:pStyle w:val="Heading2"/>
        <w:bidi/>
      </w:pPr>
      <w:bookmarkStart w:name="_sec6" w:id="6"/>
      <w:r>
        <w:rPr>
          <w:rFonts w:ascii="Arial" w:cs="Arial" w:eastAsia="Arial" w:hAnsi="Arial"/>
          <w:b/>
          <w:bCs/>
          <w:color w:val="2B5C8A"/>
          <w:sz w:val="26"/>
          <w:szCs w:val="26"/>
          <w:rtl/>
        </w:rPr>
        <w:t xml:space="preserve">3.1 المنصة (PLT)</w:t>
      </w:r>
      <w:bookmarkEnd w:id="6"/>
    </w:p>
    <w:p>
      <w:pPr>
        <w:bidi/>
        <w:spacing w:after="110" w:before="0" w:line="312"/>
      </w:pPr>
      <w:r>
        <w:rPr>
          <w:rFonts w:ascii="Arial" w:cs="Arial" w:eastAsia="Arial" w:hAnsi="Arial"/>
          <w:b/>
          <w:bCs/>
          <w:sz w:val="21"/>
          <w:szCs w:val="21"/>
          <w:rtl/>
        </w:rPr>
        <w:t xml:space="preserve">AC-PLT-5 — تأهيل مشترك جديد آليًا (FR-PLT-001، FR-PLT-003، FR-PLT-008، FR-PLT-013؛ خروج S0).</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مشغّلًا بدور OPERATOR_ADMIN، وباقة تضم CORE وINSTITUTIONS، وقاعدة منشورة للتو بلا مشتركين.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ينشئ مشتركًا برمز </w:t>
      </w:r>
      <w:r>
        <w:rPr>
          <w:rFonts w:ascii="Courier New" w:cs="Courier New" w:eastAsia="Courier New" w:hAnsi="Courier New"/>
          <w:b w:val="false"/>
          <w:bCs w:val="false"/>
          <w:color w:val="1F2937"/>
          <w:sz w:val="18"/>
          <w:szCs w:val="18"/>
          <w:shd w:fill="F1F3F5" w:color="auto" w:val="clear"/>
          <w:rtl/>
        </w:rPr>
        <w:t xml:space="preserve">‎t-alpha‎</w:t>
      </w:r>
      <w:r>
        <w:rPr>
          <w:rFonts w:ascii="Arial" w:cs="Arial" w:eastAsia="Arial" w:hAnsi="Arial"/>
          <w:b w:val="false"/>
          <w:bCs w:val="false"/>
          <w:sz w:val="21"/>
          <w:szCs w:val="21"/>
          <w:rtl/>
        </w:rPr>
        <w:t xml:space="preserve"> واسمين Ar/En ولغة افتراضية en، ثم يعيد تشغيل البذر للمشترك نفسه، ثم ينشئ مشتركًا آخر بالرمز نفسه، ثم يحاول مدير الحساب تعطيل CORE.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يُنشأ المشترك بحالة TRIAL ونهاية تجريبية بعد 30 يومًا، ووحداته من الباقة، وأدواره وصلاحياته وكتالوجاته بأعداد حزمة البذر (DOC-B05)، وحساب الخدمة IsSystemUser، ومدير أول تصله دعوة صالحة 48 ساعة؛ إعادة البذر لا تضيف صفًا ويُسجَّل تشغيلها في cfg.SeedRun؛ الرمز المكرر وتعطيل CORE مرفوضان؛ وفشل مصطنع في خطوة البذر لا يترك صفًا للمشترك.</w:t>
      </w:r>
    </w:p>
    <w:p>
      <w:pPr>
        <w:bidi/>
        <w:spacing w:after="110" w:before="0" w:line="312"/>
      </w:pPr>
      <w:r>
        <w:rPr>
          <w:rFonts w:ascii="Arial" w:cs="Arial" w:eastAsia="Arial" w:hAnsi="Arial"/>
          <w:b/>
          <w:bCs/>
          <w:sz w:val="21"/>
          <w:szCs w:val="21"/>
          <w:rtl/>
        </w:rPr>
        <w:t xml:space="preserve">AC-PLT-6 — دورة حياة المشترك (FR-PLT-002، BR-PLT-002).</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مشتركًا ACTIVE له اتصالان مربوطان: مدير حساب وموظف خزينة.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يعلّقه المشغّل بسبب مكتوب، ثم يحاول المدير حفظ شركة، ثم يحاول الموظف دخولًا جديدًا، ثم يغلقه المشغّل، ثم يحاول إعادته إلى ACTIVE.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لكل انتقال حدث تدقيق وحدث </w:t>
      </w:r>
      <w:r>
        <w:rPr>
          <w:rFonts w:ascii="Courier New" w:cs="Courier New" w:eastAsia="Courier New" w:hAnsi="Courier New"/>
          <w:b w:val="false"/>
          <w:bCs w:val="false"/>
          <w:color w:val="1F2937"/>
          <w:sz w:val="18"/>
          <w:szCs w:val="18"/>
          <w:shd w:fill="F1F3F5" w:color="auto" w:val="clear"/>
          <w:rtl/>
        </w:rPr>
        <w:t xml:space="preserve">‎tenant.status_changed‎</w:t>
      </w:r>
      <w:r>
        <w:rPr>
          <w:rFonts w:ascii="Arial" w:cs="Arial" w:eastAsia="Arial" w:hAnsi="Arial"/>
          <w:b w:val="false"/>
          <w:bCs w:val="false"/>
          <w:sz w:val="21"/>
          <w:szCs w:val="21"/>
          <w:rtl/>
        </w:rPr>
        <w:t xml:space="preserve">؛ الكتابة مرفوضة في SUSPENDED (T27 وT31)؛ نتيجة دخول الموظف تتبع قرار O-18 (erd_open_items) المفتوح؛ الإغلاق يسحب ربط الاتصالين فورًا (T26) ويرفض أي ربط جديد بالخطأ 50002 (T17)؛ والانتقال من CLOSED إلى ACTIVE مرفوض.</w:t>
      </w:r>
    </w:p>
    <w:p>
      <w:pPr>
        <w:bidi/>
        <w:spacing w:after="110" w:before="0" w:line="312"/>
      </w:pPr>
      <w:r>
        <w:rPr>
          <w:rFonts w:ascii="Arial" w:cs="Arial" w:eastAsia="Arial" w:hAnsi="Arial"/>
          <w:b/>
          <w:bCs/>
          <w:sz w:val="21"/>
          <w:szCs w:val="21"/>
          <w:rtl/>
        </w:rPr>
        <w:t xml:space="preserve">AC-PLT-7 — لوحة المشغّل وحساباته وحدود الباقة (FR-PLT-004، FR-PLT-005، FR-PLT-006).</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باقة حد مستخدميها 10، ومشتركًا فيه 8 مستخدمين، ومشغّلًا بدور OPERATOR_SUPPORT.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ينشئ مدير الحساب المستخدم التاسع، ثم يفتح المشغّل لوحته، ثم يحاول المشغّل الدخول من بوابة المشترك، ويحاول مستخدم مشترك الدخول من بوابة المشغّل.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يظهر تنبيه 90% للمدير والمشغّل ولا يُمنع الإنشاء؛ اللوحة تعرض الحالات والعدّادات فقط ولا تلمس جدولًا مملوكًا للمشترك (القاعدة R3 في tools/dbgen/check_grants.py:7)، ودور المنصة يقرأ أحداث المنصة في سجل التدقيق لا صفوف المشتركين (T38)؛ الدخولان المتعاكسان مرفوضان؛ ودخول المشغّل لا يكتمل بلا MFA.</w:t>
      </w:r>
    </w:p>
    <w:p>
      <w:pPr>
        <w:bidi/>
        <w:spacing w:after="110" w:before="0" w:line="312"/>
      </w:pPr>
      <w:r>
        <w:rPr>
          <w:rFonts w:ascii="Arial" w:cs="Arial" w:eastAsia="Arial" w:hAnsi="Arial"/>
          <w:b/>
          <w:bCs/>
          <w:sz w:val="21"/>
          <w:szCs w:val="21"/>
          <w:rtl/>
        </w:rPr>
        <w:t xml:space="preserve">AC-PLT-8 — وصول الدعم المؤقت (FR-PLT-007، BR-PLT-017).</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وصول دعم معطّلًا افتراضيًا.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يحاول المشغّل فتح بيانات المشترك، ثم يفعّل مدير الحساب الوصول 4 ساعات، فيتصفح المشغّل صفحتين ويحاول كشف رقم هوية، ثم تمر 4 ساعات.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المحاولة الأولى مرفوضة؛ الصفحتان مسجَّلتان ويراهما المدير في سجل الجلسة؛ الكشف مرفوض ومدقَّق بشدة عالية؛ ويسقط الوصول دون تدخل.</w:t>
      </w:r>
    </w:p>
    <w:p>
      <w:pPr>
        <w:bidi/>
        <w:spacing w:after="110" w:before="0" w:line="312"/>
      </w:pPr>
      <w:r>
        <w:rPr>
          <w:rFonts w:ascii="Arial" w:cs="Arial" w:eastAsia="Arial" w:hAnsi="Arial"/>
          <w:b/>
          <w:bCs/>
          <w:sz w:val="21"/>
          <w:szCs w:val="21"/>
          <w:rtl/>
        </w:rPr>
        <w:t xml:space="preserve">AC-PLT-9 — قائمة البدء (FR-PLT-009، Could).</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مشتركًا جديدًا بلا شركات.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يضيف المدير شركة ومستخدمًا بدور ونطاق، ثم يعطّل المستخدم.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ترتفع نسبة الإنجاز بعد الإضافة وتعود الخطوة «غير منجزة» بعد التعطيل، لأن الحساب من البيانات الفعلية لا من علامات يدوية.</w:t>
      </w:r>
    </w:p>
    <w:p>
      <w:pPr>
        <w:bidi/>
        <w:spacing w:after="110" w:before="0" w:line="312"/>
      </w:pPr>
      <w:r>
        <w:rPr>
          <w:rFonts w:ascii="Arial" w:cs="Arial" w:eastAsia="Arial" w:hAnsi="Arial"/>
          <w:b/>
          <w:bCs/>
          <w:sz w:val="21"/>
          <w:szCs w:val="21"/>
          <w:rtl/>
        </w:rPr>
        <w:t xml:space="preserve">AC-PLT-10 — كلمة المرور وتخزينها (FR-PLT-010، BR-PLT-004، ADR 0002).</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سياسة المشترك الافتراضية 12 خانة وحد المنصة 10.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يضبط مستخدم كلمة من 11 خانة، ثم كلمة واردة في قائمة التسريبات، ثم كلمة سليمة من 14 خانة، ثم يحاول المدير خفض السياسة إلى 9 خانات، ثم يحاول دور التطبيق قراءة عمود التجزئة.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الأولى والثانية مرفوضتان؛ الثالثة تُخزَّن بصيغة PHC لـ Argon2id بمعاملات لا تقل عن m=65536 وt=3 وp=4؛ خفض السياسة مرفوض؛ القراءة مرفوضة بالخطأ 230 (T35)؛ ولا تظهر الكلمة في أي سجل.</w:t>
      </w:r>
    </w:p>
    <w:p>
      <w:pPr>
        <w:bidi/>
        <w:spacing w:after="110" w:before="0" w:line="312"/>
      </w:pPr>
      <w:r>
        <w:rPr>
          <w:rFonts w:ascii="Arial" w:cs="Arial" w:eastAsia="Arial" w:hAnsi="Arial"/>
          <w:b/>
          <w:bCs/>
          <w:sz w:val="21"/>
          <w:szCs w:val="21"/>
          <w:rtl/>
        </w:rPr>
        <w:t xml:space="preserve">AC-PLT-11 — الدعوة وإعادة التعيين (FR-PLT-013).</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دعوة أُرسلت في 2026-10-12 09:00، وملتقِط SMTP في بيئة الاختبار.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يُفتح رابط الدعوة في 2026-10-14 10:00، ويُطلب إعادة تعيين لبريد مسجَّل ولبريد غير مسجَّل، ويُستعمل رابط الإعادة مرتين، ويتعطل المرحّل عند إرسال ثالث.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الدعوة منتهية لتجاوز 48 ساعة؛ الاستجابتان لطلبي الإعادة متطابقتان؛ الاستعمال الثاني مرفوض؛ الرابط مخزَّن مجزَّأً ولا يحمل بيانات مقيّدة؛ وفشل الإرسال مسجَّل في التدقيق.</w:t>
      </w:r>
    </w:p>
    <w:p>
      <w:pPr>
        <w:bidi/>
        <w:spacing w:after="110" w:before="0" w:line="312"/>
      </w:pPr>
      <w:r>
        <w:rPr>
          <w:rFonts w:ascii="Arial" w:cs="Arial" w:eastAsia="Arial" w:hAnsi="Arial"/>
          <w:b/>
          <w:bCs/>
          <w:sz w:val="21"/>
          <w:szCs w:val="21"/>
          <w:rtl/>
        </w:rPr>
        <w:t xml:space="preserve">AC-PLT-12 — مهل الجلسة وإنهاؤها (FR-PLT-014).</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مستخدمًا بجلسة بدأت 08:00.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يتوقف عن النشاط من 08:10 حتى 08:41، ثم يدخل من جديد ويطلب تصديرًا حساسًا، ثم ينهي المدير جلسته من شاشة الجلسات.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طلب 08:41 يحتاج دخولًا جديدًا (خمول 30 دقيقة)؛ التصدير يطلب إعادة مصادقة؛ الإنهاء يسحب الربط فورًا في القاعدة (T37) ويسري على الطلب التالي خلال دقيقة؛ والجلسة المنتهية بالخمول لا تربط (T32)؛ ولا تتجاوز أي جلسة 12 ساعة، ولا يستطيع دور التطبيق تمديدها (T35).</w:t>
      </w:r>
    </w:p>
    <w:p>
      <w:pPr>
        <w:bidi/>
        <w:spacing w:after="110" w:before="0" w:line="312"/>
      </w:pPr>
      <w:r>
        <w:rPr>
          <w:rFonts w:ascii="Arial" w:cs="Arial" w:eastAsia="Arial" w:hAnsi="Arial"/>
          <w:b/>
          <w:bCs/>
          <w:sz w:val="21"/>
          <w:szCs w:val="21"/>
          <w:rtl/>
        </w:rPr>
        <w:t xml:space="preserve">AC-PLT-13 — المستخدمون والأدوار وترتيب التقييم (FR-PLT-016، FR-PLT-017، FR-PLT-018، FR-PLT-021).</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مشتركًا فيه مدير حساب فعّال واحد، ودورًا مخصصًا «مراجع» بصلاحية عرض الشركات، ومستخدمًا U1 بدوري «مراجع» و«موظف خزينة» ونطاقه الشركة C1.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يحاول المدير تعطيل نفسه، ثم يضيف إلى «مراجع» صلاحية تعديل الشركات، ثم يعدّل U1 الشركة C1 ويطلب الشركة C2 بمعرّفها ويستدعي نقطة لا يملك صلاحيتها، ويصدر إصدار يضيف رمز صلاحية جديدًا.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التعطيل مرفوض؛ التعديل يسري على طلب U1 التالي؛ صلاحياته اتحاد الدورين؛ C2 تعيد 404 والنقطة 403؛ الصلاحية الجديدة غير ممنوحة لأحد ولا يضيف المشترك رمزًا؛ وفحص البناء يفشل إن ورد في مصفوفة أي ملف وحدة رمز غير موجود في الكتالوج.</w:t>
      </w:r>
    </w:p>
    <w:p>
      <w:pPr>
        <w:bidi/>
        <w:spacing w:after="110" w:before="0" w:line="312"/>
      </w:pPr>
      <w:r>
        <w:rPr>
          <w:rFonts w:ascii="Arial" w:cs="Arial" w:eastAsia="Arial" w:hAnsi="Arial"/>
          <w:b/>
          <w:bCs/>
          <w:sz w:val="21"/>
          <w:szCs w:val="21"/>
          <w:rtl/>
        </w:rPr>
        <w:t xml:space="preserve">AC-PLT-14 — سجل التدقيق وعارضه (FR-PLT-022، FR-PLT-023، FR-PLT-024).</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مدققًا بصلاحية </w:t>
      </w:r>
      <w:r>
        <w:rPr>
          <w:rFonts w:ascii="Courier New" w:cs="Courier New" w:eastAsia="Courier New" w:hAnsi="Courier New"/>
          <w:b w:val="false"/>
          <w:bCs w:val="false"/>
          <w:color w:val="1F2937"/>
          <w:sz w:val="18"/>
          <w:szCs w:val="18"/>
          <w:shd w:fill="F1F3F5" w:color="auto" w:val="clear"/>
          <w:rtl/>
        </w:rPr>
        <w:t xml:space="preserve">‎audit.view‎</w:t>
      </w:r>
      <w:r>
        <w:rPr>
          <w:rFonts w:ascii="Arial" w:cs="Arial" w:eastAsia="Arial" w:hAnsi="Arial"/>
          <w:b w:val="false"/>
          <w:bCs w:val="false"/>
          <w:sz w:val="21"/>
          <w:szCs w:val="21"/>
          <w:rtl/>
        </w:rPr>
        <w:t xml:space="preserve">، ومسؤول تسهيلات بلا صلاحية تدقيق.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يعدّل مستخدم رقم هوية من </w:t>
      </w:r>
      <w:r>
        <w:rPr>
          <w:rFonts w:ascii="Courier New" w:cs="Courier New" w:eastAsia="Courier New" w:hAnsi="Courier New"/>
          <w:b w:val="false"/>
          <w:bCs w:val="false"/>
          <w:color w:val="1F2937"/>
          <w:sz w:val="18"/>
          <w:szCs w:val="18"/>
          <w:shd w:fill="F1F3F5" w:color="auto" w:val="clear"/>
          <w:rtl/>
        </w:rPr>
        <w:t xml:space="preserve">‎…7890‎</w:t>
      </w:r>
      <w:r>
        <w:rPr>
          <w:rFonts w:ascii="Arial" w:cs="Arial" w:eastAsia="Arial" w:hAnsi="Arial"/>
          <w:b w:val="false"/>
          <w:bCs w:val="false"/>
          <w:sz w:val="21"/>
          <w:szCs w:val="21"/>
          <w:rtl/>
        </w:rPr>
        <w:t xml:space="preserve"> إلى </w:t>
      </w:r>
      <w:r>
        <w:rPr>
          <w:rFonts w:ascii="Courier New" w:cs="Courier New" w:eastAsia="Courier New" w:hAnsi="Courier New"/>
          <w:b w:val="false"/>
          <w:bCs w:val="false"/>
          <w:color w:val="1F2937"/>
          <w:sz w:val="18"/>
          <w:szCs w:val="18"/>
          <w:shd w:fill="F1F3F5" w:color="auto" w:val="clear"/>
          <w:rtl/>
        </w:rPr>
        <w:t xml:space="preserve">‎…1234‎</w:t>
      </w:r>
      <w:r>
        <w:rPr>
          <w:rFonts w:ascii="Arial" w:cs="Arial" w:eastAsia="Arial" w:hAnsi="Arial"/>
          <w:b w:val="false"/>
          <w:bCs w:val="false"/>
          <w:sz w:val="21"/>
          <w:szCs w:val="21"/>
          <w:rtl/>
        </w:rPr>
        <w:t xml:space="preserve">، ويفتح المدقق العارض ويصفّي ويصدّر، ويحاول مسؤول التسهيلات فتح العارض، ويحاول دور التطبيق تعديل صف تدقيق أو حذفه أو إضافته لمشترك آخر.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يُسجَّل التعديل بالقناعين فقط؛ الفتح يضيف AUDIT_VIEWED والتصدير حدثًا بشدة عالية؛ المسؤول يتلقى 403؛ التعديل والحذف مرفوضان (T15) والإضافة لمشترك آخر مرفوضة (T14)؛ وكل حدث يحمل الفاعل والمشترك والشركة والارتباط والعنوان والنتيجة.</w:t>
      </w:r>
    </w:p>
    <w:p>
      <w:pPr>
        <w:bidi/>
        <w:spacing w:after="110" w:before="0" w:line="312"/>
      </w:pPr>
      <w:r>
        <w:rPr>
          <w:rFonts w:ascii="Arial" w:cs="Arial" w:eastAsia="Arial" w:hAnsi="Arial"/>
          <w:b/>
          <w:bCs/>
          <w:sz w:val="21"/>
          <w:szCs w:val="21"/>
          <w:rtl/>
        </w:rPr>
        <w:t xml:space="preserve">AC-PLT-15 — مخزن المستندات (FR-PLT-027 إلى FR-PLT-030، FR-CAT-018).</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نوع COMMERCIAL_REGISTRATION بعلم RequiresExpiry، ونوعًا IsSensitive، وملف PDF سليمًا، وملفًا تنفيذيًا أُعيدت تسميته </w:t>
      </w:r>
      <w:r>
        <w:rPr>
          <w:rFonts w:ascii="Courier New" w:cs="Courier New" w:eastAsia="Courier New" w:hAnsi="Courier New"/>
          <w:b w:val="false"/>
          <w:bCs w:val="false"/>
          <w:color w:val="1F2937"/>
          <w:sz w:val="18"/>
          <w:szCs w:val="18"/>
          <w:shd w:fill="F1F3F5" w:color="auto" w:val="clear"/>
          <w:rtl/>
        </w:rPr>
        <w:t xml:space="preserve">‎.pdf‎</w:t>
      </w:r>
      <w:r>
        <w:rPr>
          <w:rFonts w:ascii="Arial" w:cs="Arial" w:eastAsia="Arial" w:hAnsi="Arial"/>
          <w:b w:val="false"/>
          <w:bCs w:val="false"/>
          <w:sz w:val="21"/>
          <w:szCs w:val="21"/>
          <w:rtl/>
        </w:rPr>
        <w:t xml:space="preserve">، وملفًا بحجم 26 ميغابايت.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يُرفع الأول بلا تاريخ انتهاء ثم بتاريخ، ثم يُرفع له إصدار ثانٍ ويُربط بشركتين، ثم يُرفع الملفان الآخران، ثم يطلب موظف خزينة تنزيل مستند مقيَّد ومصغّرته.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الحفظ بلا انتهاء مرفوض؛ الإصدار الثاني لا يغيّر الأول؛ البصمة المخزّنة تطابق إعادة الحساب؛ المستند يظهر في الكيانين؛ التنفيذي والكبير مرفوضان، وملف معلَّم مشبوهًا يبقى في الحجر؛ طلب الموظف يعيد 403 للمستند والمصغّرة؛ وكل تنزيل مسجَّل.</w:t>
      </w:r>
    </w:p>
    <w:p>
      <w:pPr>
        <w:bidi/>
        <w:spacing w:after="110" w:before="0" w:line="312"/>
      </w:pPr>
      <w:r>
        <w:rPr>
          <w:rFonts w:ascii="Arial" w:cs="Arial" w:eastAsia="Arial" w:hAnsi="Arial"/>
          <w:b/>
          <w:bCs/>
          <w:sz w:val="21"/>
          <w:szCs w:val="21"/>
          <w:rtl/>
        </w:rPr>
        <w:t xml:space="preserve">AC-PLT-16 — التوطين والتقويم والتنسيق (FR-PLT-032، FR-PLT-033، FR-PLT-034).</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واجهة إنجليزية أساسًا، ومحليّة تجريبية RTL، ومشتركًا توقيته Asia/Riyadh.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يُشغَّل فحص النصوص الثابتة، وتُعرض كل صفحات S0 بالمحليّة RTL، ويُدخل تاريخ هجري صحيح ثم تاريخ هجري غير موجود في حقل معلَّم، ويُعرض وقت مخزَّن 2026-10-12T06:00Z.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لا نص مرئي خارج ملفات الموارد؛ اختبار التخطيط لا يجد تداخلًا أو قصًّا؛ يُخزَّن الميلادي ويُعرض النص المُدخل؛ التاريخ غير الموجود مرفوض؛ ويُعرض الوقت 09:00 بأرقام 0-9.</w:t>
      </w:r>
    </w:p>
    <w:p>
      <w:pPr>
        <w:bidi/>
        <w:spacing w:after="110" w:before="0" w:line="312"/>
      </w:pPr>
      <w:r>
        <w:rPr>
          <w:rFonts w:ascii="Arial" w:cs="Arial" w:eastAsia="Arial" w:hAnsi="Arial"/>
          <w:b/>
          <w:bCs/>
          <w:sz w:val="21"/>
          <w:szCs w:val="21"/>
          <w:rtl/>
        </w:rPr>
        <w:t xml:space="preserve">AC-PLT-17 — مفاتيح التشفير (FR-PLT-037، BR-PLT-015).</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وثائق هوية مشفَّرة بمفتاح بيانات للمشترك ملفوف بمفتاح رئيسي خارج القاعدة.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يُدوَّر مفتاح البيانات وتعمل مهمة إعادة التشفير، ثم تُقرأ وثيقة قديمة وأخرى جديدة، ثم تُستعاد نسخة احتياطية في بيئة معزولة بلا المفتاح الرئيسي.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القراءتان تنجحان؛ أحداث المفاتيح مسجَّلة بشدة عالية؛ والأعمدة المشفَّرة في النسخة المستعادة غير قابلة للقراءة (تفاصيل المفاتيح في DOC-S02).</w:t>
      </w:r>
    </w:p>
    <w:p>
      <w:pPr>
        <w:bidi/>
        <w:spacing w:after="110" w:before="0" w:line="312"/>
      </w:pPr>
      <w:r>
        <w:rPr>
          <w:rFonts w:ascii="Arial" w:cs="Arial" w:eastAsia="Arial" w:hAnsi="Arial"/>
          <w:b/>
          <w:bCs/>
          <w:sz w:val="21"/>
          <w:szCs w:val="21"/>
          <w:rtl/>
        </w:rPr>
        <w:t xml:space="preserve">AC-PLT-18 — الواجهة البرمجية أولًا (FR-PLT-041).</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بناءً يولّد وثيقة OpenAPI.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تُشغَّل اختبارات الواجهة مع تسجيل طلبات الشبكة، وتُضاف نقطة بلا توثيق.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كل طلب من الواجهة يطابق مسارًا موثقًا؛ المعرّفات الخارجية GUID؛ والنقطة غير الموثقة تفشل فحص العقد في البناء (العقد في DOC-B04).</w:t>
      </w:r>
    </w:p>
    <w:p>
      <w:pPr>
        <w:bidi/>
        <w:spacing w:after="110" w:before="0" w:line="312"/>
      </w:pPr>
      <w:r>
        <w:rPr>
          <w:rFonts w:ascii="Arial" w:cs="Arial" w:eastAsia="Arial" w:hAnsi="Arial"/>
          <w:b/>
          <w:bCs/>
          <w:sz w:val="21"/>
          <w:szCs w:val="21"/>
          <w:rtl/>
        </w:rPr>
        <w:t xml:space="preserve">AC-PLT-19 — إعدادات المشترك (FR-PLT-043، BR-PLT-018).</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الإعدادات الافتراضية.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يضبط المدير مهلة إعادة الإخفاء 5 ثوانٍ، ثم work.start=08:00 وwork.end=10:00، ثم 07:00 و18:00.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الأول مرفوض لأن الحد الأدنى 15؛ الثاني مرفوض مع شرح (أقل من 4 ساعات)؛ الثالث مقبول ومدقَّق بالقيمتين.</w:t>
      </w:r>
    </w:p>
    <w:p>
      <w:pPr>
        <w:bidi/>
        <w:spacing w:after="110" w:before="0" w:line="312"/>
      </w:pPr>
      <w:r>
        <w:rPr>
          <w:rFonts w:ascii="Arial" w:cs="Arial" w:eastAsia="Arial" w:hAnsi="Arial"/>
          <w:b/>
          <w:bCs/>
          <w:sz w:val="21"/>
          <w:szCs w:val="21"/>
          <w:rtl/>
        </w:rPr>
        <w:t xml:space="preserve">AC-PLT-20 — المهام الخلفية (FR-PLT-044، FR-NTF-016).</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مهمة التنبيه اليومية لمشترك تعمل بحساب الخدمة IsSystemUser.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تفشل في تشغيل 02:00 بخطأ مصطنع، ثم تُوقف ثلاثة أيام وتُشغَّل.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يظهر الفشل في شاشة المهام بمدته ونتيجته وتُعاد المحاولة خلال ساعة؛ وبعد الإيقاف لا تصل ثلاث نسخ من التنبيه نفسه.</w:t>
      </w:r>
    </w:p>
    <w:p>
      <w:pPr>
        <w:bidi/>
        <w:spacing w:after="110" w:before="0" w:line="312"/>
      </w:pPr>
      <w:r>
        <w:rPr>
          <w:rFonts w:ascii="Arial" w:cs="Arial" w:eastAsia="Arial" w:hAnsi="Arial"/>
          <w:b/>
          <w:bCs/>
          <w:sz w:val="21"/>
          <w:szCs w:val="21"/>
          <w:rtl/>
        </w:rPr>
        <w:t xml:space="preserve">AC-PLT-21 — العنوان الفرعي وسياق المشترك (FR-PLT-046).</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مشتركين </w:t>
      </w:r>
      <w:r>
        <w:rPr>
          <w:rFonts w:ascii="Courier New" w:cs="Courier New" w:eastAsia="Courier New" w:hAnsi="Courier New"/>
          <w:b w:val="false"/>
          <w:bCs w:val="false"/>
          <w:color w:val="1F2937"/>
          <w:sz w:val="18"/>
          <w:szCs w:val="18"/>
          <w:shd w:fill="F1F3F5" w:color="auto" w:val="clear"/>
          <w:rtl/>
        </w:rPr>
        <w:t xml:space="preserve">‎alpha‎</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‎beta‎</w:t>
      </w:r>
      <w:r>
        <w:rPr>
          <w:rFonts w:ascii="Arial" w:cs="Arial" w:eastAsia="Arial" w:hAnsi="Arial"/>
          <w:b w:val="false"/>
          <w:bCs w:val="false"/>
          <w:sz w:val="21"/>
          <w:szCs w:val="21"/>
          <w:rtl/>
        </w:rPr>
        <w:t xml:space="preserve">، ومستخدمًا له جلسة في </w:t>
      </w:r>
      <w:r>
        <w:rPr>
          <w:rFonts w:ascii="Courier New" w:cs="Courier New" w:eastAsia="Courier New" w:hAnsi="Courier New"/>
          <w:b w:val="false"/>
          <w:bCs w:val="false"/>
          <w:color w:val="1F2937"/>
          <w:sz w:val="18"/>
          <w:szCs w:val="18"/>
          <w:shd w:fill="F1F3F5" w:color="auto" w:val="clear"/>
          <w:rtl/>
        </w:rPr>
        <w:t xml:space="preserve">‎alpha.bankfas.com‎</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يرسل رمز جلسته إلى </w:t>
      </w:r>
      <w:r>
        <w:rPr>
          <w:rFonts w:ascii="Courier New" w:cs="Courier New" w:eastAsia="Courier New" w:hAnsi="Courier New"/>
          <w:b w:val="false"/>
          <w:bCs w:val="false"/>
          <w:color w:val="1F2937"/>
          <w:sz w:val="18"/>
          <w:szCs w:val="18"/>
          <w:shd w:fill="F1F3F5" w:color="auto" w:val="clear"/>
          <w:rtl/>
        </w:rPr>
        <w:t xml:space="preserve">‎beta.bankfas.com‎</w:t>
      </w:r>
      <w:r>
        <w:rPr>
          <w:rFonts w:ascii="Arial" w:cs="Arial" w:eastAsia="Arial" w:hAnsi="Arial"/>
          <w:b w:val="false"/>
          <w:bCs w:val="false"/>
          <w:sz w:val="21"/>
          <w:szCs w:val="21"/>
          <w:rtl/>
        </w:rPr>
        <w:t xml:space="preserve">، ثم يُفتح عنوان فرعي غير معروف، ثم يُسجَّل مشترك برمز </w:t>
      </w:r>
      <w:r>
        <w:rPr>
          <w:rFonts w:ascii="Courier New" w:cs="Courier New" w:eastAsia="Courier New" w:hAnsi="Courier New"/>
          <w:b w:val="false"/>
          <w:bCs w:val="false"/>
          <w:color w:val="1F2937"/>
          <w:sz w:val="18"/>
          <w:szCs w:val="18"/>
          <w:shd w:fill="F1F3F5" w:color="auto" w:val="clear"/>
          <w:rtl/>
        </w:rPr>
        <w:t xml:space="preserve">‎www‎</w:t>
      </w:r>
      <w:r>
        <w:rPr>
          <w:rFonts w:ascii="Arial" w:cs="Arial" w:eastAsia="Arial" w:hAnsi="Arial"/>
          <w:b w:val="false"/>
          <w:bCs w:val="false"/>
          <w:sz w:val="21"/>
          <w:szCs w:val="21"/>
          <w:rtl/>
        </w:rPr>
        <w:t xml:space="preserve">، ثم يُغيَّر رمز </w:t>
      </w:r>
      <w:r>
        <w:rPr>
          <w:rFonts w:ascii="Courier New" w:cs="Courier New" w:eastAsia="Courier New" w:hAnsi="Courier New"/>
          <w:b w:val="false"/>
          <w:bCs w:val="false"/>
          <w:color w:val="1F2937"/>
          <w:sz w:val="18"/>
          <w:szCs w:val="18"/>
          <w:shd w:fill="F1F3F5" w:color="auto" w:val="clear"/>
          <w:rtl/>
        </w:rPr>
        <w:t xml:space="preserve">‎alpha‎</w:t>
      </w:r>
      <w:r>
        <w:rPr>
          <w:rFonts w:ascii="Arial" w:cs="Arial" w:eastAsia="Arial" w:hAnsi="Arial"/>
          <w:b w:val="false"/>
          <w:bCs w:val="false"/>
          <w:sz w:val="21"/>
          <w:szCs w:val="21"/>
          <w:rtl/>
        </w:rPr>
        <w:t xml:space="preserve"> بعد تفعيله.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الطلب الأول مرفوض لأن الجلسة لا تربط مشتركًا آخر (50003، T18)؛ العنوان المجهول يعطي صفحة محايدة لا تكشف وجود مشترك؛ والرمز المحجوز والتغيير مرفوضان.</w:t>
      </w:r>
    </w:p>
    <w:p>
      <w:pPr>
        <w:bidi/>
        <w:spacing w:after="110" w:before="0" w:line="312"/>
      </w:pPr>
      <w:r>
        <w:rPr>
          <w:rFonts w:ascii="Arial" w:cs="Arial" w:eastAsia="Arial" w:hAnsi="Arial"/>
          <w:b/>
          <w:bCs/>
          <w:sz w:val="21"/>
          <w:szCs w:val="21"/>
          <w:rtl/>
        </w:rPr>
        <w:t xml:space="preserve">AC-PLT-22 — طابور الأحداث (FR-PLT-042؛ S1).</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شركة جديدة.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تُحفظ بنجاح، ثم يُعاد الحفظ لشركة أخرى مع فشل مصطنع بعد كتابة الحدث.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يدخل </w:t>
      </w:r>
      <w:r>
        <w:rPr>
          <w:rFonts w:ascii="Courier New" w:cs="Courier New" w:eastAsia="Courier New" w:hAnsi="Courier New"/>
          <w:b w:val="false"/>
          <w:bCs w:val="false"/>
          <w:color w:val="1F2937"/>
          <w:sz w:val="18"/>
          <w:szCs w:val="18"/>
          <w:shd w:fill="F1F3F5" w:color="auto" w:val="clear"/>
          <w:rtl/>
        </w:rPr>
        <w:t xml:space="preserve">‎company.created‎</w:t>
      </w:r>
      <w:r>
        <w:rPr>
          <w:rFonts w:ascii="Arial" w:cs="Arial" w:eastAsia="Arial" w:hAnsi="Arial"/>
          <w:b w:val="false"/>
          <w:bCs w:val="false"/>
          <w:sz w:val="21"/>
          <w:szCs w:val="21"/>
          <w:rtl/>
        </w:rPr>
        <w:t xml:space="preserve"> الطابور في معاملة الحفظ نفسها وحمولته بلا أرقام هويات؛ وفي الحالة الثانية لا تبقى الشركة ولا الحدث.</w:t>
      </w:r>
    </w:p>
    <w:p>
      <w:pPr>
        <w:pStyle w:val="Heading2"/>
        <w:bidi/>
      </w:pPr>
      <w:bookmarkStart w:name="_sec7" w:id="7"/>
      <w:r>
        <w:rPr>
          <w:rFonts w:ascii="Arial" w:cs="Arial" w:eastAsia="Arial" w:hAnsi="Arial"/>
          <w:b/>
          <w:bCs/>
          <w:color w:val="2B5C8A"/>
          <w:sz w:val="26"/>
          <w:szCs w:val="26"/>
          <w:rtl/>
        </w:rPr>
        <w:t xml:space="preserve">3.2 الهيكل المؤسسي (ORG)</w:t>
      </w:r>
      <w:bookmarkEnd w:id="7"/>
    </w:p>
    <w:p>
      <w:pPr>
        <w:bidi/>
        <w:spacing w:after="110" w:before="0" w:line="312"/>
      </w:pPr>
      <w:r>
        <w:rPr>
          <w:rFonts w:ascii="Arial" w:cs="Arial" w:eastAsia="Arial" w:hAnsi="Arial"/>
          <w:b/>
          <w:bCs/>
          <w:sz w:val="21"/>
          <w:szCs w:val="21"/>
          <w:rtl/>
        </w:rPr>
        <w:t xml:space="preserve">AC-ORG-4 — الشركة وهرمها ومرآتها (FR-ORG-001 إلى FR-ORG-004، FR-ORG-008، FR-PTY-003).</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مشتركًا دولته SA وشكلين قانونيين مبذورين وشركة A.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تُنشأ B برمز A نفسه، ثم برمز جديد وعلم «قابضة» وعملة SAR، ثم تُجعل A أمًّا لـ B ثم B أمًّا لـ A، ثم تُعطى شركة C عملة غير معرّفة، ثم يُعدَّل اسم B، ثم يُعطَّل الشكل القانوني المستعمل.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الرمز المكرر مرفوض؛ B قابضة دون تغيير شكلها وتنشأ لها Party مرآة؛ الحلقة مرفوضة؛ العملة غير المعرّفة مرفوضة؛ الاسم الجديد يظهر في المرآة التي لا تُدمج ولا تُحذف؛ وتعطيل الشكل يخفيه من الاختيار ولا يمس B.</w:t>
      </w:r>
    </w:p>
    <w:p>
      <w:pPr>
        <w:bidi/>
        <w:spacing w:after="110" w:before="0" w:line="312"/>
      </w:pPr>
      <w:r>
        <w:rPr>
          <w:rFonts w:ascii="Arial" w:cs="Arial" w:eastAsia="Arial" w:hAnsi="Arial"/>
          <w:b/>
          <w:bCs/>
          <w:sz w:val="21"/>
          <w:szCs w:val="21"/>
          <w:rtl/>
        </w:rPr>
        <w:t xml:space="preserve">AC-ORG-5 — السنة المالية والضريبة (FR-ORG-006، FR-ORG-007).</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شركة نهاية سنتها المالية 30 يونيو، ونسبة ضريبة توضيحية 5% حتى 2026-06-30.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تُضاف نسبة 15% من 2026-07-01، ويُسأل عن الفترة المالية 2026 وعن النسبة في 2026-06-15 وفي 2026-07-01.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الفترة من 2025-07-01 إلى 2026-06-30؛ النسبتان 5% ثم 15%؛ الصف السابق يُغلق في 2026-06-30؛ ولا نسبة مضمَّنة في الكود.</w:t>
      </w:r>
    </w:p>
    <w:p>
      <w:pPr>
        <w:bidi/>
        <w:spacing w:after="110" w:before="0" w:line="312"/>
      </w:pPr>
      <w:r>
        <w:rPr>
          <w:rFonts w:ascii="Arial" w:cs="Arial" w:eastAsia="Arial" w:hAnsi="Arial"/>
          <w:b/>
          <w:bCs/>
          <w:sz w:val="21"/>
          <w:szCs w:val="21"/>
          <w:rtl/>
        </w:rPr>
        <w:t xml:space="preserve">AC-ORG-6 — شركة بمستنداتها وتنبيه انتهائها (FR-ORG-011، FR-ORG-012، FR-ORG-013، FR-PLT-038؛ خروج S1).</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اليوم 2026-10-12، وشركة C1، وأنواع المستندات المؤسسية المبذورة، وعتبات 90/60/30/7.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يُرفع سجل تجاري من تبويب الشركة ينتهي 2026-11-06، وشهادة زكاة من شاشة السجل العام، ويضيف المشترك نوعًا جديدًا في الكتالوج، وتعمل مهمة التنبيه مرتين في اليوم نفسه، ثم يُجدَّد السجل إلى 2027-11-06.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المستندان يظهران في الشاشتين؛ النوع الجديد يظهر في شاشة الرفع دون نشر؛ السجل «تنتهي قريبًا» (25 يومًا) مع تنبيه واحد بعتبة 30 لا يتكرر؛ والتجديد يعيد ضبط العتبات.</w:t>
      </w:r>
    </w:p>
    <w:p>
      <w:pPr>
        <w:bidi/>
        <w:spacing w:after="110" w:before="0" w:line="312"/>
      </w:pPr>
      <w:r>
        <w:rPr>
          <w:rFonts w:ascii="Arial" w:cs="Arial" w:eastAsia="Arial" w:hAnsi="Arial"/>
          <w:b/>
          <w:bCs/>
          <w:sz w:val="21"/>
          <w:szCs w:val="21"/>
          <w:rtl/>
        </w:rPr>
        <w:t xml:space="preserve">AC-ORG-7 — عنوان الشركة وأرشفتها (FR-ORG-009، FR-ORG-010).</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شركة C2 لها عنوان وطني عبر مرآتها، ومستخدمًا نطاقه C2 وحدها.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يُعدَّل العنوان، ثم يحاول المدير أرشفة C2، ثم يوسّع نطاق المستخدم ويعيد المحاولة.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العنوان الجديد يظهر حيث تُستعمل الشركة؛ الأرشفة الأولى مرفوضة بذكر السبب؛ الثانية تنجح فتختفي C2 من القوائم المنسدلة وتبقى في السجلات وتُؤرشف مرآتها.</w:t>
      </w:r>
    </w:p>
    <w:p>
      <w:pPr>
        <w:bidi/>
        <w:spacing w:after="110" w:before="0" w:line="312"/>
      </w:pPr>
      <w:r>
        <w:rPr>
          <w:rFonts w:ascii="Arial" w:cs="Arial" w:eastAsia="Arial" w:hAnsi="Arial"/>
          <w:b/>
          <w:bCs/>
          <w:sz w:val="21"/>
          <w:szCs w:val="21"/>
          <w:rtl/>
        </w:rPr>
        <w:t xml:space="preserve">AC-ORG-8 — الإدارات (FR-ORG-014، BR-ORG-016).</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إدارة مشتريات فيها مستخدمان، ولا إدارة بعلم «خزينة».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تُنشأ إدارة برمز مكرر، ثم يحاول المدير تعطيل إدارة المشتريات.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الرمز المكرر مرفوض؛ يظهر تحذير غياب إدارة «خزينة»؛ والتعطيل مرفوض لوجود مستخدمين.</w:t>
      </w:r>
    </w:p>
    <w:p>
      <w:pPr>
        <w:pStyle w:val="Heading2"/>
        <w:bidi/>
      </w:pPr>
      <w:bookmarkStart w:name="_sec8" w:id="8"/>
      <w:r>
        <w:rPr>
          <w:rFonts w:ascii="Arial" w:cs="Arial" w:eastAsia="Arial" w:hAnsi="Arial"/>
          <w:b/>
          <w:bCs/>
          <w:color w:val="2B5C8A"/>
          <w:sz w:val="26"/>
          <w:szCs w:val="26"/>
          <w:rtl/>
        </w:rPr>
        <w:t xml:space="preserve">3.3 الأشخاص والجهات (PTY)</w:t>
      </w:r>
      <w:bookmarkEnd w:id="8"/>
    </w:p>
    <w:p>
      <w:pPr>
        <w:bidi/>
        <w:spacing w:after="110" w:before="0" w:line="312"/>
      </w:pPr>
      <w:r>
        <w:rPr>
          <w:rFonts w:ascii="Arial" w:cs="Arial" w:eastAsia="Arial" w:hAnsi="Arial"/>
          <w:b/>
          <w:bCs/>
          <w:sz w:val="21"/>
          <w:szCs w:val="21"/>
          <w:rtl/>
        </w:rPr>
        <w:t xml:space="preserve">AC-PTY-4 — الشخص ووثيقته الأساسية والبحث (FR-PTY-001، FR-PTY-002، FR-PTY-004، FR-PTY-005).</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مشتركًا دولته SA.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يُحفظ شخص بلا اسم، ثم مواطن بهوية وطنية، ومقيم أجنبي بإقامة وجواز، وخليجي بهوية خليجية وجواز، وغير مقيم بجواز، ثم يُبحث برقم الإقامة وبالاسم العربي مكتوبًا بهمزة مختلفة.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الحفظ بلا اسم مرفوض؛ الوثيقة الأساسية على الترتيب: الهوية الوطنية، الإقامة، الهوية الخليجية مع جواز مطلوب، الجواز، وتجاوزها يتطلب سببًا؛ البحث بالرقم يعيد الشخص عبر الفهرس الأعمى ولا يسجّل فك تشفير؛ والبحث بالاسم يعيده بعد التطبيع.</w:t>
      </w:r>
    </w:p>
    <w:p>
      <w:pPr>
        <w:bidi/>
        <w:spacing w:after="110" w:before="0" w:line="312"/>
      </w:pPr>
      <w:r>
        <w:rPr>
          <w:rFonts w:ascii="Arial" w:cs="Arial" w:eastAsia="Arial" w:hAnsi="Arial"/>
          <w:b/>
          <w:bCs/>
          <w:sz w:val="21"/>
          <w:szCs w:val="21"/>
          <w:rtl/>
        </w:rPr>
        <w:t xml:space="preserve">AC-PTY-5 — تشفير الأرقام والصور (FR-PTY-006، FR-PTY-009).</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وثيقة رقمها ينتهي بـ 7890 وصورتي وجه وظهر.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يُفحص الجدول مباشرة في بيئة الاختبار، ويقرأ دور التقارير عمود الرقم، ويُعرض القناع، ثم تُستبدل صورة الوجه، ثم يطلب موظف خزينة المصغّرة.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لا يظهر الرقم نصًّا؛ دور التقارير يتلقى 230 (T21)؛ القناع </w:t>
      </w:r>
      <w:r>
        <w:rPr>
          <w:rFonts w:ascii="Courier New" w:cs="Courier New" w:eastAsia="Courier New" w:hAnsi="Courier New"/>
          <w:b w:val="false"/>
          <w:bCs w:val="false"/>
          <w:color w:val="1F2937"/>
          <w:sz w:val="18"/>
          <w:szCs w:val="18"/>
          <w:shd w:fill="F1F3F5" w:color="auto" w:val="clear"/>
          <w:rtl/>
        </w:rPr>
        <w:t xml:space="preserve">‎******7890‎</w:t>
      </w:r>
      <w:r>
        <w:rPr>
          <w:rFonts w:ascii="Arial" w:cs="Arial" w:eastAsia="Arial" w:hAnsi="Arial"/>
          <w:b w:val="false"/>
          <w:bCs w:val="false"/>
          <w:sz w:val="21"/>
          <w:szCs w:val="21"/>
          <w:rtl/>
        </w:rPr>
        <w:t xml:space="preserve"> يُعرض بلا فك تشفير؛ الصورة السابقة تبقى إصدارًا؛ والمصغّرة ترجع 403.</w:t>
      </w:r>
    </w:p>
    <w:p>
      <w:pPr>
        <w:bidi/>
        <w:spacing w:after="110" w:before="0" w:line="312"/>
      </w:pPr>
      <w:r>
        <w:rPr>
          <w:rFonts w:ascii="Arial" w:cs="Arial" w:eastAsia="Arial" w:hAnsi="Arial"/>
          <w:b/>
          <w:bCs/>
          <w:sz w:val="21"/>
          <w:szCs w:val="21"/>
          <w:rtl/>
        </w:rPr>
        <w:t xml:space="preserve">AC-PTY-6 — تحقق الشكل والعناوين والاتصال (FR-PTY-010، FR-PTY-011، FR-PTY-012).</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نمط هوية وطنية بعشر خانات بوضع «تحذير»، ونمط العنوان الوطني مفعّلًا.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يُدخل رقم بتسع خانات، ثم عنوان وطني بلا رمز بريدي، ثم بريد ثانٍ يُعيَّن أساسيًا.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الرقم يُحفظ بتحذير؛ العنوان مرفوض؛ والبريد الأول يفقد علم «أساسي» آليًا.</w:t>
      </w:r>
    </w:p>
    <w:p>
      <w:pPr>
        <w:bidi/>
        <w:spacing w:after="110" w:before="0" w:line="312"/>
      </w:pPr>
      <w:r>
        <w:rPr>
          <w:rFonts w:ascii="Arial" w:cs="Arial" w:eastAsia="Arial" w:hAnsi="Arial"/>
          <w:b/>
          <w:bCs/>
          <w:sz w:val="21"/>
          <w:szCs w:val="21"/>
          <w:rtl/>
        </w:rPr>
        <w:t xml:space="preserve">AC-PTY-7 — الحقول المخصصة (FR-PTY-013، FR-PTY-014).</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حقلين مخصصين: «جهة العمل» داخلي، و«مصدر الأموال» مقيَّد.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يُعرَّفان، ثم يفتح موظف خزينة ومدير خزينة ملف شخص.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«جهة العمل» يظهر في كل ملف دون تعديل الهيكل؛ «مصدر الأموال» مشفّر ومقنَّع، لا يراه الموظف، ويراه المدير بكشف مدقَّق.</w:t>
      </w:r>
    </w:p>
    <w:p>
      <w:pPr>
        <w:bidi/>
        <w:spacing w:after="110" w:before="0" w:line="312"/>
      </w:pPr>
      <w:r>
        <w:rPr>
          <w:rFonts w:ascii="Arial" w:cs="Arial" w:eastAsia="Arial" w:hAnsi="Arial"/>
          <w:b/>
          <w:bCs/>
          <w:sz w:val="21"/>
          <w:szCs w:val="21"/>
          <w:rtl/>
        </w:rPr>
        <w:t xml:space="preserve">AC-PTY-8 — الأدوار المشتقة والرؤية والتعطيل (FR-PTY-017، FR-PTY-018، FR-PTY-019، FR-PTY-028).</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شخصًا P1 ممولًا فردًا عبر منشأة من نوع «فرد» لها علاقة بالشركة C1، ومربوطًا بجهة اتصال لدى بنك، ومستخدمَين نطاق الأول C1 ونطاق الثاني C2.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تُفتح بطاقة P1 ونظرته الشاملة بكل مستخدم، ثم يُحاول تعطيل P1.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البطاقة تعرض شارتي الاستخدام بأعدادهما وروابطهما دون دور مخزَّن؛ مستخدم C2 لا يجد P1؛ النظرة الشاملة تعرض لمستخدم C1 الاستخدامات المسموحة فقط؛ والتعطيل مرفوض لوجود استخدام نشط. شارات المالك والكفيل تُختبر في S1-ب وS2.</w:t>
      </w:r>
    </w:p>
    <w:p>
      <w:pPr>
        <w:bidi/>
        <w:spacing w:after="110" w:before="0" w:line="312"/>
      </w:pPr>
      <w:r>
        <w:rPr>
          <w:rFonts w:ascii="Arial" w:cs="Arial" w:eastAsia="Arial" w:hAnsi="Arial"/>
          <w:b/>
          <w:bCs/>
          <w:sz w:val="21"/>
          <w:szCs w:val="21"/>
          <w:rtl/>
        </w:rPr>
        <w:t xml:space="preserve">AC-PTY-9 — تحقق الأصل وتجديد الوثيقة (FR-PTY-020، FR-PTY-022).</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جوازًا عليه علامة «تم التحقق من الأصل».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يُصحَّح تاريخ انتهائه، ثم يُجدَّد بجواز جديد.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التصحيح يمسح العلامة؛ التجديد ينشئ وثيقة جديدة ويجعل القديمة «مستبدلة» بصورها؛ وبقاء مرجع الكفالة على الوثيقة القديمة يُختبر في S2.</w:t>
      </w:r>
    </w:p>
    <w:p>
      <w:pPr>
        <w:pStyle w:val="Heading2"/>
        <w:bidi/>
      </w:pPr>
      <w:bookmarkStart w:name="_sec9" w:id="9"/>
      <w:r>
        <w:rPr>
          <w:rFonts w:ascii="Arial" w:cs="Arial" w:eastAsia="Arial" w:hAnsi="Arial"/>
          <w:b/>
          <w:bCs/>
          <w:color w:val="2B5C8A"/>
          <w:sz w:val="26"/>
          <w:szCs w:val="26"/>
          <w:rtl/>
        </w:rPr>
        <w:t xml:space="preserve">3.4 المنشآت المالية (INS)</w:t>
      </w:r>
      <w:bookmarkEnd w:id="9"/>
    </w:p>
    <w:p>
      <w:pPr>
        <w:bidi/>
        <w:spacing w:after="110" w:before="0" w:line="312"/>
      </w:pPr>
      <w:r>
        <w:rPr>
          <w:rFonts w:ascii="Arial" w:cs="Arial" w:eastAsia="Arial" w:hAnsi="Arial"/>
          <w:b/>
          <w:bCs/>
          <w:sz w:val="21"/>
          <w:szCs w:val="21"/>
          <w:rtl/>
        </w:rPr>
        <w:t xml:space="preserve">AC-INS-4 — أنواع المنشآت وتعريفها (FR-INS-001 إلى FR-INS-004).</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مشتركًا دولته SA بعد التهيئة.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تُعرض الأنواع، ثم تُنشأ منشأة بـ BIC من 9 خانات، ثم بـ BIC من 8 خانات ودولة AE، ثم منشأة من نوع «فرد» بلا Party ثم بـ Party موجود، ثم منشأة بدولة غير مفعّلة.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تظهر 5 أنواع؛ BIC من 9 خانات مرفوض؛ المنشأة الإماراتية «أجنبي» والتصفية تعيدها؛ «فرد» بلا Party مرفوض وبه مقبول بلا حقول هوية في بطاقة المنشأة؛ والدولة غير المفعّلة مرفوضة.</w:t>
      </w:r>
    </w:p>
    <w:p>
      <w:pPr>
        <w:bidi/>
        <w:spacing w:after="110" w:before="0" w:line="312"/>
      </w:pPr>
      <w:r>
        <w:rPr>
          <w:rFonts w:ascii="Arial" w:cs="Arial" w:eastAsia="Arial" w:hAnsi="Arial"/>
          <w:b/>
          <w:bCs/>
          <w:sz w:val="21"/>
          <w:szCs w:val="21"/>
          <w:rtl/>
        </w:rPr>
        <w:t xml:space="preserve">AC-INS-5 — هيكل المنشأة وبيانات الوحدة (FR-INS-005، FR-INS-006).</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منشأة </w:t>
      </w:r>
      <w:r>
        <w:rPr>
          <w:rFonts w:ascii="Courier New" w:cs="Courier New" w:eastAsia="Courier New" w:hAnsi="Courier New"/>
          <w:b w:val="false"/>
          <w:bCs w:val="false"/>
          <w:color w:val="1F2937"/>
          <w:sz w:val="18"/>
          <w:szCs w:val="18"/>
          <w:shd w:fill="F1F3F5" w:color="auto" w:val="clear"/>
          <w:rtl/>
        </w:rPr>
        <w:t xml:space="preserve">‎BNK1‎</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تُنشأ أربع وحدات متداخلة، ثم خامسة تحتها، ثم تُجعل الأولى تابعة للرابعة، ثم يُدخل بريد بصيغة خاطئة.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المستويات الأربعة مقبولة؛ الخامس والحلقة مرفوضان؛ والبريد الخاطئ مرفوض.</w:t>
      </w:r>
    </w:p>
    <w:p>
      <w:pPr>
        <w:bidi/>
        <w:spacing w:after="110" w:before="0" w:line="312"/>
      </w:pPr>
      <w:r>
        <w:rPr>
          <w:rFonts w:ascii="Arial" w:cs="Arial" w:eastAsia="Arial" w:hAnsi="Arial"/>
          <w:b/>
          <w:bCs/>
          <w:sz w:val="21"/>
          <w:szCs w:val="21"/>
          <w:rtl/>
        </w:rPr>
        <w:t xml:space="preserve">AC-INS-6 — العلاقة والتغطية والمنتجات والقناة (FR-INS-009 إلى FR-INS-013).</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شركة C1 ومنشأتين </w:t>
      </w:r>
      <w:r>
        <w:rPr>
          <w:rFonts w:ascii="Courier New" w:cs="Courier New" w:eastAsia="Courier New" w:hAnsi="Courier New"/>
          <w:b w:val="false"/>
          <w:bCs w:val="false"/>
          <w:color w:val="1F2937"/>
          <w:sz w:val="18"/>
          <w:szCs w:val="18"/>
          <w:shd w:fill="F1F3F5" w:color="auto" w:val="clear"/>
          <w:rtl/>
        </w:rPr>
        <w:t xml:space="preserve">‎BNK1‎</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‎BNK2‎</w:t>
      </w:r>
      <w:r>
        <w:rPr>
          <w:rFonts w:ascii="Arial" w:cs="Arial" w:eastAsia="Arial" w:hAnsi="Arial"/>
          <w:b w:val="false"/>
          <w:bCs w:val="false"/>
          <w:sz w:val="21"/>
          <w:szCs w:val="21"/>
          <w:rtl/>
        </w:rPr>
        <w:t xml:space="preserve"> ومنتجًا غير نشط.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تُنشأ علاقة C1 مع </w:t>
      </w:r>
      <w:r>
        <w:rPr>
          <w:rFonts w:ascii="Courier New" w:cs="Courier New" w:eastAsia="Courier New" w:hAnsi="Courier New"/>
          <w:b w:val="false"/>
          <w:bCs w:val="false"/>
          <w:color w:val="1F2937"/>
          <w:sz w:val="18"/>
          <w:szCs w:val="18"/>
          <w:shd w:fill="F1F3F5" w:color="auto" w:val="clear"/>
          <w:rtl/>
        </w:rPr>
        <w:t xml:space="preserve">‎BNK1‎</w:t>
      </w:r>
      <w:r>
        <w:rPr>
          <w:rFonts w:ascii="Arial" w:cs="Arial" w:eastAsia="Arial" w:hAnsi="Arial"/>
          <w:b w:val="false"/>
          <w:bCs w:val="false"/>
          <w:sz w:val="21"/>
          <w:szCs w:val="21"/>
          <w:rtl/>
        </w:rPr>
        <w:t xml:space="preserve"> برقم عميل 20001، ثم علاقة ثانية للزوج نفسه، ثم مدير علاقة برتبة 1 وآخر بالرتبة نفسها، ثم يُستبدل الأول بتاريخ، ويُضاف المنتج غير النشط، وتُختار جهة من </w:t>
      </w:r>
      <w:r>
        <w:rPr>
          <w:rFonts w:ascii="Courier New" w:cs="Courier New" w:eastAsia="Courier New" w:hAnsi="Courier New"/>
          <w:b w:val="false"/>
          <w:bCs w:val="false"/>
          <w:color w:val="1F2937"/>
          <w:sz w:val="18"/>
          <w:szCs w:val="18"/>
          <w:shd w:fill="F1F3F5" w:color="auto" w:val="clear"/>
          <w:rtl/>
        </w:rPr>
        <w:t xml:space="preserve">‎BNK2‎</w:t>
      </w:r>
      <w:r>
        <w:rPr>
          <w:rFonts w:ascii="Arial" w:cs="Arial" w:eastAsia="Arial" w:hAnsi="Arial"/>
          <w:b w:val="false"/>
          <w:bCs w:val="false"/>
          <w:sz w:val="21"/>
          <w:szCs w:val="21"/>
          <w:rtl/>
        </w:rPr>
        <w:t xml:space="preserve"> جهةً افتراضية، وتُضبط القناة DIRECT_INTEGRATION.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المحاولة الثانية تفتح العلاقة القائمة؛ الرتبة المكررة مرفوضة؛ الاستبدال يغلق الصف القديم ويبقيه؛ المنتج غير النشط والجهة الخارجية مرفوضان؛ القناة الافتراضية «نموذج يدوي»، وDIRECT_INTEGRATION مرفوضة برسالة «غير مفعّل».</w:t>
      </w:r>
    </w:p>
    <w:p>
      <w:pPr>
        <w:bidi/>
        <w:spacing w:after="110" w:before="0" w:line="312"/>
      </w:pPr>
      <w:r>
        <w:rPr>
          <w:rFonts w:ascii="Arial" w:cs="Arial" w:eastAsia="Arial" w:hAnsi="Arial"/>
          <w:b/>
          <w:bCs/>
          <w:sz w:val="21"/>
          <w:szCs w:val="21"/>
          <w:rtl/>
        </w:rPr>
        <w:t xml:space="preserve">AC-INS-7 — الإغلاق ومسودة المعالج (FR-INS-015، FR-INS-016).</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علاقة لها حساب نشط، ومعالج إعداد بنك متوقفًا عند الخطوة الثالثة.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تُغلق العلاقة، ثم يُحفظ المعالج مسودة ويُستأنف.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الإغلاق مرفوض بقائمة المراجع؛ المسودة تنشئ منشأة DRAFT وعلاقات PROSPECT؛ والاستئناف يعيد إلى الخطوة الثالثة.</w:t>
      </w:r>
    </w:p>
    <w:p>
      <w:pPr>
        <w:bidi/>
        <w:spacing w:after="110" w:before="0" w:line="312"/>
      </w:pPr>
      <w:r>
        <w:rPr>
          <w:rFonts w:ascii="Arial" w:cs="Arial" w:eastAsia="Arial" w:hAnsi="Arial"/>
          <w:b/>
          <w:bCs/>
          <w:sz w:val="21"/>
          <w:szCs w:val="21"/>
          <w:rtl/>
        </w:rPr>
        <w:t xml:space="preserve">AC-INS-8 — التصعيد والجودة والبحث (FR-INS-017 إلى FR-INS-020).</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بيانات اختبار فيها 5,000 جهة اتصال، وعلاقة بلا مدير علاقة، ومنتجًا بلا جهة افتراضية، وجهة بلا وسيلة اتصال.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تُطبع ورقة التصعيد، ويُشغَّل R-INS-04، ويُبحث بجزء من رقم هاتف، ويُطلب حقل «مرجع الدليل».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الورقة تعرض الصفوف النشطة بترتيب Rank؛ التقرير يسرد الحالات الثلاث؛ البحث يعيد الجهة في أقل من ثانيتين (NFR-PERF-02 في DOC-B03)؛ والحقل في الواجهة البرمجية فقط.</w:t>
      </w:r>
    </w:p>
    <w:p>
      <w:pPr>
        <w:pStyle w:val="Heading2"/>
        <w:bidi/>
      </w:pPr>
      <w:bookmarkStart w:name="_sec10" w:id="10"/>
      <w:r>
        <w:rPr>
          <w:rFonts w:ascii="Arial" w:cs="Arial" w:eastAsia="Arial" w:hAnsi="Arial"/>
          <w:b/>
          <w:bCs/>
          <w:color w:val="2B5C8A"/>
          <w:sz w:val="26"/>
          <w:szCs w:val="26"/>
          <w:rtl/>
        </w:rPr>
        <w:t xml:space="preserve">3.5 الحسابات (ACC)</w:t>
      </w:r>
      <w:bookmarkEnd w:id="10"/>
    </w:p>
    <w:p>
      <w:pPr>
        <w:bidi/>
        <w:spacing w:after="110" w:before="0" w:line="312"/>
      </w:pPr>
      <w:r>
        <w:rPr>
          <w:rFonts w:ascii="Arial" w:cs="Arial" w:eastAsia="Arial" w:hAnsi="Arial"/>
          <w:b/>
          <w:bCs/>
          <w:sz w:val="21"/>
          <w:szCs w:val="21"/>
          <w:rtl/>
        </w:rPr>
        <w:t xml:space="preserve">AC-ACC-5 — أنواع الحسابات والعلاقة والتوقيع والحالات (FR-ACC-001، FR-ACC-003، FR-ACC-007، FR-ACC-008).</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مشتركًا بعد التهيئة، وشركة C3 بلا علاقة مع </w:t>
      </w:r>
      <w:r>
        <w:rPr>
          <w:rFonts w:ascii="Courier New" w:cs="Courier New" w:eastAsia="Courier New" w:hAnsi="Courier New"/>
          <w:b w:val="false"/>
          <w:bCs w:val="false"/>
          <w:color w:val="1F2937"/>
          <w:sz w:val="18"/>
          <w:szCs w:val="18"/>
          <w:shd w:fill="F1F3F5" w:color="auto" w:val="clear"/>
          <w:rtl/>
        </w:rPr>
        <w:t xml:space="preserve">‎BNK1‎</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تُعرض أنواع الحسابات، ثم يُنشأ حساب لـ C3 لدى </w:t>
      </w:r>
      <w:r>
        <w:rPr>
          <w:rFonts w:ascii="Courier New" w:cs="Courier New" w:eastAsia="Courier New" w:hAnsi="Courier New"/>
          <w:b w:val="false"/>
          <w:bCs w:val="false"/>
          <w:color w:val="1F2937"/>
          <w:sz w:val="18"/>
          <w:szCs w:val="18"/>
          <w:shd w:fill="F1F3F5" w:color="auto" w:val="clear"/>
          <w:rtl/>
        </w:rPr>
        <w:t xml:space="preserve">‎BNK1‎</w:t>
      </w:r>
      <w:r>
        <w:rPr>
          <w:rFonts w:ascii="Arial" w:cs="Arial" w:eastAsia="Arial" w:hAnsi="Arial"/>
          <w:b w:val="false"/>
          <w:bCs w:val="false"/>
          <w:sz w:val="21"/>
          <w:szCs w:val="21"/>
          <w:rtl/>
        </w:rPr>
        <w:t xml:space="preserve">، ثم تُضبط قاعدة التوقيع «أ مع ب» بالقيمة 0 ثم 2، ثم يُغلق الحساب بلا سبب ثم بتاريخ وسبب، ثم يُعدَّل رقمه.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8 أنواع وعلم الافتراضي على VIRTUAL وحده؛ الحفظ يعرض إنشاء العلاقة وينشئها ACTIVE بعد التأكيد؛ القيمة 0 مرفوضة و2 مقبولة؛ الإغلاق بلا سبب مرفوض؛ والحساب المغلق لا يُعدَّل إلا في الملاحظات.</w:t>
      </w:r>
    </w:p>
    <w:p>
      <w:pPr>
        <w:bidi/>
        <w:spacing w:after="110" w:before="0" w:line="312"/>
      </w:pPr>
      <w:r>
        <w:rPr>
          <w:rFonts w:ascii="Arial" w:cs="Arial" w:eastAsia="Arial" w:hAnsi="Arial"/>
          <w:b/>
          <w:bCs/>
          <w:sz w:val="21"/>
          <w:szCs w:val="21"/>
          <w:rtl/>
        </w:rPr>
        <w:t xml:space="preserve">AC-ACC-6 — صورة نموذج التوقيع (FR-ACC-022، Could).</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مفوّضًا مُدخَلًا من بيانات S1-ب.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تُرفق صورة نموذج توقيعه، ويطلب عرضها موظف خزينة ثم مسؤول تسهيلات.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تُحفظ مستندًا مقيَّدًا على سجل المفوّض؛ الموظف يتلقى 403؛ والمسؤول يراها بحدث تدقيق. التنفيذ مشروط بـ Q-ACC-01 وببيانات S1-ب.</w:t>
      </w:r>
    </w:p>
    <w:p>
      <w:pPr>
        <w:pStyle w:val="Heading2"/>
        <w:bidi/>
      </w:pPr>
      <w:bookmarkStart w:name="_sec11" w:id="11"/>
      <w:r>
        <w:rPr>
          <w:rFonts w:ascii="Arial" w:cs="Arial" w:eastAsia="Arial" w:hAnsi="Arial"/>
          <w:b/>
          <w:bCs/>
          <w:color w:val="2B5C8A"/>
          <w:sz w:val="26"/>
          <w:szCs w:val="26"/>
          <w:rtl/>
        </w:rPr>
        <w:t xml:space="preserve">3.6 الكتالوجات (CAT)</w:t>
      </w:r>
      <w:bookmarkEnd w:id="11"/>
    </w:p>
    <w:p>
      <w:pPr>
        <w:bidi/>
        <w:spacing w:after="110" w:before="0" w:line="312"/>
      </w:pPr>
      <w:r>
        <w:rPr>
          <w:rFonts w:ascii="Arial" w:cs="Arial" w:eastAsia="Arial" w:hAnsi="Arial"/>
          <w:b/>
          <w:bCs/>
          <w:sz w:val="21"/>
          <w:szCs w:val="21"/>
          <w:rtl/>
        </w:rPr>
        <w:t xml:space="preserve">AC-CAT-4 — إطار الكتالوج والتدقيق (FR-CAT-001، FR-CAT-005، FR-CAT-025).</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كتالوج أنواع المصاريف.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يُضاف بند، ويُعدَّل اسمه، ويُغيَّر الترتيب بالسحب، ويُبحث، ويُطلب إظهار المعطَّل.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كل كتالوجات 11 §6.3 تحمل الحقول الموحدة؛ الترتيب ينعكس في القوائم المنسدلة؛ وتعديل الاسم ينتج سطر تدقيق بالقيمتين والمستخدم والوقت.</w:t>
      </w:r>
    </w:p>
    <w:p>
      <w:pPr>
        <w:bidi/>
        <w:spacing w:after="110" w:before="0" w:line="312"/>
      </w:pPr>
      <w:r>
        <w:rPr>
          <w:rFonts w:ascii="Arial" w:cs="Arial" w:eastAsia="Arial" w:hAnsi="Arial"/>
          <w:b/>
          <w:bCs/>
          <w:sz w:val="21"/>
          <w:szCs w:val="21"/>
          <w:rtl/>
        </w:rPr>
        <w:t xml:space="preserve">AC-CAT-5 — المنتجات والمصاريف والتمويل (FR-CAT-007 إلى FR-CAT-010، FR-CAT-022).</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منتجي اعتماد مستندي تقليدي ومرابحة في مجموعة متغيرات واحدة، ونوع مصروف «عقوبة غير إيرادية»، ونوعي تمويل إسلامي وتقليدي.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يُضاف منتج ثالث بالامتثال نفسه إلى المجموعة، ويُربط مصروف بمنتج مرتين، ويُستدعى SVC-08، ويُغيَّر علم «يستهلك حدًّا» لمنتج مستعمل بلا تأكيد ثم بتأكيد TM.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الثالث والربط المكرر مرفوضان؛ SVC-08 تعيد القوائم المسموحة؛ الإسلامي يعرض «ربح» والتقليدي «فائدة»؛ التغيير بلا تأكيد مرفوض ومعه مدقَّق بالقيمتين. استثناء العقوبة من الإيراد يُختبر في S2.</w:t>
      </w:r>
    </w:p>
    <w:p>
      <w:pPr>
        <w:bidi/>
        <w:spacing w:after="110" w:before="0" w:line="312"/>
      </w:pPr>
      <w:r>
        <w:rPr>
          <w:rFonts w:ascii="Arial" w:cs="Arial" w:eastAsia="Arial" w:hAnsi="Arial"/>
          <w:b/>
          <w:bCs/>
          <w:sz w:val="21"/>
          <w:szCs w:val="21"/>
          <w:rtl/>
        </w:rPr>
        <w:t xml:space="preserve">AC-CAT-6 — كتالوجات التسهيلات والضمانات والالتزامات (FR-CAT-011 إلى FR-CAT-014).</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مشتركًا بعد التهيئة.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تُعرض الأعداد، ويُعرَّف حد جزئي بلا أب وحد رئيسي بأب، ويُضاف مفتاح سمة مكرر لقالب العقار، ويُعرَّف تعهد وصفي.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6 أنواع تسهيلات و30 نوع التزام وقالب عقار بسبع سمات؛ الحالتان الخاطئتان للحد مرفوضتان؛ المفتاح المكرر مرفوض؛ والتعهد الوصفي يُحفظ بلا مقياس.</w:t>
      </w:r>
    </w:p>
    <w:p>
      <w:pPr>
        <w:bidi/>
        <w:spacing w:after="110" w:before="0" w:line="312"/>
      </w:pPr>
      <w:r>
        <w:rPr>
          <w:rFonts w:ascii="Arial" w:cs="Arial" w:eastAsia="Arial" w:hAnsi="Arial"/>
          <w:b/>
          <w:bCs/>
          <w:sz w:val="21"/>
          <w:szCs w:val="21"/>
          <w:rtl/>
        </w:rPr>
        <w:t xml:space="preserve">AC-CAT-7 — القوائم والمرجع العالمي والعملات (FR-CAT-020، FR-CAT-021، FR-CAT-023).</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قائمة نظام (Scope=SYSTEM) لا تسمح ببنود المشترك، وقائمة للمشترك، والمرجع العالمي للعملات.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يُضاف بند إلى كل قائمة، وتُعرض Incoterms، ويحاول دور التطبيق كتابة صف في ref.Currency، وتُفعَّل للمشترك مجموعة جزئية من العملات.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الإضافة إلى قائمة النظام مرفوضة وإلى قائمة المشترك مقبولة؛ 11 قاعدة نشطة و5 قديمة غير قابلة للاختيار؛ الكتابة على ref.Currency مرفوضة (حالة قاعدة مقترحة، docs/20-database-design.md:493)؛ والعملة غير المفعّلة لا تظهر في الاختيار وتبقى في السجلات.</w:t>
      </w:r>
    </w:p>
    <w:p>
      <w:pPr>
        <w:pStyle w:val="Heading2"/>
        <w:bidi/>
      </w:pPr>
      <w:bookmarkStart w:name="_sec12" w:id="12"/>
      <w:r>
        <w:rPr>
          <w:rFonts w:ascii="Arial" w:cs="Arial" w:eastAsia="Arial" w:hAnsi="Arial"/>
          <w:b/>
          <w:bCs/>
          <w:color w:val="2B5C8A"/>
          <w:sz w:val="26"/>
          <w:szCs w:val="26"/>
          <w:rtl/>
        </w:rPr>
        <w:t xml:space="preserve">3.7 الإشعارات (NTF)</w:t>
      </w:r>
      <w:bookmarkEnd w:id="12"/>
    </w:p>
    <w:p>
      <w:pPr>
        <w:bidi/>
        <w:spacing w:after="110" w:before="0" w:line="312"/>
      </w:pPr>
      <w:r>
        <w:rPr>
          <w:rFonts w:ascii="Arial" w:cs="Arial" w:eastAsia="Arial" w:hAnsi="Arial"/>
          <w:b/>
          <w:bCs/>
          <w:sz w:val="21"/>
          <w:szCs w:val="21"/>
          <w:rtl/>
        </w:rPr>
        <w:t xml:space="preserve">AC-NTF-1 — واجهة الإصدار وحماية المحتوى (FR-NTF-002، FR-NTF-012، FR-NTF-021).</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قوالب البذور Ar/En لكل حدث.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تستدعي وحدة Emit بحمولة فيها رقم هوية، ويحفظ مستخدم مخوَّل قالبًا فيه </w:t>
      </w:r>
      <w:r>
        <w:rPr>
          <w:rFonts w:ascii="Courier New" w:cs="Courier New" w:eastAsia="Courier New" w:hAnsi="Courier New"/>
          <w:b w:val="false"/>
          <w:bCs w:val="false"/>
          <w:color w:val="1F2937"/>
          <w:sz w:val="18"/>
          <w:szCs w:val="18"/>
          <w:shd w:fill="F1F3F5" w:color="auto" w:val="clear"/>
          <w:rtl/>
        </w:rPr>
        <w:t xml:space="preserve">‎{IdNumber}‎</w:t>
      </w:r>
      <w:r>
        <w:rPr>
          <w:rFonts w:ascii="Arial" w:cs="Arial" w:eastAsia="Arial" w:hAnsi="Arial"/>
          <w:b w:val="false"/>
          <w:bCs w:val="false"/>
          <w:sz w:val="21"/>
          <w:szCs w:val="21"/>
          <w:rtl/>
        </w:rPr>
        <w:t xml:space="preserve">، ويُشغَّل المسح الآلي لقوالب البذور.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الاستدعاء مرفوض ومسجَّل؛ القالب مرفوض؛ والمسح لا يجد عنصرًا محظورًا.</w:t>
      </w:r>
    </w:p>
    <w:p>
      <w:pPr>
        <w:bidi/>
        <w:spacing w:after="110" w:before="0" w:line="312"/>
      </w:pPr>
      <w:r>
        <w:rPr>
          <w:rFonts w:ascii="Arial" w:cs="Arial" w:eastAsia="Arial" w:hAnsi="Arial"/>
          <w:b/>
          <w:bCs/>
          <w:sz w:val="21"/>
          <w:szCs w:val="21"/>
          <w:rtl/>
        </w:rPr>
        <w:t xml:space="preserve">AC-NTF-2 — المستلمون والجرس والقراءة (FR-NTF-003، FR-NTF-005، FR-NTF-006، FR-NTF-010).</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قاعدة مستلمين لحدث انتهاء المستند بدور TM، ومستخدمًا له 3 إشعارات غير مقروءة عن مستند واحد وإشعار قديم عن شركة أُزيلت من نطاقه.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تُعدَّل القاعدة لإضافة FO، ويفتح المستخدم المستند، ويضغط الإشعار القديم، ويوقف مجموعة «التعليقات».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التعديل يسري على الأحداث التالية فقط؛ العدّاد ينقص 3؛ الإشعار القديم يعطي 404؛ والإيقاف لا يمس الأحداث الإلزامية.</w:t>
      </w:r>
    </w:p>
    <w:p>
      <w:pPr>
        <w:bidi/>
        <w:spacing w:after="110" w:before="0" w:line="312"/>
      </w:pPr>
      <w:r>
        <w:rPr>
          <w:rFonts w:ascii="Arial" w:cs="Arial" w:eastAsia="Arial" w:hAnsi="Arial"/>
          <w:b/>
          <w:bCs/>
          <w:sz w:val="21"/>
          <w:szCs w:val="21"/>
          <w:rtl/>
        </w:rPr>
        <w:t xml:space="preserve">AC-NTF-3 — الأحداث الأمنية والتسليم والمحوّلات (FR-NTF-018، FR-NTF-019، FR-NTF-022).</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مستخدمًا قُفل مرتين خلال 24 ساعة، ومحوّل قناة تجريبيًا يفشل دائمًا.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يُقفل للمرة الثالثة، ثم يُرسَل حدث عبر المحوّل التجريبي.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يصل مدير الحساب إشعار فوري إلزامي خلال دقيقة؛ إضافة المحوّل لم تتطلب تعديل خدمة الإصدار؛ وبعد 5 إخفاقات تصير الحالة DEAD ويُشعَر المدير مرة واحدة.</w:t>
      </w:r>
    </w:p>
    <w:p>
      <w:pPr>
        <w:bidi/>
        <w:spacing w:after="110" w:before="0" w:line="312"/>
      </w:pPr>
      <w:r>
        <w:rPr>
          <w:rFonts w:ascii="Arial" w:cs="Arial" w:eastAsia="Arial" w:hAnsi="Arial"/>
          <w:b/>
          <w:bCs/>
          <w:sz w:val="21"/>
          <w:szCs w:val="21"/>
          <w:rtl/>
        </w:rPr>
        <w:t xml:space="preserve">AC-NTF-4 — لغة الإشعار (FR-NTF-024، FR-PLT-034).</w:t>
      </w:r>
      <w:r>
        <w:rPr>
          <w:rFonts w:ascii="Arial" w:cs="Arial" w:eastAsia="Arial" w:hAnsi="Arial"/>
          <w:b w:val="false"/>
          <w:bCs w:val="false"/>
          <w:sz w:val="21"/>
          <w:szCs w:val="21"/>
          <w:rtl/>
        </w:rPr>
        <w:t xml:space="preserve"> </w:t>
      </w:r>
      <w:r>
        <w:rPr>
          <w:rFonts w:ascii="Arial" w:cs="Arial" w:eastAsia="Arial" w:hAnsi="Arial"/>
          <w:b w:val="false"/>
          <w:bCs w:val="false"/>
          <w:i/>
          <w:iCs/>
          <w:sz w:val="21"/>
          <w:szCs w:val="21"/>
          <w:rtl/>
        </w:rPr>
        <w:t xml:space="preserve">Given</w:t>
      </w:r>
      <w:r>
        <w:rPr>
          <w:rFonts w:ascii="Arial" w:cs="Arial" w:eastAsia="Arial" w:hAnsi="Arial"/>
          <w:b w:val="false"/>
          <w:bCs w:val="false"/>
          <w:sz w:val="21"/>
          <w:szCs w:val="21"/>
          <w:rtl/>
        </w:rPr>
        <w:t xml:space="preserve"> مشتركًا لغته الافتراضية en، ومستخدمًا PreferredLanguage=ar، وآخر بلا قيمة، وحدثًا له قالب en فقط. </w:t>
      </w:r>
      <w:r>
        <w:rPr>
          <w:rFonts w:ascii="Arial" w:cs="Arial" w:eastAsia="Arial" w:hAnsi="Arial"/>
          <w:b w:val="false"/>
          <w:bCs w:val="false"/>
          <w:i/>
          <w:iCs/>
          <w:sz w:val="21"/>
          <w:szCs w:val="21"/>
          <w:rtl/>
        </w:rPr>
        <w:t xml:space="preserve">When</w:t>
      </w:r>
      <w:r>
        <w:rPr>
          <w:rFonts w:ascii="Arial" w:cs="Arial" w:eastAsia="Arial" w:hAnsi="Arial"/>
          <w:b w:val="false"/>
          <w:bCs w:val="false"/>
          <w:sz w:val="21"/>
          <w:szCs w:val="21"/>
          <w:rtl/>
        </w:rPr>
        <w:t xml:space="preserve"> يُصدر الحدث للاثنين. </w:t>
      </w:r>
      <w:r>
        <w:rPr>
          <w:rFonts w:ascii="Arial" w:cs="Arial" w:eastAsia="Arial" w:hAnsi="Arial"/>
          <w:b w:val="false"/>
          <w:bCs w:val="false"/>
          <w:i/>
          <w:iCs/>
          <w:sz w:val="21"/>
          <w:szCs w:val="21"/>
          <w:rtl/>
        </w:rPr>
        <w:t xml:space="preserve">Then</w:t>
      </w:r>
      <w:r>
        <w:rPr>
          <w:rFonts w:ascii="Arial" w:cs="Arial" w:eastAsia="Arial" w:hAnsi="Arial"/>
          <w:b w:val="false"/>
          <w:bCs w:val="false"/>
          <w:sz w:val="21"/>
          <w:szCs w:val="21"/>
          <w:rtl/>
        </w:rPr>
        <w:t xml:space="preserve"> من بلا قيمة يتلقى en؛ ومستخدم ar يتلقى القالب الإنجليزي لغياب العربي، أي أن الرجوع إلى اللغة الأساس الإنجليزية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لا إلى العربية كما في نص FR-NTF-024 (DQ-B02-2).</w:t>
      </w:r>
    </w:p>
    <w:p>
      <w:pPr>
        <w:pStyle w:val="Heading1"/>
        <w:bidi/>
      </w:pPr>
      <w:bookmarkStart w:name="_sec13" w:id="13"/>
      <w:r>
        <w:rPr>
          <w:rFonts w:ascii="Arial" w:cs="Arial" w:eastAsia="Arial" w:hAnsi="Arial"/>
          <w:b/>
          <w:bCs/>
          <w:color w:val="1F3A5F"/>
          <w:sz w:val="32"/>
          <w:szCs w:val="32"/>
          <w:rtl/>
        </w:rPr>
        <w:t xml:space="preserve">4. معايير الخروج المرتبطة</w:t>
      </w:r>
      <w:bookmarkEnd w:id="1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7"/>
        <w:gridCol w:w="7398"/>
        <w:gridCol w:w="1479"/>
      </w:tblGrid>
      <w:tr>
        <w:trPr>
          <w:cantSplit/>
          <w:tblHeader/>
        </w:trPr>
        <w:tc>
          <w:tcPr>
            <w:tcW w:type="dxa" w:w="9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73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شرط الخروج (00 §7)</w:t>
            </w:r>
          </w:p>
        </w:tc>
        <w:tc>
          <w:tcPr>
            <w:tcW w:type="dxa" w:w="14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السيناريوهات الحاسمة</w:t>
            </w:r>
          </w:p>
        </w:tc>
      </w:tr>
      <w:tr>
        <w:trPr>
          <w:cantSplit/>
        </w:trPr>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7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عزل ناجح بين مشتركين (docs/10-detailed-analysis/00-overview-and-cross-cutting.md:194)</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 AC-PLT-21، AC-PLT-6، وحالات القاعدة الإحدى والأربعون</w:t>
            </w:r>
          </w:p>
        </w:tc>
      </w:tr>
      <w:tr>
        <w:trPr>
          <w:cantSplit/>
        </w:trPr>
        <w:tc>
          <w:tcPr>
            <w:tcW w:type="dxa" w:w="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7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تأهيل مشترك جديد آليًا (السطر نفسه)</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AC-PLT-5</w:t>
            </w:r>
          </w:p>
        </w:tc>
      </w:tr>
      <w:tr>
        <w:trPr>
          <w:cantSplit/>
        </w:trPr>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7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بنك بمعالج واحد (docs/10-detailed-analysis/00-overview-and-cross-cutting.md:195)</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AC-INS-1</w:t>
            </w:r>
          </w:p>
        </w:tc>
      </w:tr>
      <w:tr>
        <w:trPr>
          <w:cantSplit/>
        </w:trPr>
        <w:tc>
          <w:tcPr>
            <w:tcW w:type="dxa" w:w="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7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شركة بمستنداتها (السطر نفسه)</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AC-ORG-6، مع AC-ORG-4 وAC-PLT-15</w:t>
            </w:r>
          </w:p>
        </w:tc>
      </w:tr>
      <w:tr>
        <w:trPr>
          <w:cantSplit/>
        </w:trPr>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7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كتالوجات مزروعة</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AC-CAT-1</w:t>
            </w:r>
          </w:p>
        </w:tc>
      </w:tr>
    </w:tbl>
    <w:p>
      <w:pPr>
        <w:bidi/>
        <w:spacing w:after="120" w:before="0"/>
      </w:pPr>
    </w:p>
    <w:p>
      <w:pPr>
        <w:bidi/>
        <w:spacing w:after="110" w:before="0" w:line="312"/>
      </w:pPr>
      <w:r>
        <w:rPr>
          <w:rFonts w:ascii="Arial" w:cs="Arial" w:eastAsia="Arial" w:hAnsi="Arial"/>
          <w:b w:val="false"/>
          <w:bCs w:val="false"/>
          <w:sz w:val="21"/>
          <w:szCs w:val="21"/>
          <w:rtl/>
        </w:rPr>
        <w:t xml:space="preserve">قاعدة الخروج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كل سيناريو يغطي متطلب Must ناجح؛ وسيناريو Should ناجح أو مؤجل بقرار مكتوب؛ وسيناريو Could لا يوقف الخروج (DQ-B02-5).</w:t>
      </w:r>
    </w:p>
    <w:p>
      <w:pPr>
        <w:pStyle w:val="Heading1"/>
        <w:bidi/>
      </w:pPr>
      <w:bookmarkStart w:name="_sec14" w:id="14"/>
      <w:r>
        <w:rPr>
          <w:rFonts w:ascii="Arial" w:cs="Arial" w:eastAsia="Arial" w:hAnsi="Arial"/>
          <w:b/>
          <w:bCs/>
          <w:color w:val="1F3A5F"/>
          <w:sz w:val="32"/>
          <w:szCs w:val="32"/>
          <w:rtl/>
        </w:rPr>
        <w:t xml:space="preserve">5. جدول التغطية: المتطلب إلى السيناريو</w:t>
      </w:r>
      <w:bookmarkEnd w:id="14"/>
    </w:p>
    <w:p>
      <w:pPr>
        <w:pStyle w:val="Heading2"/>
        <w:bidi/>
      </w:pPr>
      <w:bookmarkStart w:name="_sec15" w:id="15"/>
      <w:r>
        <w:rPr>
          <w:rFonts w:ascii="Arial" w:cs="Arial" w:eastAsia="Arial" w:hAnsi="Arial"/>
          <w:b/>
          <w:bCs/>
          <w:color w:val="2B5C8A"/>
          <w:sz w:val="26"/>
          <w:szCs w:val="26"/>
          <w:rtl/>
        </w:rPr>
        <w:t xml:space="preserve">5.1 المنصة (PLT)</w:t>
      </w:r>
      <w:bookmarkEnd w:id="1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04"/>
        <w:gridCol w:w="1700"/>
        <w:gridCol w:w="1700"/>
        <w:gridCol w:w="1530"/>
        <w:gridCol w:w="1700"/>
        <w:gridCol w:w="1530"/>
      </w:tblGrid>
      <w:tr>
        <w:trPr>
          <w:cantSplit/>
          <w:tblHeader/>
        </w:trPr>
        <w:tc>
          <w:tcPr>
            <w:tcW w:type="dxa" w:w="1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7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r>
      <w:tr>
        <w:trPr>
          <w:cantSplit/>
        </w:trPr>
        <w:tc>
          <w:tcPr>
            <w:tcW w:type="dxa" w:w="1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FR-PLT-001</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AC-PLT-5</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FR-PLT-002</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AC-PLT-6</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FR-PLT-003</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AC-PLT-5</w:t>
            </w:r>
          </w:p>
        </w:tc>
      </w:tr>
      <w:tr>
        <w:trPr>
          <w:cantSplit/>
        </w:trPr>
        <w:tc>
          <w:tcPr>
            <w:tcW w:type="dxa" w:w="1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FR-PLT-004</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AC-PLT-7</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FR-PLT-005</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AC-PLT-7</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FR-PLT-006</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AC-PLT-7</w:t>
            </w:r>
          </w:p>
        </w:tc>
      </w:tr>
      <w:tr>
        <w:trPr>
          <w:cantSplit/>
        </w:trPr>
        <w:tc>
          <w:tcPr>
            <w:tcW w:type="dxa" w:w="1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FR-PLT-007</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AC-PLT-8</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FR-PLT-008</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AC-PLT-5</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FR-PLT-009</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AC-PLT-9</w:t>
            </w:r>
          </w:p>
        </w:tc>
      </w:tr>
      <w:tr>
        <w:trPr>
          <w:cantSplit/>
        </w:trPr>
        <w:tc>
          <w:tcPr>
            <w:tcW w:type="dxa" w:w="1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FR-PLT-010</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AC-PLT-10</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FR-PLT-011</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FR-PLT-012</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w:t>
            </w:r>
          </w:p>
        </w:tc>
      </w:tr>
      <w:tr>
        <w:trPr>
          <w:cantSplit/>
        </w:trPr>
        <w:tc>
          <w:tcPr>
            <w:tcW w:type="dxa" w:w="1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AC-PLT-11، AC-PLT-5</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FR-PLT-014</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AC-PLT-12</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FR-PLT-016</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AC-PLT-13</w:t>
            </w:r>
          </w:p>
        </w:tc>
      </w:tr>
      <w:tr>
        <w:trPr>
          <w:cantSplit/>
        </w:trPr>
        <w:tc>
          <w:tcPr>
            <w:tcW w:type="dxa" w:w="1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FR-PLT-017</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AC-PLT-13</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FR-PLT-018</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AC-PLT-13</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FR-PLT-019</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AC-PTY-1</w:t>
            </w:r>
          </w:p>
        </w:tc>
      </w:tr>
      <w:tr>
        <w:trPr>
          <w:cantSplit/>
        </w:trPr>
        <w:tc>
          <w:tcPr>
            <w:tcW w:type="dxa" w:w="1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FR-PLT-020</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FR-PLT-021</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AC-PLT-13</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FR-PLT-022</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AC-PLT-14</w:t>
            </w:r>
          </w:p>
        </w:tc>
      </w:tr>
      <w:tr>
        <w:trPr>
          <w:cantSplit/>
        </w:trPr>
        <w:tc>
          <w:tcPr>
            <w:tcW w:type="dxa" w:w="1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FR-PLT-023</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AC-PLT-14</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FR-PLT-024</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AC-PLT-14</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FR-PLT-026</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AC-PLT-3، AC-ORG-3</w:t>
            </w:r>
          </w:p>
        </w:tc>
      </w:tr>
      <w:tr>
        <w:trPr>
          <w:cantSplit/>
        </w:trPr>
        <w:tc>
          <w:tcPr>
            <w:tcW w:type="dxa" w:w="1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FR-PLT-027</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AC-PLT-15</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FR-PLT-028</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AC-PLT-15</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FR-PLT-029</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AC-PLT-15</w:t>
            </w:r>
          </w:p>
        </w:tc>
      </w:tr>
      <w:tr>
        <w:trPr>
          <w:cantSplit/>
        </w:trPr>
        <w:tc>
          <w:tcPr>
            <w:tcW w:type="dxa" w:w="1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FR-PLT-030</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AC-PLT-15</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FR-PLT-032</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AC-PLT-16</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FR-PLT-033</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AC-PLT-16</w:t>
            </w:r>
          </w:p>
        </w:tc>
      </w:tr>
      <w:tr>
        <w:trPr>
          <w:cantSplit/>
        </w:trPr>
        <w:tc>
          <w:tcPr>
            <w:tcW w:type="dxa" w:w="1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FR-PLT-034</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AC-PLT-16، AC-NTF-4</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FR-PLT-036</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FR-PLT-037</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AC-PLT-17</w:t>
            </w:r>
          </w:p>
        </w:tc>
      </w:tr>
      <w:tr>
        <w:trPr>
          <w:cantSplit/>
        </w:trPr>
        <w:tc>
          <w:tcPr>
            <w:tcW w:type="dxa" w:w="1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FR-PLT-038</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AC-ORG-6</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FR-PLT-041</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AC-PLT-18</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FR-PLT-042</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AC-PLT-22</w:t>
            </w:r>
          </w:p>
        </w:tc>
      </w:tr>
      <w:tr>
        <w:trPr>
          <w:cantSplit/>
        </w:trPr>
        <w:tc>
          <w:tcPr>
            <w:tcW w:type="dxa" w:w="1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FR-PLT-043</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AC-PLT-19</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FR-PLT-044</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AC-PLT-20</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AC-PLT-4</w:t>
            </w:r>
          </w:p>
        </w:tc>
      </w:tr>
      <w:tr>
        <w:trPr>
          <w:cantSplit/>
        </w:trPr>
        <w:tc>
          <w:tcPr>
            <w:tcW w:type="dxa" w:w="1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AC-PLT-21</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16" w:id="16"/>
      <w:r>
        <w:rPr>
          <w:rFonts w:ascii="Arial" w:cs="Arial" w:eastAsia="Arial" w:hAnsi="Arial"/>
          <w:b/>
          <w:bCs/>
          <w:color w:val="2B5C8A"/>
          <w:sz w:val="26"/>
          <w:szCs w:val="26"/>
          <w:rtl/>
        </w:rPr>
        <w:t xml:space="preserve">5.2 الهيكل المؤسسي (ORG)</w:t>
      </w:r>
      <w:bookmarkEnd w:id="1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33"/>
        <w:gridCol w:w="1557"/>
        <w:gridCol w:w="1730"/>
        <w:gridCol w:w="1557"/>
        <w:gridCol w:w="1730"/>
        <w:gridCol w:w="1557"/>
      </w:tblGrid>
      <w:tr>
        <w:trPr>
          <w:cantSplit/>
          <w:tblHeader/>
        </w:trPr>
        <w:tc>
          <w:tcPr>
            <w:tcW w:type="dxa" w:w="17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FR-ORG-001</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AC-ORG-4</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FR-ORG-002</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AC-ORG-4</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FR-ORG-003</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AC-ORG-4</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FR-ORG-004</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AC-ORG-4</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FR-ORG-005</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AC-ORG-3</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FR-ORG-006</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AC-ORG-5</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FR-ORG-007</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AC-ORG-5</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FR-ORG-008</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AC-ORG-4</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FR-ORG-009</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AC-ORG-7</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FR-ORG-010</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AC-ORG-7</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FR-ORG-011</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AC-ORG-6</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FR-ORG-012</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AC-ORG-6</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FR-ORG-013</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AC-ORG-6</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FR-ORG-014</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AC-ORG-8</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17" w:id="17"/>
      <w:r>
        <w:rPr>
          <w:rFonts w:ascii="Arial" w:cs="Arial" w:eastAsia="Arial" w:hAnsi="Arial"/>
          <w:b/>
          <w:bCs/>
          <w:color w:val="2B5C8A"/>
          <w:sz w:val="26"/>
          <w:szCs w:val="26"/>
          <w:rtl/>
        </w:rPr>
        <w:t xml:space="preserve">5.3 الأشخاص والجهات (PTY)</w:t>
      </w:r>
      <w:bookmarkEnd w:id="1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33"/>
        <w:gridCol w:w="1557"/>
        <w:gridCol w:w="1730"/>
        <w:gridCol w:w="1557"/>
        <w:gridCol w:w="1730"/>
        <w:gridCol w:w="1557"/>
      </w:tblGrid>
      <w:tr>
        <w:trPr>
          <w:cantSplit/>
          <w:tblHeader/>
        </w:trPr>
        <w:tc>
          <w:tcPr>
            <w:tcW w:type="dxa" w:w="17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FR-PTY-001</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AC-PTY-4</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FR-PTY-002</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AC-PTY-4</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FR-PTY-003</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AC-ORG-4</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FR-PTY-004</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AC-PTY-4</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FR-PTY-005</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AC-PTY-4</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FR-PTY-006</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AC-PTY-5</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FR-PTY-007</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AC-PTY-1</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FR-PTY-008</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AC-PTY-1</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FR-PTY-009</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AC-PTY-5</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FR-PTY-010</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AC-PTY-6</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FR-PTY-011</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AC-PTY-6</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FR-PTY-012</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AC-PTY-6</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FR-PTY-013</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AC-PTY-7</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FR-PTY-014</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AC-PTY-7</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FR-PTY-015</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AC-PTY-2</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FR-PTY-016</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AC-PTY-2، AC-INS-3</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FR-PTY-017</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AC-PTY-8</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FR-PTY-018</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AC-PTY-8</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FR-PTY-019</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AC-PTY-8</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FR-PTY-020</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AC-PTY-9</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FR-PTY-021</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AC-PTY-3</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FR-PTY-022</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AC-PTY-9</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FR-PTY-028</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AC-PTY-8</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18" w:id="18"/>
      <w:r>
        <w:rPr>
          <w:rFonts w:ascii="Arial" w:cs="Arial" w:eastAsia="Arial" w:hAnsi="Arial"/>
          <w:b/>
          <w:bCs/>
          <w:color w:val="2B5C8A"/>
          <w:sz w:val="26"/>
          <w:szCs w:val="26"/>
          <w:rtl/>
        </w:rPr>
        <w:t xml:space="preserve">5.4 المنشآت المالية (INS)</w:t>
      </w:r>
      <w:bookmarkEnd w:id="1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33"/>
        <w:gridCol w:w="1557"/>
        <w:gridCol w:w="1730"/>
        <w:gridCol w:w="1557"/>
        <w:gridCol w:w="1730"/>
        <w:gridCol w:w="1557"/>
      </w:tblGrid>
      <w:tr>
        <w:trPr>
          <w:cantSplit/>
          <w:tblHeader/>
        </w:trPr>
        <w:tc>
          <w:tcPr>
            <w:tcW w:type="dxa" w:w="17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FR-INS-001</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AC-INS-4</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FR-INS-002</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AC-INS-4</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FR-INS-003</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AC-INS-4</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FR-INS-004</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AC-INS-4</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FR-INS-005</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AC-INS-5</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FR-INS-006</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AC-INS-5</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FR-INS-007</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AC-INS-3</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FR-INS-008</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AC-INS-2</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FR-INS-009</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AC-INS-6</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FR-INS-010</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AC-INS-6</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FR-INS-011</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AC-INS-6</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FR-INS-012</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AC-INS-6</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FR-INS-013</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AC-INS-6، AC-INS-1</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FR-INS-014</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AC-INS-1</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FR-INS-015</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AC-INS-7</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FR-INS-016</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AC-INS-7، AC-INS-2</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FR-INS-017</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AC-INS-8</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FR-INS-018</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AC-INS-8</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FR-INS-019</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AC-INS-8</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FR-INS-020</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AC-INS-8</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FR-INS-021</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AC-INS-3</w:t>
            </w:r>
          </w:p>
        </w:tc>
      </w:tr>
    </w:tbl>
    <w:p>
      <w:pPr>
        <w:bidi/>
        <w:spacing w:after="120" w:before="0"/>
      </w:pPr>
    </w:p>
    <w:p>
      <w:pPr>
        <w:pStyle w:val="Heading2"/>
        <w:bidi/>
      </w:pPr>
      <w:bookmarkStart w:name="_sec19" w:id="19"/>
      <w:r>
        <w:rPr>
          <w:rFonts w:ascii="Arial" w:cs="Arial" w:eastAsia="Arial" w:hAnsi="Arial"/>
          <w:b/>
          <w:bCs/>
          <w:color w:val="2B5C8A"/>
          <w:sz w:val="26"/>
          <w:szCs w:val="26"/>
          <w:rtl/>
        </w:rPr>
        <w:t xml:space="preserve">5.5 الحسابات (ACC)</w:t>
      </w:r>
      <w:bookmarkEnd w:id="1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33"/>
        <w:gridCol w:w="1557"/>
        <w:gridCol w:w="1730"/>
        <w:gridCol w:w="1557"/>
        <w:gridCol w:w="1730"/>
        <w:gridCol w:w="1557"/>
      </w:tblGrid>
      <w:tr>
        <w:trPr>
          <w:cantSplit/>
          <w:tblHeader/>
        </w:trPr>
        <w:tc>
          <w:tcPr>
            <w:tcW w:type="dxa" w:w="17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FR-ACC-001</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AC-ACC-5</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FR-ACC-002</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AC-ACC-1</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FR-ACC-003</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AC-ACC-5</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FR-ACC-004</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AC-ACC-1</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FR-ACC-005</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AC-ACC-1</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FR-ACC-006</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AC-ACC-1</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FR-ACC-007</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AC-ACC-5</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FR-ACC-008</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AC-ACC-5، AC-ACC-1</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FR-ACC-009</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AC-ACC-1</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FR-ACC-022</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AC-ACC-6</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20" w:id="20"/>
      <w:r>
        <w:rPr>
          <w:rFonts w:ascii="Arial" w:cs="Arial" w:eastAsia="Arial" w:hAnsi="Arial"/>
          <w:b/>
          <w:bCs/>
          <w:color w:val="2B5C8A"/>
          <w:sz w:val="26"/>
          <w:szCs w:val="26"/>
          <w:rtl/>
        </w:rPr>
        <w:t xml:space="preserve">5.6 الكتالوجات (CAT)</w:t>
      </w:r>
      <w:bookmarkEnd w:id="2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33"/>
        <w:gridCol w:w="1557"/>
        <w:gridCol w:w="1730"/>
        <w:gridCol w:w="1557"/>
        <w:gridCol w:w="1730"/>
        <w:gridCol w:w="1557"/>
      </w:tblGrid>
      <w:tr>
        <w:trPr>
          <w:cantSplit/>
          <w:tblHeader/>
        </w:trPr>
        <w:tc>
          <w:tcPr>
            <w:tcW w:type="dxa" w:w="17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FR-CAT-001</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AC-CAT-4</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FR-CAT-002</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AC-CAT-1</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FR-CAT-004</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AC-CAT-1</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FR-CAT-005</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AC-CAT-4</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FR-CAT-006</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AC-CAT-1</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FR-CAT-007</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AC-CAT-5</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FR-CAT-008</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AC-CAT-5</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FR-CAT-009</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AC-CAT-5</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FR-CAT-010</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AC-CAT-5</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FR-CAT-011</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AC-CAT-6</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FR-CAT-012</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AC-CAT-6</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FR-CAT-013</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AC-CAT-6</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FR-CAT-014</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AC-CAT-6</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FR-CAT-015</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AC-CAT-3</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FR-CAT-016</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AC-CAT-2</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FR-CAT-018</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AC-CAT-1، AC-PLT-15</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FR-CAT-019</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AC-CAT-1</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FR-CAT-020</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AC-CAT-7</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FR-CAT-021</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AC-CAT-7</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FR-CAT-022</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AC-CAT-5</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FR-CAT-023</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AC-CAT-7</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FR-CAT-025</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AC-CAT-4</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FR-CAT-026</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AC-CAT-1</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21" w:id="21"/>
      <w:r>
        <w:rPr>
          <w:rFonts w:ascii="Arial" w:cs="Arial" w:eastAsia="Arial" w:hAnsi="Arial"/>
          <w:b/>
          <w:bCs/>
          <w:color w:val="2B5C8A"/>
          <w:sz w:val="26"/>
          <w:szCs w:val="26"/>
          <w:rtl/>
        </w:rPr>
        <w:t xml:space="preserve">5.7 الإشعارات في S1 (NTF)</w:t>
      </w:r>
      <w:bookmarkEnd w:id="2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33"/>
        <w:gridCol w:w="1557"/>
        <w:gridCol w:w="1730"/>
        <w:gridCol w:w="1557"/>
        <w:gridCol w:w="1730"/>
        <w:gridCol w:w="1557"/>
      </w:tblGrid>
      <w:tr>
        <w:trPr>
          <w:cantSplit/>
          <w:tblHeader/>
        </w:trPr>
        <w:tc>
          <w:tcPr>
            <w:tcW w:type="dxa" w:w="17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c>
          <w:tcPr>
            <w:tcW w:type="dxa" w:w="17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FR-NTF-001</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AC-WFL-10</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FR-NTF-002</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AC-NTF-1</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FR-NTF-003</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AC-NTF-2</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FR-NTF-004</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AC-WFL-8</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FR-NTF-005</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AC-NTF-2</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FR-NTF-006</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AC-NTF-2</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FR-NTF-008</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AC-WFL-8</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FR-NTF-010</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AC-NTF-2</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FR-NTF-012</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AC-NTF-1</w:t>
            </w:r>
          </w:p>
        </w:tc>
      </w:tr>
      <w:tr>
        <w:trPr>
          <w:cantSplit/>
        </w:trPr>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FR-NTF-016</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AC-PLT-20</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FR-NTF-018</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AC-NTF-3</w:t>
            </w:r>
          </w:p>
        </w:tc>
        <w:tc>
          <w:tcPr>
            <w:tcW w:type="dxa" w:w="17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FR-NTF-019</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AC-NTF-3</w:t>
            </w:r>
          </w:p>
        </w:tc>
      </w:tr>
      <w:tr>
        <w:trPr>
          <w:cantSplit/>
        </w:trPr>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FR-NTF-021</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AC-NTF-1</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FR-NTF-022</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AC-NTF-3</w:t>
            </w:r>
          </w:p>
        </w:tc>
        <w:tc>
          <w:tcPr>
            <w:tcW w:type="dxa" w:w="17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FR-NTF-024</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AC-NTF-4</w:t>
            </w:r>
          </w:p>
        </w:tc>
      </w:tr>
    </w:tbl>
    <w:p>
      <w:pPr>
        <w:bidi/>
        <w:spacing w:after="120" w:before="0"/>
      </w:pPr>
    </w:p>
    <w:p>
      <w:pPr>
        <w:bidi/>
        <w:spacing w:after="110" w:before="0" w:line="312"/>
      </w:pPr>
      <w:r>
        <w:rPr>
          <w:rFonts w:ascii="Arial" w:cs="Arial" w:eastAsia="Arial" w:hAnsi="Arial"/>
          <w:b w:val="false"/>
          <w:bCs w:val="false"/>
          <w:sz w:val="21"/>
          <w:szCs w:val="21"/>
          <w:rtl/>
        </w:rPr>
        <w:t xml:space="preserve">الحصيلة: 146 متطلبًا، كلها مغطاة؛ 36 بسيناريو قائم و110 بسيناريو جديد. في S0: 7 من 38 كانت مغطاة، وفي S1: 29 من 108.</w:t>
      </w:r>
    </w:p>
    <w:p>
      <w:pPr>
        <w:pStyle w:val="Heading1"/>
        <w:bidi/>
      </w:pPr>
      <w:bookmarkStart w:name="_sec22" w:id="22"/>
      <w:r>
        <w:rPr>
          <w:rFonts w:ascii="Arial" w:cs="Arial" w:eastAsia="Arial" w:hAnsi="Arial"/>
          <w:b/>
          <w:bCs/>
          <w:color w:val="1F3A5F"/>
          <w:sz w:val="32"/>
          <w:szCs w:val="32"/>
          <w:rtl/>
        </w:rPr>
        <w:t xml:space="preserve">6. القرارات المطلوبة</w:t>
      </w:r>
      <w:bookmarkEnd w:id="2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8"/>
        <w:gridCol w:w="1403"/>
        <w:gridCol w:w="5617"/>
        <w:gridCol w:w="948"/>
        <w:gridCol w:w="948"/>
      </w:tblGrid>
      <w:tr>
        <w:trPr>
          <w:cantSplit/>
          <w:tblHeader/>
        </w:trPr>
        <w:tc>
          <w:tcPr>
            <w:tcW w:type="dxa" w:w="9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4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56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9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9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DQ-B02-1</w:t>
            </w:r>
          </w:p>
        </w:tc>
        <w:tc>
          <w:tcPr>
            <w:tcW w:type="dxa" w:w="1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 يختبر صفًا عامًا في LookupItem، والقاعدة جعلته مملوكًا للمشترك</w:t>
            </w:r>
          </w:p>
        </w:tc>
        <w:tc>
          <w:tcPr>
            <w:tcW w:type="dxa" w:w="5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يُعاد نص AC-PLT-1 على cfg.NonWorkingDay كما في T9-T12، وتُحدَّث قائمة الجداول المختلطة في BR-PLT-001</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 مع قائد قاعدة البيانات</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S0</w:t>
            </w:r>
          </w:p>
        </w:tc>
      </w:tr>
      <w:tr>
        <w:trPr>
          <w:cantSplit/>
        </w:trPr>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DQ-B02-2</w:t>
            </w:r>
          </w:p>
        </w:tc>
        <w:tc>
          <w:tcPr>
            <w:tcW w:type="dxa" w:w="1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لغة الرجوع في الإشعار حين يغيب قالب لغة المستلم</w:t>
            </w:r>
          </w:p>
        </w:tc>
        <w:tc>
          <w:tcPr>
            <w:tcW w:type="dxa" w:w="56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الإنجليزية، اللغة الأساس</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AC-NTF-4</w:t>
            </w:r>
          </w:p>
        </w:tc>
      </w:tr>
      <w:tr>
        <w:trPr>
          <w:cantSplit/>
        </w:trPr>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DQ-B02-3</w:t>
            </w:r>
          </w:p>
        </w:tc>
        <w:tc>
          <w:tcPr>
            <w:tcW w:type="dxa" w:w="1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النتيجة المتوقعة لدخول مستخدم غير مدير الحساب إلى مشترك SUSPENDED</w:t>
            </w:r>
          </w:p>
        </w:tc>
        <w:tc>
          <w:tcPr>
            <w:tcW w:type="dxa" w:w="5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تتبع قرار O-18 (erd_open_items)</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مع معماري القاعدة</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AC-PLT-6</w:t>
            </w:r>
          </w:p>
        </w:tc>
      </w:tr>
      <w:tr>
        <w:trPr>
          <w:cantSplit/>
        </w:trPr>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DQ-B02-4</w:t>
            </w:r>
          </w:p>
        </w:tc>
        <w:tc>
          <w:tcPr>
            <w:tcW w:type="dxa" w:w="1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يُسمح بالفجوات في الترقيم (O-12، erd_open_items)</w:t>
            </w:r>
          </w:p>
        </w:tc>
        <w:tc>
          <w:tcPr>
            <w:tcW w:type="dxa" w:w="56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بلا فجوات للطلبات والبروفورما كما في Q-PLT-08، وإلا يُعدَّل AC-PLT-3</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مع الجهة القانونية</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AC-PLT-3</w:t>
            </w:r>
          </w:p>
        </w:tc>
      </w:tr>
      <w:tr>
        <w:trPr>
          <w:cantSplit/>
        </w:trPr>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DQ-B02-5</w:t>
            </w:r>
          </w:p>
        </w:tc>
        <w:tc>
          <w:tcPr>
            <w:tcW w:type="dxa" w:w="1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أثر الأولوية على الخروج</w:t>
            </w:r>
          </w:p>
        </w:tc>
        <w:tc>
          <w:tcPr>
            <w:tcW w:type="dxa" w:w="5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Must يوقف الخروج، وShould يوقفه إلا بتأجيل مكتوب، وCould لا يوقفه</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DQ-B02-6</w:t>
            </w:r>
          </w:p>
        </w:tc>
        <w:tc>
          <w:tcPr>
            <w:tcW w:type="dxa" w:w="1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يُحفظ نص السيناريوهات الجديدة</w:t>
            </w:r>
          </w:p>
        </w:tc>
        <w:tc>
          <w:tcPr>
            <w:tcW w:type="dxa" w:w="56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يُنقل بعد الاعتماد إلى §15 في 10 و11 و13 ليبقى مصدر واحد يقرؤه tools/gen_indexes.py</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w:t>
            </w:r>
          </w:p>
        </w:tc>
        <w:tc>
          <w:tcPr>
            <w:tcW w:type="dxa" w:w="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DOC-B08</w:t>
            </w:r>
          </w:p>
        </w:tc>
      </w:tr>
      <w:tr>
        <w:trPr>
          <w:cantSplit/>
        </w:trPr>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DQ-B02-7</w:t>
            </w:r>
          </w:p>
        </w:tc>
        <w:tc>
          <w:tcPr>
            <w:tcW w:type="dxa" w:w="1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ترقيم AC بخانة واحدة أم بخانتين</w:t>
            </w:r>
          </w:p>
        </w:tc>
        <w:tc>
          <w:tcPr>
            <w:tcW w:type="dxa" w:w="5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في docs/10-detailed-analysis/00-overview-and-cross-cutting.md:124 بلا أصفار بادئة</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w:t>
            </w:r>
          </w:p>
        </w:tc>
        <w:tc>
          <w:tcPr>
            <w:tcW w:type="dxa" w:w="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r>
    </w:tbl>
    <w:p>
      <w:pPr>
        <w:bidi/>
        <w:spacing w:after="120" w:before="0"/>
      </w:pPr>
    </w:p>
    <w:p>
      <w:pPr>
        <w:pStyle w:val="Heading1"/>
        <w:bidi/>
      </w:pPr>
      <w:bookmarkStart w:name="_sec23" w:id="23"/>
      <w:r>
        <w:rPr>
          <w:rFonts w:ascii="Arial" w:cs="Arial" w:eastAsia="Arial" w:hAnsi="Arial"/>
          <w:b/>
          <w:bCs/>
          <w:color w:val="1F3A5F"/>
          <w:sz w:val="32"/>
          <w:szCs w:val="32"/>
          <w:rtl/>
        </w:rPr>
        <w:t xml:space="preserve">7. تعارضات وفجوات في المصادر</w:t>
      </w:r>
      <w:bookmarkEnd w:id="23"/>
    </w:p>
    <w:p>
      <w:pPr>
        <w:pStyle w:val="ListParagraph"/>
        <w:numPr>
          <w:ilvl w:val="0"/>
          <w:numId w:val="3"/>
        </w:numPr>
        <w:bidi/>
        <w:spacing w:after="70" w:before="0" w:line="300"/>
      </w:pPr>
      <w:r>
        <w:rPr>
          <w:rFonts w:ascii="Arial" w:cs="Arial" w:eastAsia="Arial" w:hAnsi="Arial"/>
          <w:b w:val="false"/>
          <w:bCs w:val="false"/>
          <w:sz w:val="21"/>
          <w:szCs w:val="21"/>
          <w:rtl/>
        </w:rPr>
        <w:t xml:space="preserve">AC-PLT-1 يفترض صفًا عامًا في LookupItem (docs/10-detailed-analysis/10-m0-m1-platform-organization.md:651)، وBR-PLT-001 يعدّ LookupList وLookupItem وIncoterm جداول مختلطة (السطر 227). لكن القاعدة تجعل القائمتين مملوكتين للمشترك (docs/20-database-design.md:425، db/model/12-institutions-accounts-catalogs.model:247 و255) وIncoterm عالميًا (docs/20-database-design.md:507). والجداول المختلطة في النموذج هي aud.AuditLog وcfg.NonWorkingDay وref.UcpArticle (db/model/10-platform.model:304 و523، db/model/16-letters-of-credit.model:45).</w:t>
      </w:r>
    </w:p>
    <w:p>
      <w:pPr>
        <w:pStyle w:val="ListParagraph"/>
        <w:numPr>
          <w:ilvl w:val="0"/>
          <w:numId w:val="3"/>
        </w:numPr>
        <w:bidi/>
        <w:spacing w:after="70" w:before="0" w:line="300"/>
      </w:pPr>
      <w:r>
        <w:rPr>
          <w:rFonts w:ascii="Arial" w:cs="Arial" w:eastAsia="Arial" w:hAnsi="Arial"/>
          <w:b w:val="false"/>
          <w:bCs w:val="false"/>
          <w:sz w:val="21"/>
          <w:szCs w:val="21"/>
          <w:rtl/>
        </w:rPr>
        <w:t xml:space="preserve">تعليق رأس db/model/12-institutions-accounts-catalogs.model:5 ما زال يقول إن قوائم القيم مختلطة النطاق، خلافًا للسطرين 247 و255 من الملف نفسه.</w:t>
      </w:r>
    </w:p>
    <w:p>
      <w:pPr>
        <w:pStyle w:val="ListParagraph"/>
        <w:numPr>
          <w:ilvl w:val="0"/>
          <w:numId w:val="3"/>
        </w:numPr>
        <w:bidi/>
        <w:spacing w:after="70" w:before="0" w:line="300"/>
      </w:pPr>
      <w:r>
        <w:rPr>
          <w:rFonts w:ascii="Arial" w:cs="Arial" w:eastAsia="Arial" w:hAnsi="Arial"/>
          <w:b w:val="false"/>
          <w:bCs w:val="false"/>
          <w:sz w:val="21"/>
          <w:szCs w:val="21"/>
          <w:rtl/>
        </w:rPr>
        <w:t xml:space="preserve">FR-NTF-024 يجعل الرجوع إلى العربية (docs/10-detailed-analysis/13-m6-workflow-engine-notifications.md:223)، والقرار أن الإنجليزية هي الأساس (docs/10-detailed-analysis/10-m0-m1-platform-organization.md:134).</w:t>
      </w:r>
    </w:p>
    <w:p>
      <w:pPr>
        <w:pStyle w:val="ListParagraph"/>
        <w:numPr>
          <w:ilvl w:val="0"/>
          <w:numId w:val="3"/>
        </w:numPr>
        <w:bidi/>
        <w:spacing w:after="70" w:before="0" w:line="300"/>
      </w:pPr>
      <w:r>
        <w:rPr>
          <w:rFonts w:ascii="Arial" w:cs="Arial" w:eastAsia="Arial" w:hAnsi="Arial"/>
          <w:b w:val="false"/>
          <w:bCs w:val="false"/>
          <w:sz w:val="21"/>
          <w:szCs w:val="21"/>
          <w:rtl/>
        </w:rPr>
        <w:t xml:space="preserve">عدد المتطلبات المشار إليها في السيناريوهات: السجل يقول 84 (docs/30-readiness-documents.md:348) والتحقق يقول 61 (السطر 350). العدّ الحرفي لمعرّفات FR في أقسام §15 يعطي 61، وفك الصيغة المختصرة مثل FR-WFL-007/020/025/026 يرفعه إلى 91.</w:t>
      </w:r>
    </w:p>
    <w:p>
      <w:pPr>
        <w:pStyle w:val="ListParagraph"/>
        <w:numPr>
          <w:ilvl w:val="0"/>
          <w:numId w:val="3"/>
        </w:numPr>
        <w:bidi/>
        <w:spacing w:after="70" w:before="0" w:line="300"/>
      </w:pPr>
      <w:r>
        <w:rPr>
          <w:rFonts w:ascii="Arial" w:cs="Arial" w:eastAsia="Arial" w:hAnsi="Arial"/>
          <w:b w:val="false"/>
          <w:bCs w:val="false"/>
          <w:sz w:val="21"/>
          <w:szCs w:val="21"/>
          <w:rtl/>
        </w:rPr>
        <w:t xml:space="preserve">رأس AC-ACC-1 لا يذكر أي FR (docs/10-detailed-analysis/11-m2-m4-institutions-accounts-catalogs.md:652)، مع أن FR-ACC-006 يحيل إليه (السطر 142).</w:t>
      </w:r>
    </w:p>
    <w:p>
      <w:pPr>
        <w:pStyle w:val="ListParagraph"/>
        <w:numPr>
          <w:ilvl w:val="0"/>
          <w:numId w:val="3"/>
        </w:numPr>
        <w:bidi/>
        <w:spacing w:after="70" w:before="0" w:line="300"/>
      </w:pPr>
      <w:r>
        <w:rPr>
          <w:rFonts w:ascii="Arial" w:cs="Arial" w:eastAsia="Arial" w:hAnsi="Arial"/>
          <w:b w:val="false"/>
          <w:bCs w:val="false"/>
          <w:sz w:val="21"/>
          <w:szCs w:val="21"/>
          <w:rtl/>
        </w:rPr>
        <w:t xml:space="preserve">معيار قبول FR-PTY-017 يستعمل أدوار المالك والكفيل (docs/10-detailed-analysis/10-m0-m1-platform-organization.md:207)، وهي من S1-ب وS2، فلا يُختبر كاملًا في S1. وكذلك معيار FR-PTY-022 (السطر 212) يحتاج كفالة من S2.</w:t>
      </w:r>
    </w:p>
    <w:p>
      <w:pPr>
        <w:pStyle w:val="ListParagraph"/>
        <w:numPr>
          <w:ilvl w:val="0"/>
          <w:numId w:val="3"/>
        </w:numPr>
        <w:bidi/>
        <w:spacing w:after="70" w:before="0" w:line="300"/>
      </w:pPr>
      <w:r>
        <w:rPr>
          <w:rFonts w:ascii="Arial" w:cs="Arial" w:eastAsia="Arial" w:hAnsi="Arial"/>
          <w:b w:val="false"/>
          <w:bCs w:val="false"/>
          <w:sz w:val="21"/>
          <w:szCs w:val="21"/>
          <w:rtl/>
        </w:rPr>
        <w:t xml:space="preserve">FR-ACC-022 مصنّف S1 (docs/10-detailed-analysis/11-m2-m4-institutions-accounts-catalogs.md:158)، وصفه نفسه يقول إنه لا يعمل قبل بيانات S1-ب.</w:t>
      </w:r>
    </w:p>
    <w:p>
      <w:pPr>
        <w:bidi/>
        <w:spacing w:after="60" w:before="0"/>
      </w:pPr>
    </w:p>
    <w:p>
      <w:pPr>
        <w:pStyle w:val="Heading1"/>
        <w:bidi/>
      </w:pPr>
      <w:bookmarkStart w:name="_sec24" w:id="24"/>
      <w:r>
        <w:rPr>
          <w:rFonts w:ascii="Arial" w:cs="Arial" w:eastAsia="Arial" w:hAnsi="Arial"/>
          <w:b/>
          <w:bCs/>
          <w:color w:val="1F3A5F"/>
          <w:sz w:val="32"/>
          <w:szCs w:val="32"/>
          <w:rtl/>
        </w:rPr>
        <w:t xml:space="preserve">8. التتبع</w:t>
      </w:r>
      <w:bookmarkEnd w:id="2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44"/>
        <w:gridCol w:w="1856"/>
        <w:gridCol w:w="6964"/>
      </w:tblGrid>
      <w:tr>
        <w:trPr>
          <w:cantSplit/>
          <w:tblHeader/>
        </w:trPr>
        <w:tc>
          <w:tcPr>
            <w:tcW w:type="dxa" w:w="10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18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9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c>
          <w:tcPr>
            <w:tcW w:type="dxa" w:w="1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السيناريوهات القائمة</w:t>
            </w:r>
          </w:p>
        </w:tc>
        <w:tc>
          <w:tcPr>
            <w:tcW w:type="dxa" w:w="6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docs/10-detailed-analysis/10-m0-m1-platform-organization.md:646-698؛ docs/10-detailed-analysis/11-m2-m4-institutions-accounts-catalogs.md:644-664؛ docs/10-detailed-analysis/13-m6-workflow-engine-notifications.md:781-794</w:t>
            </w:r>
          </w:p>
        </w:tc>
      </w:tr>
      <w:tr>
        <w:trPr>
          <w:cantSplit/>
        </w:trPr>
        <w:tc>
          <w:tcPr>
            <w:tcW w:type="dxa" w:w="10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c>
          <w:tcPr>
            <w:tcW w:type="dxa" w:w="1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FR-PLT-001 إلى FR-PLT-046</w:t>
            </w:r>
          </w:p>
        </w:tc>
        <w:tc>
          <w:tcPr>
            <w:tcW w:type="dxa" w:w="6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docs/10-detailed-analysis/10-m0-m1-platform-organization.md:103-148</w:t>
            </w:r>
          </w:p>
        </w:tc>
      </w:tr>
      <w:tr>
        <w:trPr>
          <w:cantSplit/>
        </w:trPr>
        <w:tc>
          <w:tcPr>
            <w:tcW w:type="dxa" w:w="1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 §3.3</w:t>
            </w:r>
          </w:p>
        </w:tc>
        <w:tc>
          <w:tcPr>
            <w:tcW w:type="dxa" w:w="1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FR-ORG-001 إلى 014، FR-PTY-001 إلى 028</w:t>
            </w:r>
          </w:p>
        </w:tc>
        <w:tc>
          <w:tcPr>
            <w:tcW w:type="dxa" w:w="6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docs/10-detailed-analysis/10-m0-m1-platform-organization.md:155-168، 191-218</w:t>
            </w:r>
          </w:p>
        </w:tc>
      </w:tr>
      <w:tr>
        <w:trPr>
          <w:cantSplit/>
        </w:trPr>
        <w:tc>
          <w:tcPr>
            <w:tcW w:type="dxa" w:w="10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§3.4 إلى §3.6</w:t>
            </w:r>
          </w:p>
        </w:tc>
        <w:tc>
          <w:tcPr>
            <w:tcW w:type="dxa" w:w="1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 وFR-ACC وFR-CAT في S1</w:t>
            </w:r>
          </w:p>
        </w:tc>
        <w:tc>
          <w:tcPr>
            <w:tcW w:type="dxa" w:w="6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docs/10-detailed-analysis/11-m2-m4-institutions-accounts-catalogs.md:110-189</w:t>
            </w:r>
          </w:p>
        </w:tc>
      </w:tr>
      <w:tr>
        <w:trPr>
          <w:cantSplit/>
        </w:trPr>
        <w:tc>
          <w:tcPr>
            <w:tcW w:type="dxa" w:w="1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§3.7</w:t>
            </w:r>
          </w:p>
        </w:tc>
        <w:tc>
          <w:tcPr>
            <w:tcW w:type="dxa" w:w="1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 في S1</w:t>
            </w:r>
          </w:p>
        </w:tc>
        <w:tc>
          <w:tcPr>
            <w:tcW w:type="dxa" w:w="6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docs/10-detailed-analysis/13-m6-workflow-engine-notifications.md:200-223</w:t>
            </w:r>
          </w:p>
        </w:tc>
      </w:tr>
      <w:tr>
        <w:trPr>
          <w:cantSplit/>
        </w:trPr>
        <w:tc>
          <w:tcPr>
            <w:tcW w:type="dxa" w:w="10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خروج S0 وS1</w:t>
            </w:r>
          </w:p>
        </w:tc>
        <w:tc>
          <w:tcPr>
            <w:tcW w:type="dxa" w:w="6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docs/10-detailed-analysis/00-overview-and-cross-cutting.md:194-195</w:t>
            </w:r>
          </w:p>
        </w:tc>
      </w:tr>
      <w:tr>
        <w:trPr>
          <w:cantSplit/>
        </w:trPr>
        <w:tc>
          <w:tcPr>
            <w:tcW w:type="dxa" w:w="1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أعمدة الأتمتة</w:t>
            </w:r>
          </w:p>
        </w:tc>
        <w:tc>
          <w:tcPr>
            <w:tcW w:type="dxa" w:w="1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حالات القاعدة</w:t>
            </w:r>
          </w:p>
        </w:tc>
        <w:tc>
          <w:tcPr>
            <w:tcW w:type="dxa" w:w="6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w:t>
            </w:r>
          </w:p>
        </w:tc>
      </w:tr>
      <w:tr>
        <w:trPr>
          <w:cantSplit/>
        </w:trPr>
        <w:tc>
          <w:tcPr>
            <w:tcW w:type="dxa" w:w="10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AC-CAT-7</w:t>
            </w:r>
          </w:p>
        </w:tc>
        <w:tc>
          <w:tcPr>
            <w:tcW w:type="dxa" w:w="1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فجوة اختبار ref.Currency</w:t>
            </w:r>
          </w:p>
        </w:tc>
        <w:tc>
          <w:tcPr>
            <w:tcW w:type="dxa" w:w="6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docs/20-database-design.md:493</w:t>
            </w:r>
          </w:p>
        </w:tc>
      </w:tr>
      <w:tr>
        <w:trPr>
          <w:cantSplit/>
        </w:trPr>
        <w:tc>
          <w:tcPr>
            <w:tcW w:type="dxa" w:w="1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DQ-B02-1</w:t>
            </w:r>
          </w:p>
        </w:tc>
        <w:tc>
          <w:tcPr>
            <w:tcW w:type="dxa" w:w="1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BR-PLT-001، DR-03</w:t>
            </w:r>
          </w:p>
        </w:tc>
        <w:tc>
          <w:tcPr>
            <w:tcW w:type="dxa" w:w="6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docs/10-detailed-analysis/10-m0-m1-platform-organization.md:227؛ docs/20-database-design.md:421-428</w:t>
            </w:r>
          </w:p>
        </w:tc>
      </w:tr>
      <w:tr>
        <w:trPr>
          <w:cantSplit/>
        </w:trPr>
        <w:tc>
          <w:tcPr>
            <w:tcW w:type="dxa" w:w="10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DQ-B02-3، DQ-B02-4</w:t>
            </w:r>
          </w:p>
        </w:tc>
        <w:tc>
          <w:tcPr>
            <w:tcW w:type="dxa" w:w="1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O-18 وO-12 (erd_open_items)</w:t>
            </w:r>
          </w:p>
        </w:tc>
        <w:tc>
          <w:tcPr>
            <w:tcW w:type="dxa" w:w="6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tools/dbgen/erd_open_items.py:79-84، 115-120</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DOC-B02 · BankFas · مستندات الجاهزية P0 · 0.1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DOC-B02 — سجل سيناريوهات القبول للشريحتين S0 وS1</dc:title>
  <dc:creator>Claude</dc:creator>
  <dc:description>BankFas database design document</dc:description>
  <cp:lastModifiedBy>Un-named</cp:lastModifiedBy>
  <cp:revision>1</cp:revision>
  <dcterms:created xsi:type="dcterms:W3CDTF">2026-10-14T07:37:26.387Z</dcterms:created>
  <dcterms:modified xsi:type="dcterms:W3CDTF">2026-10-14T07:37:26.387Z</dcterms:modified>
</cp:coreProperties>
</file>

<file path=docProps/custom.xml><?xml version="1.0" encoding="utf-8"?>
<Properties xmlns="http://schemas.openxmlformats.org/officeDocument/2006/custom-properties" xmlns:vt="http://schemas.openxmlformats.org/officeDocument/2006/docPropsVTypes"/>
</file>