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bidi/>
      </w:pPr>
      <w:r>
        <w:rPr>
          <w:rFonts w:ascii="Arial" w:cs="Arial" w:eastAsia="Arial" w:hAnsi="Arial"/>
          <w:b/>
          <w:bCs/>
          <w:color w:val="1F3A5F"/>
          <w:sz w:val="48"/>
          <w:szCs w:val="48"/>
          <w:rtl/>
        </w:rPr>
        <w:t xml:space="preserve">DOC-F02 — تدفقات البيانات الحساسة (DFD المستوى 1)</w:t>
      </w: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60"/>
        <w:gridCol w:w="8704"/>
      </w:tblGrid>
      <w:tr>
        <w:trPr>
          <w:cantSplit/>
          <w:tblHeader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البند</w:t>
            </w:r>
          </w:p>
        </w:tc>
        <w:tc>
          <w:tcPr>
            <w:tcW w:type="dxa" w:w="8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القيمة</w:t>
            </w:r>
          </w:p>
        </w:tc>
      </w:tr>
      <w:tr>
        <w:trPr>
          <w:cantSplit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المعرّف</w:t>
            </w:r>
          </w:p>
        </w:tc>
        <w:tc>
          <w:tcPr>
            <w:tcW w:type="dxa" w:w="8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DOC-F02 (docs/30-readiness-documents.md)</w:t>
            </w:r>
          </w:p>
        </w:tc>
      </w:tr>
      <w:tr>
        <w:trPr>
          <w:cantSplit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الإصدار</w:t>
            </w:r>
          </w:p>
        </w:tc>
        <w:tc>
          <w:tcPr>
            <w:tcW w:type="dxa" w:w="8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0.1 — مسودة للمراجعة — 2026-10-12</w:t>
            </w:r>
          </w:p>
        </w:tc>
      </w:tr>
      <w:tr>
        <w:trPr>
          <w:cantSplit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المالك المقترح</w:t>
            </w:r>
          </w:p>
        </w:tc>
        <w:tc>
          <w:tcPr>
            <w:tcW w:type="dxa" w:w="8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مسؤول الأمن مع معماري قاعدة البيانات</w:t>
            </w:r>
          </w:p>
        </w:tc>
      </w:tr>
      <w:tr>
        <w:trPr>
          <w:cantSplit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الأولوية</w:t>
            </w:r>
          </w:p>
        </w:tc>
        <w:tc>
          <w:tcPr>
            <w:tcW w:type="dxa" w:w="8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P0 قبل S0</w:t>
            </w:r>
          </w:p>
        </w:tc>
      </w:tr>
      <w:tr>
        <w:trPr>
          <w:cantSplit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يغطي</w:t>
            </w:r>
          </w:p>
        </w:tc>
        <w:tc>
          <w:tcPr>
            <w:tcW w:type="dxa" w:w="8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FR-PLT-010، FR-PLT-011، FR-PLT-013، FR-PLT-014، FR-PLT-022، FR-PLT-023، FR-PLT-027، FR-PLT-030، FR-PLT-037، FR-PLT-039، FR-PLT-042، FR-PTY-006 إلى FR-PTY-009، FR-PTY-026، FR-PTY-027، FR-REQ-024، BR-PLT-004، BR-PLT-006، BR-PLT-009، BR-PLT-015، BR-PLT-016، BR-PTY-002، BR-PTY-008، BR-PTY-009، BR-REQ-003، O-24 (erd_open_items)، DR-08، DR-11، DR-13، DR-18، DR-25، DR-31، DR-46</w:t>
            </w:r>
          </w:p>
        </w:tc>
      </w:tr>
      <w:tr>
        <w:trPr>
          <w:cantSplit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يعتمد على</w:t>
            </w:r>
          </w:p>
        </w:tc>
        <w:tc>
          <w:tcPr>
            <w:tcW w:type="dxa" w:w="8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DOC-F01 (معرّفات TB والفاعلين والمخازن). يُستكمل بـDOC-S02 (المفاتيح) وDOC-S06 (التصنيف) وDOC-S07 (الخصوصية)</w:t>
            </w:r>
          </w:p>
        </w:tc>
      </w:tr>
      <w:tr>
        <w:trPr>
          <w:cantSplit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المصادر</w:t>
            </w:r>
          </w:p>
        </w:tc>
        <w:tc>
          <w:tcPr>
            <w:tcW w:type="dxa" w:w="8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db/model/*.model، db/generated/tsql/006_sensitive_columns.sql، db/generated/tsql/005_delete_grants.sql، db/generated/tsql/007_table_grants.sql، db/static/010_rls.sql، db/static/020_roles_and_grants.sql، db/static/030_session_context.sql، tools/dbgen/dbgen.py، tools/dbgen/check_grants.py، docs/20-database-design.md، docs/10-detailed-analysis/10-m0-m1-platform-organization.md، docs/10-detailed-analysis/13-m6-workflow-engine-notifications.md، docs/review/design-review-2026-10-11.json، tools/dbgen/erd_open_items.py</w:t>
            </w:r>
          </w:p>
        </w:tc>
      </w:tr>
    </w:tbl>
    <w:p>
      <w:pPr>
        <w:bidi/>
        <w:spacing w:after="120" w:before="0"/>
      </w:pPr>
    </w:p>
    <w:p>
      <w:pPr>
        <w:pBdr>
          <w:bottom w:val="single" w:color="1F3A5F" w:sz="8" w:space="4"/>
        </w:pBdr>
        <w:bidi/>
        <w:spacing w:after="100" w:before="280"/>
      </w:pPr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المحتويات</w:t>
      </w:r>
    </w:p>
    <w:p>
      <w:pPr>
        <w:bidi/>
        <w:spacing w:after="50" w:before="0"/>
        <w:ind w:left="0"/>
      </w:pPr>
      <w:hyperlink w:history="1" w:anchor="_sec1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1. الغرض والنطاق</w:t>
        </w:r>
      </w:hyperlink>
    </w:p>
    <w:p>
      <w:pPr>
        <w:bidi/>
        <w:spacing w:after="50" w:before="0"/>
        <w:ind w:left="0"/>
      </w:pPr>
      <w:hyperlink w:history="1" w:anchor="_sec2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2. جرد القيم الحساسة</w:t>
        </w:r>
      </w:hyperlink>
    </w:p>
    <w:p>
      <w:pPr>
        <w:bidi/>
        <w:spacing w:after="50" w:before="0"/>
        <w:ind w:left="0"/>
      </w:pPr>
      <w:hyperlink w:history="1" w:anchor="_sec3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3. وسوم الحساسية في النموذج</w:t>
        </w:r>
      </w:hyperlink>
    </w:p>
    <w:p>
      <w:pPr>
        <w:bidi/>
        <w:spacing w:after="50" w:before="0"/>
        <w:ind w:left="0"/>
      </w:pPr>
      <w:hyperlink w:history="1" w:anchor="_sec4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4. DFD-1: بيانات الدخول (V-01 إلى V-06)</w:t>
        </w:r>
      </w:hyperlink>
    </w:p>
    <w:p>
      <w:pPr>
        <w:bidi/>
        <w:spacing w:after="50" w:before="0"/>
        <w:ind w:left="0"/>
      </w:pPr>
      <w:hyperlink w:history="1" w:anchor="_sec5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5. DFD-2: أرقام الهويات وصورها (V-08، V-09)</w:t>
        </w:r>
      </w:hyperlink>
    </w:p>
    <w:p>
      <w:pPr>
        <w:bidi/>
        <w:spacing w:after="50" w:before="0"/>
        <w:ind w:left="0"/>
      </w:pPr>
      <w:hyperlink w:history="1" w:anchor="_sec6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6. DFD-3: أرقام الحسابات وIBAN ونسخها (V-10، V-13)</w:t>
        </w:r>
      </w:hyperlink>
    </w:p>
    <w:p>
      <w:pPr>
        <w:bidi/>
        <w:spacing w:after="50" w:before="0"/>
        <w:ind w:left="0"/>
      </w:pPr>
      <w:hyperlink w:history="1" w:anchor="_sec7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7. DFD-4: المفاتيح والنسخ الاحتياطية (V-07)</w:t>
        </w:r>
      </w:hyperlink>
    </w:p>
    <w:p>
      <w:pPr>
        <w:bidi/>
        <w:spacing w:after="50" w:before="0"/>
        <w:ind w:left="0"/>
      </w:pPr>
      <w:hyperlink w:history="1" w:anchor="_sec8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8. النسخ الجانبية: الإثبات</w:t>
        </w:r>
      </w:hyperlink>
    </w:p>
    <w:p>
      <w:pPr>
        <w:bidi/>
        <w:spacing w:after="50" w:before="0"/>
        <w:ind w:left="0"/>
      </w:pPr>
      <w:hyperlink w:history="1" w:anchor="_sec9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9. الحذف والاحتفاظ</w:t>
        </w:r>
      </w:hyperlink>
    </w:p>
    <w:p>
      <w:pPr>
        <w:bidi/>
        <w:spacing w:after="50" w:before="0"/>
        <w:ind w:left="0"/>
      </w:pPr>
      <w:hyperlink w:history="1" w:anchor="_sec10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10. قواعد ملزمة للتنفيذ</w:t>
        </w:r>
      </w:hyperlink>
    </w:p>
    <w:p>
      <w:pPr>
        <w:bidi/>
        <w:spacing w:after="50" w:before="0"/>
        <w:ind w:left="0"/>
      </w:pPr>
      <w:hyperlink w:history="1" w:anchor="_sec11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11. القرارات المطلوبة</w:t>
        </w:r>
      </w:hyperlink>
    </w:p>
    <w:p>
      <w:pPr>
        <w:bidi/>
        <w:spacing w:after="50" w:before="0"/>
        <w:ind w:left="0"/>
      </w:pPr>
      <w:hyperlink w:history="1" w:anchor="_sec12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12. تعارضات وفجوات في المصادر</w:t>
        </w:r>
      </w:hyperlink>
    </w:p>
    <w:p>
      <w:pPr>
        <w:bidi/>
        <w:spacing w:after="50" w:before="0"/>
        <w:ind w:left="0"/>
      </w:pPr>
      <w:hyperlink w:history="1" w:anchor="_sec13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13. التتبع</w:t>
        </w:r>
      </w:hyperlink>
    </w:p>
    <w:p>
      <w:r>
        <w:br w:type="page"/>
      </w:r>
    </w:p>
    <w:p>
      <w:pPr>
        <w:pStyle w:val="Heading1"/>
        <w:bidi/>
      </w:pPr>
      <w:bookmarkStart w:name="_sec1" w:id="1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1. الغرض والنطاق</w:t>
      </w:r>
      <w:bookmarkEnd w:id="1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يتتبع هذا المستند كل قيمة سرّية أو مقيّدة: أين تُنشأ، وأين تُنسخ وتُخزَّن وتُصدَّر وتُسجَّل وتُحذف.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الهدف إثبات أن كل نسخة من قيمة مقيّدة مشفّرة أو مقنَّعة أو مجزّأة، أو تسمية النسخة التي لا تحقق ذلك ومعالجتها.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معرّفات الحدود (TB) والفاعلين (A) والمخازن (D) من DOC-F01. معرّفات التدفقات هنا SD-nn.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مستويات التصنيف </w:t>
      </w: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(docs/10-detailed-analysis/10-m0-m1-platform-organization.md:581): عامة، داخلية،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سرّية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‎sens=confidential‎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)،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مقيّدة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‎sens=restricted‎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خارج النطاق: قيم التصنيف التفصيلية (DOC-S06)، سلسلة المفاتيح وتدويرها (DOC-S02)، مدد الاحتفاظ القانونية (DOC-S07)، تسلسل الدخول (DOC-F03).</w:t>
      </w:r>
    </w:p>
    <w:p>
      <w:pPr>
        <w:bidi/>
        <w:spacing w:after="60" w:before="0"/>
      </w:pPr>
    </w:p>
    <w:p>
      <w:pPr>
        <w:pStyle w:val="Heading1"/>
        <w:bidi/>
      </w:pPr>
      <w:bookmarkStart w:name="_sec2" w:id="2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2. جرد القيم الحساسة</w:t>
      </w:r>
      <w:bookmarkEnd w:id="2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40"/>
        <w:gridCol w:w="1862"/>
        <w:gridCol w:w="2072"/>
        <w:gridCol w:w="1335"/>
        <w:gridCol w:w="2110"/>
        <w:gridCol w:w="1545"/>
      </w:tblGrid>
      <w:tr>
        <w:trPr>
          <w:cantSplit/>
          <w:tblHeader/>
        </w:trPr>
        <w:tc>
          <w:tcPr>
            <w:tcW w:type="dxa" w:w="9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القيمة</w:t>
            </w:r>
          </w:p>
        </w:tc>
        <w:tc>
          <w:tcPr>
            <w:tcW w:type="dxa" w:w="186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الإنشاء</w:t>
            </w:r>
          </w:p>
        </w:tc>
        <w:tc>
          <w:tcPr>
            <w:tcW w:type="dxa" w:w="20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التخزين</w:t>
            </w:r>
          </w:p>
        </w:tc>
        <w:tc>
          <w:tcPr>
            <w:tcW w:type="dxa" w:w="13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النسخ والتصدير</w:t>
            </w:r>
          </w:p>
        </w:tc>
        <w:tc>
          <w:tcPr>
            <w:tcW w:type="dxa" w:w="21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السجلات</w:t>
            </w:r>
          </w:p>
        </w:tc>
        <w:tc>
          <w:tcPr>
            <w:tcW w:type="dxa" w:w="15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الحذف</w:t>
            </w:r>
          </w:p>
        </w:tc>
      </w:tr>
      <w:tr>
        <w:trPr>
          <w:cantSplit/>
        </w:trPr>
        <w:tc>
          <w:tcPr>
            <w:tcW w:type="dxa" w:w="9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V-01 كلمة المرور</w:t>
            </w:r>
          </w:p>
        </w:tc>
        <w:tc>
          <w:tcPr>
            <w:tcW w:type="dxa" w:w="186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يكتبها المستخدم (SD-01)</w:t>
            </w:r>
          </w:p>
        </w:tc>
        <w:tc>
          <w:tcPr>
            <w:tcW w:type="dxa" w:w="20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تُخزَّن؛ تبقى في ذاكرة التطبيق لحساب Argon2id</w:t>
            </w:r>
          </w:p>
        </w:tc>
        <w:tc>
          <w:tcPr>
            <w:tcW w:type="dxa" w:w="13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شيء</w:t>
            </w:r>
          </w:p>
        </w:tc>
        <w:tc>
          <w:tcPr>
            <w:tcW w:type="dxa" w:w="21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ممنوعة في سجلات التطبيق </w:t>
            </w: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(docs/10-detailed-analysis/10-m0-m1-platform-organization.md:586)</w:t>
            </w:r>
          </w:p>
        </w:tc>
        <w:tc>
          <w:tcPr>
            <w:tcW w:type="dxa" w:w="15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تُمحى من الذاكرة بعد الحساب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</w:tr>
      <w:tr>
        <w:trPr>
          <w:cantSplit/>
        </w:trPr>
        <w:tc>
          <w:tcPr>
            <w:tcW w:type="dxa" w:w="9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V-02 تجزئة كلمة المرور (PHC)</w:t>
            </w:r>
          </w:p>
        </w:tc>
        <w:tc>
          <w:tcPr>
            <w:tcW w:type="dxa" w:w="186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التطبيق (docs/adr/0002-login-and-session-bound-context.md:19)</w:t>
            </w:r>
          </w:p>
        </w:tc>
        <w:tc>
          <w:tcPr>
            <w:tcW w:type="dxa" w:w="20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‎sec.AppUser.PasswordHash‎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،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‎sec.UserPasswordHistory.PasswordHash‎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،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‎plat.PlatformOperator.PasswordHash‎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(db/model/10-platform.model:124، :262، :69)</w:t>
            </w:r>
          </w:p>
        </w:tc>
        <w:tc>
          <w:tcPr>
            <w:tcW w:type="dxa" w:w="13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الملح والمعاملات تعود من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‎usp_GetPasswordParams‎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بلا التجزئة (db/static/030_session_context.sql:34)</w:t>
            </w:r>
          </w:p>
        </w:tc>
        <w:tc>
          <w:tcPr>
            <w:tcW w:type="dxa" w:w="21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تُسجَّل</w:t>
            </w:r>
          </w:p>
        </w:tc>
        <w:tc>
          <w:tcPr>
            <w:tcW w:type="dxa" w:w="15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آخر 5 في السجل (BR-PLT-004)؛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‎tp_app‎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يحذف من السجل (db/generated/tsql/005_delete_grants.sql:15)</w:t>
            </w:r>
          </w:p>
        </w:tc>
      </w:tr>
      <w:tr>
        <w:trPr>
          <w:cantSplit/>
        </w:trPr>
        <w:tc>
          <w:tcPr>
            <w:tcW w:type="dxa" w:w="9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V-03 رمز الجلسة</w:t>
            </w:r>
          </w:p>
        </w:tc>
        <w:tc>
          <w:tcPr>
            <w:tcW w:type="dxa" w:w="186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التطبيق، 32 بايت على الأقل (db/static/030_session_context.sql:53)</w:t>
            </w:r>
          </w:p>
        </w:tc>
        <w:tc>
          <w:tcPr>
            <w:tcW w:type="dxa" w:w="20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SHA-256 في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‎sec.UserSession.TokenHash‎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(db/static/030_session_context.sql:116-118)</w:t>
            </w:r>
          </w:p>
        </w:tc>
        <w:tc>
          <w:tcPr>
            <w:tcW w:type="dxa" w:w="13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الأصل في ملف تعريف الارتباط (DOC-S03)</w:t>
            </w:r>
          </w:p>
        </w:tc>
        <w:tc>
          <w:tcPr>
            <w:tcW w:type="dxa" w:w="21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يُسجَّل</w:t>
            </w:r>
          </w:p>
        </w:tc>
        <w:tc>
          <w:tcPr>
            <w:tcW w:type="dxa" w:w="15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الإنهاء يحذف الربط (db/static/030_session_context.sql:269-283)؛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‎tp_app‎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يحذف الصف (db/generated/tsql/005_delete_grants.sql:12)</w:t>
            </w:r>
          </w:p>
        </w:tc>
      </w:tr>
      <w:tr>
        <w:trPr>
          <w:cantSplit/>
        </w:trPr>
        <w:tc>
          <w:tcPr>
            <w:tcW w:type="dxa" w:w="9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V-04 سر TOTP</w:t>
            </w:r>
          </w:p>
        </w:tc>
        <w:tc>
          <w:tcPr>
            <w:tcW w:type="dxa" w:w="186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التطبيق عند التسجيل</w:t>
            </w:r>
          </w:p>
        </w:tc>
        <w:tc>
          <w:tcPr>
            <w:tcW w:type="dxa" w:w="20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‎sec.AppUser.MfaSecretEnc‎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بمفتاح DATA للمشترك (db/model/10-platform.model:127-129)؛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‎plat.PlatformOperator.MfaSecretEnc‎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بمفتاح المنصة (:72-73)</w:t>
            </w:r>
          </w:p>
        </w:tc>
        <w:tc>
          <w:tcPr>
            <w:tcW w:type="dxa" w:w="13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يُعرض مرة للمستخدم (DF-04)</w:t>
            </w:r>
          </w:p>
        </w:tc>
        <w:tc>
          <w:tcPr>
            <w:tcW w:type="dxa" w:w="21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يُسجَّل</w:t>
            </w:r>
          </w:p>
        </w:tc>
        <w:tc>
          <w:tcPr>
            <w:tcW w:type="dxa" w:w="15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إعادة تعيين MFA تصفّره (BR-PLT-006)</w:t>
            </w:r>
          </w:p>
        </w:tc>
      </w:tr>
      <w:tr>
        <w:trPr>
          <w:cantSplit/>
        </w:trPr>
        <w:tc>
          <w:tcPr>
            <w:tcW w:type="dxa" w:w="9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V-05 رموز الاسترداد</w:t>
            </w:r>
          </w:p>
        </w:tc>
        <w:tc>
          <w:tcPr>
            <w:tcW w:type="dxa" w:w="186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التطبيق، 10 رموز (FR-PLT-011)</w:t>
            </w:r>
          </w:p>
        </w:tc>
        <w:tc>
          <w:tcPr>
            <w:tcW w:type="dxa" w:w="20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‎sec.MfaRecoveryCode.CodeHash‎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(db/model/10-platform.model:238)</w:t>
            </w:r>
          </w:p>
        </w:tc>
        <w:tc>
          <w:tcPr>
            <w:tcW w:type="dxa" w:w="13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تُعرض مرة للمستخدم</w:t>
            </w:r>
          </w:p>
        </w:tc>
        <w:tc>
          <w:tcPr>
            <w:tcW w:type="dxa" w:w="21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الاستهلاك يُسجَّل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‎UsedAt‎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و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‎UsedIp‎</w:t>
            </w:r>
          </w:p>
        </w:tc>
        <w:tc>
          <w:tcPr>
            <w:tcW w:type="dxa" w:w="15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‎tp_app‎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يحذف (db/generated/tsql/005_delete_grants.sql:13)</w:t>
            </w:r>
          </w:p>
        </w:tc>
      </w:tr>
      <w:tr>
        <w:trPr>
          <w:cantSplit/>
        </w:trPr>
        <w:tc>
          <w:tcPr>
            <w:tcW w:type="dxa" w:w="9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V-06 رمز الدعوة أو إعادة التعيين</w:t>
            </w:r>
          </w:p>
        </w:tc>
        <w:tc>
          <w:tcPr>
            <w:tcW w:type="dxa" w:w="186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التطبيق</w:t>
            </w:r>
          </w:p>
        </w:tc>
        <w:tc>
          <w:tcPr>
            <w:tcW w:type="dxa" w:w="20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‎sec.UserToken.TokenHash‎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(db/model/10-platform.model:247)</w:t>
            </w:r>
          </w:p>
        </w:tc>
        <w:tc>
          <w:tcPr>
            <w:tcW w:type="dxa" w:w="13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الأصل في رابط البريد (SD-09، TB-10)</w:t>
            </w:r>
          </w:p>
        </w:tc>
        <w:tc>
          <w:tcPr>
            <w:tcW w:type="dxa" w:w="21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‎SentTo‎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و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‎RequestIp‎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و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‎SendError‎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(:251-255)</w:t>
            </w:r>
          </w:p>
        </w:tc>
        <w:tc>
          <w:tcPr>
            <w:tcW w:type="dxa" w:w="15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48 ساعة أو 30 دقيقة (FR-PLT-013)؛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‎tp_app‎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يحذف (db/generated/tsql/005_delete_grants.sql:14)</w:t>
            </w:r>
          </w:p>
        </w:tc>
      </w:tr>
      <w:tr>
        <w:trPr>
          <w:cantSplit/>
        </w:trPr>
        <w:tc>
          <w:tcPr>
            <w:tcW w:type="dxa" w:w="9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V-07 مفاتيح المشترك</w:t>
            </w:r>
          </w:p>
        </w:tc>
        <w:tc>
          <w:tcPr>
            <w:tcW w:type="dxa" w:w="186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خدمة المفاتيح (FR-PLT-037)</w:t>
            </w:r>
          </w:p>
        </w:tc>
        <w:tc>
          <w:tcPr>
            <w:tcW w:type="dxa" w:w="20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‎sec.TenantKey.WrappedKey‎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ملفوف بمفتاح رئيسي خارجي (db/model/10-platform.model:276-289)</w:t>
            </w:r>
          </w:p>
        </w:tc>
        <w:tc>
          <w:tcPr>
            <w:tcW w:type="dxa" w:w="13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المفتاح المفكوك في ذاكرة التطبيق</w:t>
            </w:r>
          </w:p>
        </w:tc>
        <w:tc>
          <w:tcPr>
            <w:tcW w:type="dxa" w:w="21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‎sec.KeyEvent‎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(:291-301)</w:t>
            </w:r>
          </w:p>
        </w:tc>
        <w:tc>
          <w:tcPr>
            <w:tcW w:type="dxa" w:w="15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‎RETIRED‎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أو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‎REVOKED‎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؛ لا حذف</w:t>
            </w:r>
          </w:p>
        </w:tc>
      </w:tr>
      <w:tr>
        <w:trPr>
          <w:cantSplit/>
        </w:trPr>
        <w:tc>
          <w:tcPr>
            <w:tcW w:type="dxa" w:w="9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V-08 رقم الهوية</w:t>
            </w:r>
          </w:p>
        </w:tc>
        <w:tc>
          <w:tcPr>
            <w:tcW w:type="dxa" w:w="186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المستخدم (SD-12)</w:t>
            </w:r>
          </w:p>
        </w:tc>
        <w:tc>
          <w:tcPr>
            <w:tcW w:type="dxa" w:w="20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‎pty.IdentityDocument‎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: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‎NumberEnc‎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و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‎NumberMask‎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و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‎NumberHash‎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(db/model/11-organization-party.model:294-296)</w:t>
            </w:r>
          </w:p>
        </w:tc>
        <w:tc>
          <w:tcPr>
            <w:tcW w:type="dxa" w:w="13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الكشف (SD-16)، حزمة الكفيل، التصدير</w:t>
            </w:r>
          </w:p>
        </w:tc>
        <w:tc>
          <w:tcPr>
            <w:tcW w:type="dxa" w:w="21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التدقيق بالقناع فقط (FR-PLT-023)</w:t>
            </w:r>
          </w:p>
        </w:tc>
        <w:tc>
          <w:tcPr>
            <w:tcW w:type="dxa" w:w="15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حذف؛ إخفاء الهوية بعد الاحتفاظ (FR-PTY-029)</w:t>
            </w:r>
          </w:p>
        </w:tc>
      </w:tr>
      <w:tr>
        <w:trPr>
          <w:cantSplit/>
        </w:trPr>
        <w:tc>
          <w:tcPr>
            <w:tcW w:type="dxa" w:w="9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V-09 صور الهويات والمستندات المقيّدة</w:t>
            </w:r>
          </w:p>
        </w:tc>
        <w:tc>
          <w:tcPr>
            <w:tcW w:type="dxa" w:w="186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المستخدم (SD-14)</w:t>
            </w:r>
          </w:p>
        </w:tc>
        <w:tc>
          <w:tcPr>
            <w:tcW w:type="dxa" w:w="20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مخزن الملفات مشفّرًا بمفتاح FILE؛ المرجع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‎doc.DocumentVersion‎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(db/model/10-platform.model:386-408) والدور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‎IMAGE_FRONT‎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وأمثاله (:414)</w:t>
            </w:r>
          </w:p>
        </w:tc>
        <w:tc>
          <w:tcPr>
            <w:tcW w:type="dxa" w:w="13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العرض والتنزيل (FR-PLT-030)، الحزمة</w:t>
            </w:r>
          </w:p>
        </w:tc>
        <w:tc>
          <w:tcPr>
            <w:tcW w:type="dxa" w:w="21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‎aud.SensitiveAccessLog‎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(:332-355)</w:t>
            </w:r>
          </w:p>
        </w:tc>
        <w:tc>
          <w:tcPr>
            <w:tcW w:type="dxa" w:w="15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حذف منطقي؛ الإتلاف بالاحتفاظ (BR-PLT-011)</w:t>
            </w:r>
          </w:p>
        </w:tc>
      </w:tr>
      <w:tr>
        <w:trPr>
          <w:cantSplit/>
        </w:trPr>
        <w:tc>
          <w:tcPr>
            <w:tcW w:type="dxa" w:w="9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V-10 رقم الحساب وIBAN</w:t>
            </w:r>
          </w:p>
        </w:tc>
        <w:tc>
          <w:tcPr>
            <w:tcW w:type="dxa" w:w="186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المستخدم</w:t>
            </w:r>
          </w:p>
        </w:tc>
        <w:tc>
          <w:tcPr>
            <w:tcW w:type="dxa" w:w="20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‎acc.BankAccount‎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(db/model/12-institutions-accounts-catalogs.model:386-392)؛ IBAN المستفيد في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‎lc.LcTerms‎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(db/model/16-letters-of-credit.model:186-188)</w:t>
            </w:r>
          </w:p>
        </w:tc>
        <w:tc>
          <w:tcPr>
            <w:tcW w:type="dxa" w:w="13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نسخ صريحة في المقارنة والنص الأصلي (§8)</w:t>
            </w:r>
          </w:p>
        </w:tc>
        <w:tc>
          <w:tcPr>
            <w:tcW w:type="dxa" w:w="21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القناع فقط</w:t>
            </w:r>
          </w:p>
        </w:tc>
        <w:tc>
          <w:tcPr>
            <w:tcW w:type="dxa" w:w="15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حذف للحساب</w:t>
            </w:r>
          </w:p>
        </w:tc>
      </w:tr>
      <w:tr>
        <w:trPr>
          <w:cantSplit/>
        </w:trPr>
        <w:tc>
          <w:tcPr>
            <w:tcW w:type="dxa" w:w="9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V-11 بيانات الامتثال</w:t>
            </w:r>
          </w:p>
        </w:tc>
        <w:tc>
          <w:tcPr>
            <w:tcW w:type="dxa" w:w="186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المستخدم</w:t>
            </w:r>
          </w:p>
        </w:tc>
        <w:tc>
          <w:tcPr>
            <w:tcW w:type="dxa" w:w="20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‎pty.PartyCompliance‎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(db/model/11-organization-party.model:465)</w:t>
            </w:r>
          </w:p>
        </w:tc>
        <w:tc>
          <w:tcPr>
            <w:tcW w:type="dxa" w:w="13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الحزمة والتصدير</w:t>
            </w:r>
          </w:p>
        </w:tc>
        <w:tc>
          <w:tcPr>
            <w:tcW w:type="dxa" w:w="21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التدقيق</w:t>
            </w:r>
          </w:p>
        </w:tc>
        <w:tc>
          <w:tcPr>
            <w:tcW w:type="dxa" w:w="15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حذف؛ سجل مؤرخ</w:t>
            </w:r>
          </w:p>
        </w:tc>
      </w:tr>
      <w:tr>
        <w:trPr>
          <w:cantSplit/>
        </w:trPr>
        <w:tc>
          <w:tcPr>
            <w:tcW w:type="dxa" w:w="9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V-12 الحقل المخصص المقيّد</w:t>
            </w:r>
          </w:p>
        </w:tc>
        <w:tc>
          <w:tcPr>
            <w:tcW w:type="dxa" w:w="186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المستخدم</w:t>
            </w:r>
          </w:p>
        </w:tc>
        <w:tc>
          <w:tcPr>
            <w:tcW w:type="dxa" w:w="20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‎pty.PartyCustomField.ValueEnc‎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و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‎ValueMask‎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(db/model/11-organization-party.model:397-400)</w:t>
            </w:r>
          </w:p>
        </w:tc>
        <w:tc>
          <w:tcPr>
            <w:tcW w:type="dxa" w:w="13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الكشف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‎CUSTOM_FIELD_REVEAL‎</w:t>
            </w:r>
          </w:p>
        </w:tc>
        <w:tc>
          <w:tcPr>
            <w:tcW w:type="dxa" w:w="21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‎aud.SensitiveAccessLog‎</w:t>
            </w:r>
          </w:p>
        </w:tc>
        <w:tc>
          <w:tcPr>
            <w:tcW w:type="dxa" w:w="15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مع الشخص</w:t>
            </w:r>
          </w:p>
        </w:tc>
      </w:tr>
      <w:tr>
        <w:trPr>
          <w:cantSplit/>
        </w:trPr>
        <w:tc>
          <w:tcPr>
            <w:tcW w:type="dxa" w:w="9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V-13 سمات الضمان</w:t>
            </w:r>
          </w:p>
        </w:tc>
        <w:tc>
          <w:tcPr>
            <w:tcW w:type="dxa" w:w="186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المستخدم من الاتفاقية</w:t>
            </w:r>
          </w:p>
        </w:tc>
        <w:tc>
          <w:tcPr>
            <w:tcW w:type="dxa" w:w="20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‎col.Collateral.Attributes‎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JSON موسوم مقيّدًا وغير مشفّر (db/model/14-collateral-obligations-financials.model:32)</w:t>
            </w:r>
          </w:p>
        </w:tc>
        <w:tc>
          <w:tcPr>
            <w:tcW w:type="dxa" w:w="13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شيء</w:t>
            </w:r>
          </w:p>
        </w:tc>
        <w:tc>
          <w:tcPr>
            <w:tcW w:type="dxa" w:w="21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التدقيق</w:t>
            </w:r>
          </w:p>
        </w:tc>
        <w:tc>
          <w:tcPr>
            <w:tcW w:type="dxa" w:w="15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حذف</w:t>
            </w:r>
          </w:p>
        </w:tc>
      </w:tr>
      <w:tr>
        <w:trPr>
          <w:cantSplit/>
        </w:trPr>
        <w:tc>
          <w:tcPr>
            <w:tcW w:type="dxa" w:w="9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V-14 بيانات شخصية سرّية</w:t>
            </w:r>
          </w:p>
        </w:tc>
        <w:tc>
          <w:tcPr>
            <w:tcW w:type="dxa" w:w="186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المستخدم</w:t>
            </w:r>
          </w:p>
        </w:tc>
        <w:tc>
          <w:tcPr>
            <w:tcW w:type="dxa" w:w="20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23 عمودًا موسومًا سرّيًا، مثل تاريخ الميلاد (db/model/11-organization-party.model:267-273) والرقم الضريبي (:470-471)</w:t>
            </w:r>
          </w:p>
        </w:tc>
        <w:tc>
          <w:tcPr>
            <w:tcW w:type="dxa" w:w="13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التصدير والحزمة</w:t>
            </w:r>
          </w:p>
        </w:tc>
        <w:tc>
          <w:tcPr>
            <w:tcW w:type="dxa" w:w="21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التدقيق</w:t>
            </w:r>
          </w:p>
        </w:tc>
        <w:tc>
          <w:tcPr>
            <w:tcW w:type="dxa" w:w="15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الاحتفاظ (FR-PLT-040)</w:t>
            </w:r>
          </w:p>
        </w:tc>
      </w:tr>
      <w:tr>
        <w:trPr>
          <w:cantSplit/>
        </w:trPr>
        <w:tc>
          <w:tcPr>
            <w:tcW w:type="dxa" w:w="9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V-15 أحداث التدقيق والوصول</w:t>
            </w:r>
          </w:p>
        </w:tc>
        <w:tc>
          <w:tcPr>
            <w:tcW w:type="dxa" w:w="186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التطبيق</w:t>
            </w:r>
          </w:p>
        </w:tc>
        <w:tc>
          <w:tcPr>
            <w:tcW w:type="dxa" w:w="20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‎aud.AuditLog‎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(db/model/10-platform.model:304-330)،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‎aud.SensitiveAccessLog‎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(:332-355)</w:t>
            </w:r>
          </w:p>
        </w:tc>
        <w:tc>
          <w:tcPr>
            <w:tcW w:type="dxa" w:w="13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عارض التدقيق وتصديره (FR-PLT-024)</w:t>
            </w:r>
          </w:p>
        </w:tc>
        <w:tc>
          <w:tcPr>
            <w:tcW w:type="dxa" w:w="21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هي السجل</w:t>
            </w:r>
          </w:p>
        </w:tc>
        <w:tc>
          <w:tcPr>
            <w:tcW w:type="dxa" w:w="15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حذف ولا تعديل (db/static/020_roles_and_grants.sql:65)</w:t>
            </w:r>
          </w:p>
        </w:tc>
      </w:tr>
      <w:tr>
        <w:trPr>
          <w:cantSplit/>
        </w:trPr>
        <w:tc>
          <w:tcPr>
            <w:tcW w:type="dxa" w:w="9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V-16 بيانات التتبع الشخصية</w:t>
            </w:r>
          </w:p>
        </w:tc>
        <w:tc>
          <w:tcPr>
            <w:tcW w:type="dxa" w:w="186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الطلب</w:t>
            </w:r>
          </w:p>
        </w:tc>
        <w:tc>
          <w:tcPr>
            <w:tcW w:type="dxa" w:w="20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عنوان IP ووكيل المستخدم في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‎sec.LoginAttempt‎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و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‎sec.UserSession‎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و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‎aud.AuditLog‎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؛ البريد المكتوب في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‎LoginName‎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(db/model/10-platform.model:201-204، :226-227، :318-319)</w:t>
            </w:r>
          </w:p>
        </w:tc>
        <w:tc>
          <w:tcPr>
            <w:tcW w:type="dxa" w:w="13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شيء</w:t>
            </w:r>
          </w:p>
        </w:tc>
        <w:tc>
          <w:tcPr>
            <w:tcW w:type="dxa" w:w="21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هي السجل</w:t>
            </w:r>
          </w:p>
        </w:tc>
        <w:tc>
          <w:tcPr>
            <w:tcW w:type="dxa" w:w="15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غير محدد (DQ-F02-6)</w:t>
            </w:r>
          </w:p>
        </w:tc>
      </w:tr>
      <w:tr>
        <w:trPr>
          <w:cantSplit/>
        </w:trPr>
        <w:tc>
          <w:tcPr>
            <w:tcW w:type="dxa" w:w="9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V-17 حزمة التصدير</w:t>
            </w:r>
          </w:p>
        </w:tc>
        <w:tc>
          <w:tcPr>
            <w:tcW w:type="dxa" w:w="186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مهمة التصدير (FR-PLT-039)</w:t>
            </w:r>
          </w:p>
        </w:tc>
        <w:tc>
          <w:tcPr>
            <w:tcW w:type="dxa" w:w="20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‎cfg.DataExportJob‎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ومستند الحزمة (db/model/10-platform.model:502-521)</w:t>
            </w:r>
          </w:p>
        </w:tc>
        <w:tc>
          <w:tcPr>
            <w:tcW w:type="dxa" w:w="13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تنزيل المستخدم (DF-08)</w:t>
            </w:r>
          </w:p>
        </w:tc>
        <w:tc>
          <w:tcPr>
            <w:tcW w:type="dxa" w:w="21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‎DATA_EXPORT‎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في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‎aud.SensitiveAccessLog‎</w:t>
            </w:r>
          </w:p>
        </w:tc>
        <w:tc>
          <w:tcPr>
            <w:tcW w:type="dxa" w:w="15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‎EXPIRED‎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بعد 7 أيام؛ حذف الملف غير محدد (DQ-F02-5)</w:t>
            </w:r>
          </w:p>
        </w:tc>
      </w:tr>
    </w:tbl>
    <w:p>
      <w:pPr>
        <w:bidi/>
        <w:spacing w:after="120" w:before="0"/>
      </w:pPr>
    </w:p>
    <w:p>
      <w:pPr>
        <w:pStyle w:val="Heading1"/>
        <w:bidi/>
      </w:pPr>
      <w:bookmarkStart w:name="_sec3" w:id="3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3. وسوم الحساسية في النموذج</w:t>
      </w:r>
      <w:bookmarkEnd w:id="3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المقيّد: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29 عمودًا. لكل منها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‎DENY SELECT‎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لـ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‎tp_readonly‎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(db/generated/tsql/006_sensitive_columns.sql:7-35). الفحص R7 يطابق العددين (tools/dbgen/check_grants.py:92-96)، والاختبار T21 يثبت الرفض (db/tests/tenant_isolation_tests.sql:704-711).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السرّي: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23 عمودًا موسومًا،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بلا DENY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لأي دور.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‎tp_readonly‎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يقرؤها متى رأى الصف (DQ-F02-3).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التطبيق </w:t>
      </w:r>
      <w:r>
        <w:rPr>
          <w:rFonts w:ascii="Courier New" w:cs="Courier New" w:eastAsia="Courier New" w:hAnsi="Courier New"/>
          <w:b/>
          <w:bCs/>
          <w:color w:val="1F2937"/>
          <w:sz w:val="18"/>
          <w:szCs w:val="18"/>
          <w:shd w:fill="F1F3F5" w:color="auto" w:val="clear"/>
          <w:rtl/>
        </w:rPr>
        <w:t xml:space="preserve">‎tp_app‎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 يقرأ كل المقيّد في جداول المشترك عدا </w:t>
      </w:r>
      <w:r>
        <w:rPr>
          <w:rFonts w:ascii="Courier New" w:cs="Courier New" w:eastAsia="Courier New" w:hAnsi="Courier New"/>
          <w:b/>
          <w:bCs/>
          <w:color w:val="1F2937"/>
          <w:sz w:val="18"/>
          <w:szCs w:val="18"/>
          <w:shd w:fill="F1F3F5" w:color="auto" w:val="clear"/>
          <w:rtl/>
        </w:rPr>
        <w:t xml:space="preserve">‎sec.AppUser.PasswordHash‎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(db/static/030_session_context.sql:237؛ الاختبار T35)، ولا يصل إلى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‎plat.PlatformOperator‎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لأنه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‎noapp‎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. القيم المقيّدة في الأعمدة نص مشفّر أو تجزئة، فالقراءة وحدها لا تكشفها دون مفتاح البيانات.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استثناء خطر: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‎tp_app‎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يقرأ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‎sec.UserPasswordHistory.PasswordHash‎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(db/generated/tsql/007_table_grants.sql:46) بلا DENY. إن كتب التطبيق التجزئة الحالية في السجل، أمكن اتصالًا مربوطًا قراءتها وتمريرها إلى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‎usp_StartSession‎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، فيسقط شرط «لا إعادة تشغيل للتجزئة» في docs/adr/0002-login-and-session-bound-context.md:24. المعالجة مع O-24 (erd_open_items) في DOC-S01.</w:t>
      </w:r>
    </w:p>
    <w:p>
      <w:pPr>
        <w:bidi/>
        <w:spacing w:after="60" w:before="0"/>
      </w:pP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437"/>
        <w:gridCol w:w="5232"/>
        <w:gridCol w:w="1195"/>
      </w:tblGrid>
      <w:tr>
        <w:trPr>
          <w:cantSplit/>
          <w:tblHeader/>
        </w:trPr>
        <w:tc>
          <w:tcPr>
            <w:tcW w:type="dxa" w:w="34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الجدول</w:t>
            </w:r>
          </w:p>
        </w:tc>
        <w:tc>
          <w:tcPr>
            <w:tcW w:type="dxa" w:w="52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الأعمدة المقيّدة</w:t>
            </w:r>
          </w:p>
        </w:tc>
        <w:tc>
          <w:tcPr>
            <w:tcW w:type="dxa" w:w="11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الحماية</w:t>
            </w:r>
          </w:p>
        </w:tc>
      </w:tr>
      <w:tr>
        <w:trPr>
          <w:cantSplit/>
        </w:trPr>
        <w:tc>
          <w:tcPr>
            <w:tcW w:type="dxa" w:w="34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‎plat.PlatformOperator‎</w:t>
            </w:r>
          </w:p>
        </w:tc>
        <w:tc>
          <w:tcPr>
            <w:tcW w:type="dxa" w:w="52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‎PasswordHash‎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،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‎MfaSecretEnc‎</w:t>
            </w:r>
          </w:p>
        </w:tc>
        <w:tc>
          <w:tcPr>
            <w:tcW w:type="dxa" w:w="11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تجزئة؛ تشفير بمفتاح المنصة</w:t>
            </w:r>
          </w:p>
        </w:tc>
      </w:tr>
      <w:tr>
        <w:trPr>
          <w:cantSplit/>
        </w:trPr>
        <w:tc>
          <w:tcPr>
            <w:tcW w:type="dxa" w:w="34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‎sec.AppUser‎</w:t>
            </w:r>
          </w:p>
        </w:tc>
        <w:tc>
          <w:tcPr>
            <w:tcW w:type="dxa" w:w="52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‎PasswordHash‎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،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‎MfaSecretEnc‎</w:t>
            </w:r>
          </w:p>
        </w:tc>
        <w:tc>
          <w:tcPr>
            <w:tcW w:type="dxa" w:w="11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تجزئة؛ تشفير بمفتاح DATA</w:t>
            </w:r>
          </w:p>
        </w:tc>
      </w:tr>
      <w:tr>
        <w:trPr>
          <w:cantSplit/>
        </w:trPr>
        <w:tc>
          <w:tcPr>
            <w:tcW w:type="dxa" w:w="34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‎sec.UserSession‎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،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‎sec.UserToken‎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،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‎sec.MfaRecoveryCode‎</w:t>
            </w:r>
          </w:p>
        </w:tc>
        <w:tc>
          <w:tcPr>
            <w:tcW w:type="dxa" w:w="52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‎TokenHash‎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،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‎TokenHash‎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،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‎CodeHash‎</w:t>
            </w:r>
          </w:p>
        </w:tc>
        <w:tc>
          <w:tcPr>
            <w:tcW w:type="dxa" w:w="11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تجزئة</w:t>
            </w:r>
          </w:p>
        </w:tc>
      </w:tr>
      <w:tr>
        <w:trPr>
          <w:cantSplit/>
        </w:trPr>
        <w:tc>
          <w:tcPr>
            <w:tcW w:type="dxa" w:w="34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‎sec.UserPasswordHistory‎</w:t>
            </w:r>
          </w:p>
        </w:tc>
        <w:tc>
          <w:tcPr>
            <w:tcW w:type="dxa" w:w="52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‎PasswordHash‎</w:t>
            </w:r>
          </w:p>
        </w:tc>
        <w:tc>
          <w:tcPr>
            <w:tcW w:type="dxa" w:w="11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تجزئة</w:t>
            </w:r>
          </w:p>
        </w:tc>
      </w:tr>
      <w:tr>
        <w:trPr>
          <w:cantSplit/>
        </w:trPr>
        <w:tc>
          <w:tcPr>
            <w:tcW w:type="dxa" w:w="34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‎sec.TenantKey‎</w:t>
            </w:r>
          </w:p>
        </w:tc>
        <w:tc>
          <w:tcPr>
            <w:tcW w:type="dxa" w:w="52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‎WrappedKey‎</w:t>
            </w:r>
          </w:p>
        </w:tc>
        <w:tc>
          <w:tcPr>
            <w:tcW w:type="dxa" w:w="11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لف بمفتاح رئيسي خارجي</w:t>
            </w:r>
          </w:p>
        </w:tc>
      </w:tr>
      <w:tr>
        <w:trPr>
          <w:cantSplit/>
        </w:trPr>
        <w:tc>
          <w:tcPr>
            <w:tcW w:type="dxa" w:w="34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‎pty.IdentityDocument‎</w:t>
            </w:r>
          </w:p>
        </w:tc>
        <w:tc>
          <w:tcPr>
            <w:tcW w:type="dxa" w:w="52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‎NumberEnc‎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،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‎NumberMask‎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،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‎NumberHash‎</w:t>
            </w:r>
          </w:p>
        </w:tc>
        <w:tc>
          <w:tcPr>
            <w:tcW w:type="dxa" w:w="11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تشفير وقناع وHMAC</w:t>
            </w:r>
          </w:p>
        </w:tc>
      </w:tr>
      <w:tr>
        <w:trPr>
          <w:cantSplit/>
        </w:trPr>
        <w:tc>
          <w:tcPr>
            <w:tcW w:type="dxa" w:w="34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‎pty.PartyCustomField‎</w:t>
            </w:r>
          </w:p>
        </w:tc>
        <w:tc>
          <w:tcPr>
            <w:tcW w:type="dxa" w:w="52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‎ValueEnc‎</w:t>
            </w:r>
          </w:p>
        </w:tc>
        <w:tc>
          <w:tcPr>
            <w:tcW w:type="dxa" w:w="11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تشفير</w:t>
            </w:r>
          </w:p>
        </w:tc>
      </w:tr>
      <w:tr>
        <w:trPr>
          <w:cantSplit/>
        </w:trPr>
        <w:tc>
          <w:tcPr>
            <w:tcW w:type="dxa" w:w="34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‎pty.PartyCompliance‎</w:t>
            </w:r>
          </w:p>
        </w:tc>
        <w:tc>
          <w:tcPr>
            <w:tcW w:type="dxa" w:w="52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‎IsPep‎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،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‎IsRelatedToPep‎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،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‎IsSanctioned‎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،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‎IsUnderInvestigation‎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،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‎HasImmunity‎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،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‎Details‎</w:t>
            </w:r>
          </w:p>
        </w:tc>
        <w:tc>
          <w:tcPr>
            <w:tcW w:type="dxa" w:w="11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حجب عن التقارير فقط</w:t>
            </w:r>
          </w:p>
        </w:tc>
      </w:tr>
      <w:tr>
        <w:trPr>
          <w:cantSplit/>
        </w:trPr>
        <w:tc>
          <w:tcPr>
            <w:tcW w:type="dxa" w:w="34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‎acc.BankAccount‎</w:t>
            </w:r>
          </w:p>
        </w:tc>
        <w:tc>
          <w:tcPr>
            <w:tcW w:type="dxa" w:w="52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‎AccountNoEnc/Mask/Hash‎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،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‎IbanEnc/Mask/Hash‎</w:t>
            </w:r>
          </w:p>
        </w:tc>
        <w:tc>
          <w:tcPr>
            <w:tcW w:type="dxa" w:w="11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تشفير وقناع وHMAC</w:t>
            </w:r>
          </w:p>
        </w:tc>
      </w:tr>
      <w:tr>
        <w:trPr>
          <w:cantSplit/>
        </w:trPr>
        <w:tc>
          <w:tcPr>
            <w:tcW w:type="dxa" w:w="34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‎col.Collateral‎</w:t>
            </w:r>
          </w:p>
        </w:tc>
        <w:tc>
          <w:tcPr>
            <w:tcW w:type="dxa" w:w="52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‎Attributes‎</w:t>
            </w:r>
          </w:p>
        </w:tc>
        <w:tc>
          <w:tcPr>
            <w:tcW w:type="dxa" w:w="11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حجب عن التقارير فقط (DR-08)</w:t>
            </w:r>
          </w:p>
        </w:tc>
      </w:tr>
      <w:tr>
        <w:trPr>
          <w:cantSplit/>
        </w:trPr>
        <w:tc>
          <w:tcPr>
            <w:tcW w:type="dxa" w:w="34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‎lc.LcTerms‎</w:t>
            </w:r>
          </w:p>
        </w:tc>
        <w:tc>
          <w:tcPr>
            <w:tcW w:type="dxa" w:w="52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‎BeneficiaryAccountIbanEnc/Mask/Hash‎</w:t>
            </w:r>
          </w:p>
        </w:tc>
        <w:tc>
          <w:tcPr>
            <w:tcW w:type="dxa" w:w="11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تشفير وقناع وHMAC</w:t>
            </w:r>
          </w:p>
        </w:tc>
      </w:tr>
    </w:tbl>
    <w:p>
      <w:pPr>
        <w:bidi/>
        <w:spacing w:after="12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شكل الغلاف المشفّر وAAD والتدوير في docs/20-database-design.md:188-209 </w:t>
      </w: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، ويملكه DOC-S02.</w:t>
      </w:r>
    </w:p>
    <w:p>
      <w:pPr>
        <w:pStyle w:val="Heading1"/>
        <w:bidi/>
      </w:pPr>
      <w:bookmarkStart w:name="_sec4" w:id="4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4. DFD-1: بيانات الدخول (V-01 إلى V-06)</w:t>
      </w:r>
      <w:bookmarkEnd w:id="4"/>
    </w:p>
    <w:p>
      <w:pPr>
        <w:keepNext/>
        <w:bidi/>
        <w:spacing w:after="60" w:before="160"/>
        <w:jc w:val="center"/>
      </w:pPr>
      <w:r>
        <w:drawing>
          <wp:inline distT="0" distB="0" distL="0" distR="0">
            <wp:extent cx="6096000" cy="3362325"/>
            <wp:effectExtent t="0" r="0" b="0" l="0"/>
            <wp:docPr id="1" name="diagram-1.png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3362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"/>
        <w:gridCol w:w="936"/>
        <w:gridCol w:w="3579"/>
        <w:gridCol w:w="4413"/>
      </w:tblGrid>
      <w:tr>
        <w:trPr>
          <w:cantSplit/>
          <w:tblHeader/>
        </w:trPr>
        <w:tc>
          <w:tcPr>
            <w:tcW w:type="dxa" w:w="93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التدفق</w:t>
            </w:r>
          </w:p>
        </w:tc>
        <w:tc>
          <w:tcPr>
            <w:tcW w:type="dxa" w:w="93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ما يعبر</w:t>
            </w:r>
          </w:p>
        </w:tc>
        <w:tc>
          <w:tcPr>
            <w:tcW w:type="dxa" w:w="35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الحماية</w:t>
            </w:r>
          </w:p>
        </w:tc>
        <w:tc>
          <w:tcPr>
            <w:tcW w:type="dxa" w:w="441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الملاحظة</w:t>
            </w:r>
          </w:p>
        </w:tc>
      </w:tr>
      <w:tr>
        <w:trPr>
          <w:cantSplit/>
        </w:trPr>
        <w:tc>
          <w:tcPr>
            <w:tcW w:type="dxa" w:w="93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SD-01</w:t>
            </w:r>
          </w:p>
        </w:tc>
        <w:tc>
          <w:tcPr>
            <w:tcW w:type="dxa" w:w="93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كلمة المرور نصًا عبر TB-1</w:t>
            </w:r>
          </w:p>
        </w:tc>
        <w:tc>
          <w:tcPr>
            <w:tcW w:type="dxa" w:w="35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TLS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(DOC-S05)</w:t>
            </w:r>
          </w:p>
        </w:tc>
        <w:tc>
          <w:tcPr>
            <w:tcW w:type="dxa" w:w="441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تصل إلى القاعدة أبدًا</w:t>
            </w:r>
          </w:p>
        </w:tc>
      </w:tr>
      <w:tr>
        <w:trPr>
          <w:cantSplit/>
        </w:trPr>
        <w:tc>
          <w:tcPr>
            <w:tcW w:type="dxa" w:w="93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SD-02، SD-03</w:t>
            </w:r>
          </w:p>
        </w:tc>
        <w:tc>
          <w:tcPr>
            <w:tcW w:type="dxa" w:w="93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البريد، ثم سلسلة PHC ورمز الجلسة</w:t>
            </w:r>
          </w:p>
        </w:tc>
        <w:tc>
          <w:tcPr>
            <w:tcW w:type="dxa" w:w="35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تنفيذ بصفة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‎tp_auth_exec‎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(db/static/030_session_context.sql:27، :48)؛ مقارنة ثنائية (:85-86)</w:t>
            </w:r>
          </w:p>
        </w:tc>
        <w:tc>
          <w:tcPr>
            <w:tcW w:type="dxa" w:w="441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البريد غير الموجود يعيد NULL (:31-36)، والتطبيق يجيب كما للكلمة الخاطئة </w:t>
            </w: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(docs/adr/0002-login-and-session-bound-context.md:33)</w:t>
            </w:r>
          </w:p>
        </w:tc>
      </w:tr>
      <w:tr>
        <w:trPr>
          <w:cantSplit/>
        </w:trPr>
        <w:tc>
          <w:tcPr>
            <w:tcW w:type="dxa" w:w="93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SD-03</w:t>
            </w:r>
          </w:p>
        </w:tc>
        <w:tc>
          <w:tcPr>
            <w:tcW w:type="dxa" w:w="93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تسجيل المحاولة</w:t>
            </w:r>
          </w:p>
        </w:tc>
        <w:tc>
          <w:tcPr>
            <w:tcW w:type="dxa" w:w="35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‎sec.LoginAttempt‎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مع البريد المكتوب لمجهول (db/static/030_session_context.sql:124-129)</w:t>
            </w:r>
          </w:p>
        </w:tc>
        <w:tc>
          <w:tcPr>
            <w:tcW w:type="dxa" w:w="441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البريد يُخزَّن في المشترك الذي كُتب عنده، وقد يكون بريد مستخدم مشترك آخر (DQ-F02-6)</w:t>
            </w:r>
          </w:p>
        </w:tc>
      </w:tr>
      <w:tr>
        <w:trPr>
          <w:cantSplit/>
        </w:trPr>
        <w:tc>
          <w:tcPr>
            <w:tcW w:type="dxa" w:w="93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SD-04</w:t>
            </w:r>
          </w:p>
        </w:tc>
        <w:tc>
          <w:tcPr>
            <w:tcW w:type="dxa" w:w="93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رمز الجلسة الأصلي</w:t>
            </w:r>
          </w:p>
        </w:tc>
        <w:tc>
          <w:tcPr>
            <w:tcW w:type="dxa" w:w="35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يُخزَّن إلا SHA-256 (db/static/030_session_context.sql:117)</w:t>
            </w:r>
          </w:p>
        </w:tc>
        <w:tc>
          <w:tcPr>
            <w:tcW w:type="dxa" w:w="441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شكل ملف تعريف الارتباط في DOC-S03</w:t>
            </w:r>
          </w:p>
        </w:tc>
      </w:tr>
      <w:tr>
        <w:trPr>
          <w:cantSplit/>
        </w:trPr>
        <w:tc>
          <w:tcPr>
            <w:tcW w:type="dxa" w:w="93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SD-05، SD-06</w:t>
            </w:r>
          </w:p>
        </w:tc>
        <w:tc>
          <w:tcPr>
            <w:tcW w:type="dxa" w:w="93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رمز TOTP، ثم النتيجة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‎@Passed‎</w:t>
            </w:r>
          </w:p>
        </w:tc>
        <w:tc>
          <w:tcPr>
            <w:tcW w:type="dxa" w:w="35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القاعدة تسجل النتيجة فقط (db/static/030_session_context.sql:159-162)</w:t>
            </w:r>
          </w:p>
        </w:tc>
        <w:tc>
          <w:tcPr>
            <w:tcW w:type="dxa" w:w="441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التحقق في التطبيق لأن السر مشفّر بمفاتيحه (:11-12). الاتصال غير مربوط قبل MFA (:198)، فلا يرى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‎MfaSecretEnc‎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ولا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‎sec.MfaRecoveryCode‎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تحت RLS (db/static/010_rls.sql:52-57). لا مسار قراءة اليوم (DQ-F02-4)</w:t>
            </w:r>
          </w:p>
        </w:tc>
      </w:tr>
      <w:tr>
        <w:trPr>
          <w:cantSplit/>
        </w:trPr>
        <w:tc>
          <w:tcPr>
            <w:tcW w:type="dxa" w:w="93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SD-07</w:t>
            </w:r>
          </w:p>
        </w:tc>
        <w:tc>
          <w:tcPr>
            <w:tcW w:type="dxa" w:w="93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رمز الجلسة في كل ربط</w:t>
            </w:r>
          </w:p>
        </w:tc>
        <w:tc>
          <w:tcPr>
            <w:tcW w:type="dxa" w:w="35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يُجزَّأ ويُقارن (db/static/030_session_context.sql:195)</w:t>
            </w:r>
          </w:p>
        </w:tc>
        <w:tc>
          <w:tcPr>
            <w:tcW w:type="dxa" w:w="441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يُخزَّن الرمز في سياق الاتصال؛ يُخزَّن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‎BindingToken‎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عشوائي جديد (:177، :218)</w:t>
            </w:r>
          </w:p>
        </w:tc>
      </w:tr>
      <w:tr>
        <w:trPr>
          <w:cantSplit/>
        </w:trPr>
        <w:tc>
          <w:tcPr>
            <w:tcW w:type="dxa" w:w="93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SD-08، SD-09</w:t>
            </w:r>
          </w:p>
        </w:tc>
        <w:tc>
          <w:tcPr>
            <w:tcW w:type="dxa" w:w="93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رمز الدعوة أو الإعادة</w:t>
            </w:r>
          </w:p>
        </w:tc>
        <w:tc>
          <w:tcPr>
            <w:tcW w:type="dxa" w:w="35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التجزئة في القاعدة والأصل في البريد فقط</w:t>
            </w:r>
          </w:p>
        </w:tc>
        <w:tc>
          <w:tcPr>
            <w:tcW w:type="dxa" w:w="441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الرابط لا يحمل بيانات مقيّدة </w:t>
            </w: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(FR-PLT-013)</w:t>
            </w:r>
          </w:p>
        </w:tc>
      </w:tr>
      <w:tr>
        <w:trPr>
          <w:cantSplit/>
        </w:trPr>
        <w:tc>
          <w:tcPr>
            <w:tcW w:type="dxa" w:w="93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SD-10</w:t>
            </w:r>
          </w:p>
        </w:tc>
        <w:tc>
          <w:tcPr>
            <w:tcW w:type="dxa" w:w="93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تجزئة كلمة جديدة</w:t>
            </w:r>
          </w:p>
        </w:tc>
        <w:tc>
          <w:tcPr>
            <w:tcW w:type="dxa" w:w="35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CHECK لصيغة Argon2id (db/model/10-platform.model:154، :264)</w:t>
            </w:r>
          </w:p>
        </w:tc>
        <w:tc>
          <w:tcPr>
            <w:tcW w:type="dxa" w:w="441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‎tp_app‎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يكتب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‎PasswordHash‎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مباشرة (db/generated/tsql/007_table_grants.sql:24) ويقرأ سجل التجزئات (:46)؛ الخطر في O-24 (erd_open_items) وDOC-S01</w:t>
            </w:r>
          </w:p>
        </w:tc>
      </w:tr>
      <w:tr>
        <w:trPr>
          <w:cantSplit/>
        </w:trPr>
        <w:tc>
          <w:tcPr>
            <w:tcW w:type="dxa" w:w="93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SD-11</w:t>
            </w:r>
          </w:p>
        </w:tc>
        <w:tc>
          <w:tcPr>
            <w:tcW w:type="dxa" w:w="93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تجزئة رموز الاسترداد</w:t>
            </w:r>
          </w:p>
        </w:tc>
        <w:tc>
          <w:tcPr>
            <w:tcW w:type="dxa" w:w="35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‎CodeHash‎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من نوع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‎bin(32)‎</w:t>
            </w:r>
          </w:p>
        </w:tc>
        <w:tc>
          <w:tcPr>
            <w:tcW w:type="dxa" w:w="441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المصادر لا تحدد الخوارزمية ولا الملح (DQ-F02-7)</w:t>
            </w:r>
          </w:p>
        </w:tc>
      </w:tr>
    </w:tbl>
    <w:p>
      <w:pPr>
        <w:bidi/>
        <w:spacing w:after="120" w:before="0"/>
      </w:pPr>
    </w:p>
    <w:p>
      <w:pPr>
        <w:pStyle w:val="Heading1"/>
        <w:bidi/>
      </w:pPr>
      <w:bookmarkStart w:name="_sec5" w:id="5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5. DFD-2: أرقام الهويات وصورها (V-08، V-09)</w:t>
      </w:r>
      <w:bookmarkEnd w:id="5"/>
    </w:p>
    <w:p>
      <w:pPr>
        <w:keepNext/>
        <w:bidi/>
        <w:spacing w:after="60" w:before="160"/>
        <w:jc w:val="center"/>
      </w:pPr>
      <w:r>
        <w:drawing>
          <wp:inline distT="0" distB="0" distL="0" distR="0">
            <wp:extent cx="6096000" cy="3886200"/>
            <wp:effectExtent t="0" r="0" b="0" l="0"/>
            <wp:docPr id="1" name="diagram-2.png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3886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5"/>
        <w:gridCol w:w="965"/>
        <w:gridCol w:w="4029"/>
        <w:gridCol w:w="3905"/>
      </w:tblGrid>
      <w:tr>
        <w:trPr>
          <w:cantSplit/>
          <w:tblHeader/>
        </w:trPr>
        <w:tc>
          <w:tcPr>
            <w:tcW w:type="dxa" w:w="9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التدفق</w:t>
            </w:r>
          </w:p>
        </w:tc>
        <w:tc>
          <w:tcPr>
            <w:tcW w:type="dxa" w:w="9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ما يعبر</w:t>
            </w:r>
          </w:p>
        </w:tc>
        <w:tc>
          <w:tcPr>
            <w:tcW w:type="dxa" w:w="402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الحماية</w:t>
            </w:r>
          </w:p>
        </w:tc>
        <w:tc>
          <w:tcPr>
            <w:tcW w:type="dxa" w:w="39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نقطة التقنيع</w:t>
            </w:r>
          </w:p>
        </w:tc>
      </w:tr>
      <w:tr>
        <w:trPr>
          <w:cantSplit/>
        </w:trPr>
        <w:tc>
          <w:tcPr>
            <w:tcW w:type="dxa" w:w="9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SD-12</w:t>
            </w:r>
          </w:p>
        </w:tc>
        <w:tc>
          <w:tcPr>
            <w:tcW w:type="dxa" w:w="9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الرقم نصًا عبر TB-1</w:t>
            </w:r>
          </w:p>
        </w:tc>
        <w:tc>
          <w:tcPr>
            <w:tcW w:type="dxa" w:w="402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TLS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39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يُخزَّن صريحًا </w:t>
            </w: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(docs/20-database-design.md:186)</w:t>
            </w:r>
          </w:p>
        </w:tc>
      </w:tr>
      <w:tr>
        <w:trPr>
          <w:cantSplit/>
        </w:trPr>
        <w:tc>
          <w:tcPr>
            <w:tcW w:type="dxa" w:w="9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SD-13</w:t>
            </w:r>
          </w:p>
        </w:tc>
        <w:tc>
          <w:tcPr>
            <w:tcW w:type="dxa" w:w="9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نص مشفّر وقناع وبصمة HMAC</w:t>
            </w:r>
          </w:p>
        </w:tc>
        <w:tc>
          <w:tcPr>
            <w:tcW w:type="dxa" w:w="402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AES-256-GCM بمفتاح DATA؛ HMAC بمفتاح BLIND_INDEX مستقل (BR-PLT-015، BR-PTY-002)؛ أدنى طول للغلاف 29 بايت (docs/20-database-design.md:198)</w:t>
            </w:r>
          </w:p>
        </w:tc>
        <w:tc>
          <w:tcPr>
            <w:tcW w:type="dxa" w:w="39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القناع يُحسب عند الكتابة (BR-PTY-008)، فالعرض لا يفك التشفير</w:t>
            </w:r>
          </w:p>
        </w:tc>
      </w:tr>
      <w:tr>
        <w:trPr>
          <w:cantSplit/>
        </w:trPr>
        <w:tc>
          <w:tcPr>
            <w:tcW w:type="dxa" w:w="9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SD-14، SD-15</w:t>
            </w:r>
          </w:p>
        </w:tc>
        <w:tc>
          <w:tcPr>
            <w:tcW w:type="dxa" w:w="9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ملف الصورة</w:t>
            </w:r>
          </w:p>
        </w:tc>
        <w:tc>
          <w:tcPr>
            <w:tcW w:type="dxa" w:w="402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تشفير بمفتاح FILE (db/model/10-platform.model:395)؛ بصمة الخادم (:393)؛ لا تنزيل قبل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‎CLEAN‎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(:396)</w:t>
            </w:r>
          </w:p>
        </w:tc>
        <w:tc>
          <w:tcPr>
            <w:tcW w:type="dxa" w:w="39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مصغّرات لغير المخوَّل (FR-PLT-030)</w:t>
            </w:r>
          </w:p>
        </w:tc>
      </w:tr>
      <w:tr>
        <w:trPr>
          <w:cantSplit/>
        </w:trPr>
        <w:tc>
          <w:tcPr>
            <w:tcW w:type="dxa" w:w="9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SD-16</w:t>
            </w:r>
          </w:p>
        </w:tc>
        <w:tc>
          <w:tcPr>
            <w:tcW w:type="dxa" w:w="9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الرقم المفكوك عبر TB-1</w:t>
            </w:r>
          </w:p>
        </w:tc>
        <w:tc>
          <w:tcPr>
            <w:tcW w:type="dxa" w:w="402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صلاحية مقفلة على TM وFO (BR-PLT-019) ونطاق الشركة</w:t>
            </w:r>
          </w:p>
        </w:tc>
        <w:tc>
          <w:tcPr>
            <w:tcW w:type="dxa" w:w="39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يُخفى بعد 60 ثانية ولا يُخزَّن في المتصفح (BR-PTY-009)</w:t>
            </w:r>
          </w:p>
        </w:tc>
      </w:tr>
      <w:tr>
        <w:trPr>
          <w:cantSplit/>
        </w:trPr>
        <w:tc>
          <w:tcPr>
            <w:tcW w:type="dxa" w:w="9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SD-17</w:t>
            </w:r>
          </w:p>
        </w:tc>
        <w:tc>
          <w:tcPr>
            <w:tcW w:type="dxa" w:w="9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حدث الكشف</w:t>
            </w:r>
          </w:p>
        </w:tc>
        <w:tc>
          <w:tcPr>
            <w:tcW w:type="dxa" w:w="402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‎IDENTITY_REVEAL‎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في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‎aud.AuditLog‎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وصف في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‎aud.SensitiveAccessLog‎</w:t>
            </w:r>
          </w:p>
        </w:tc>
        <w:tc>
          <w:tcPr>
            <w:tcW w:type="dxa" w:w="39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القيم في التدقيق مقنَّعة </w:t>
            </w: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(FR-PLT-023، db/model/10-platform.model:315)</w:t>
            </w:r>
          </w:p>
        </w:tc>
      </w:tr>
      <w:tr>
        <w:trPr>
          <w:cantSplit/>
        </w:trPr>
        <w:tc>
          <w:tcPr>
            <w:tcW w:type="dxa" w:w="9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SD-18</w:t>
            </w:r>
          </w:p>
        </w:tc>
        <w:tc>
          <w:tcPr>
            <w:tcW w:type="dxa" w:w="9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حزمة التصدير</w:t>
            </w:r>
          </w:p>
        </w:tc>
        <w:tc>
          <w:tcPr>
            <w:tcW w:type="dxa" w:w="402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مختومة بكلمة لا تُخزَّن (db/model/10-platform.model:514)؛ موافقة إلزامية للمقيّد (:519)</w:t>
            </w:r>
          </w:p>
        </w:tc>
        <w:tc>
          <w:tcPr>
            <w:tcW w:type="dxa" w:w="39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بلا صلاحية الكشف: بلا أرقام كاملة ولا صور (BR-PLT-016)</w:t>
            </w:r>
          </w:p>
        </w:tc>
      </w:tr>
    </w:tbl>
    <w:p>
      <w:pPr>
        <w:bidi/>
        <w:spacing w:after="12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ثغرات هذا المسار: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الموافِق على تصدير مقيّد قد يكون الطالب نفسه، ومستند الحزمة يأخذ الافتراضي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‎CONFIDENTIAL‎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لا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‎RESTRICTED‎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(DR-13؛ db/model/10-platform.model:370).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‎StorageKey‎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فريد داخل المشترك فقط، ومحتوى الإصدار قابل للتعديل من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‎tp_app‎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(DR-11؛ db/generated/tsql/007_table_grants.sql:61).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حساسية المستند نسخة لا تُفرض من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‎cat.DocumentType.IsSensitive‎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(DR-18).</w:t>
      </w:r>
    </w:p>
    <w:p>
      <w:pPr>
        <w:bidi/>
        <w:spacing w:after="60" w:before="0"/>
      </w:pPr>
    </w:p>
    <w:p>
      <w:pPr>
        <w:pStyle w:val="Heading1"/>
        <w:bidi/>
      </w:pPr>
      <w:bookmarkStart w:name="_sec6" w:id="6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6. DFD-3: أرقام الحسابات وIBAN ونسخها (V-10، V-13)</w:t>
      </w:r>
      <w:bookmarkEnd w:id="6"/>
    </w:p>
    <w:p>
      <w:pPr>
        <w:keepNext/>
        <w:bidi/>
        <w:spacing w:after="60" w:before="160"/>
        <w:jc w:val="center"/>
      </w:pPr>
      <w:r>
        <w:drawing>
          <wp:inline distT="0" distB="0" distL="0" distR="0">
            <wp:extent cx="6096000" cy="2562225"/>
            <wp:effectExtent t="0" r="0" b="0" l="0"/>
            <wp:docPr id="1" name="diagram-3.png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25622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الإطار المتقطع يعني نسخة غير محمية اليوم.</w:t>
      </w: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1"/>
        <w:gridCol w:w="1544"/>
        <w:gridCol w:w="6398"/>
        <w:gridCol w:w="961"/>
      </w:tblGrid>
      <w:tr>
        <w:trPr>
          <w:cantSplit/>
          <w:tblHeader/>
        </w:trPr>
        <w:tc>
          <w:tcPr>
            <w:tcW w:type="dxa" w:w="9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التدفق</w:t>
            </w:r>
          </w:p>
        </w:tc>
        <w:tc>
          <w:tcPr>
            <w:tcW w:type="dxa" w:w="15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ما يعبر</w:t>
            </w:r>
          </w:p>
        </w:tc>
        <w:tc>
          <w:tcPr>
            <w:tcW w:type="dxa" w:w="63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الحماية اليوم</w:t>
            </w:r>
          </w:p>
        </w:tc>
        <w:tc>
          <w:tcPr>
            <w:tcW w:type="dxa" w:w="9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الحالة</w:t>
            </w:r>
          </w:p>
        </w:tc>
      </w:tr>
      <w:tr>
        <w:trPr>
          <w:cantSplit/>
        </w:trPr>
        <w:tc>
          <w:tcPr>
            <w:tcW w:type="dxa" w:w="9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SD-20</w:t>
            </w:r>
          </w:p>
        </w:tc>
        <w:tc>
          <w:tcPr>
            <w:tcW w:type="dxa" w:w="15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رقم الحساب وIBAN</w:t>
            </w:r>
          </w:p>
        </w:tc>
        <w:tc>
          <w:tcPr>
            <w:tcW w:type="dxa" w:w="63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تشفير وقناع وHMAC (db/model/12-institutions-accounts-catalogs.model:386-392؛ db/model/16-letters-of-credit.model:186-188)</w:t>
            </w:r>
          </w:p>
        </w:tc>
        <w:tc>
          <w:tcPr>
            <w:tcW w:type="dxa" w:w="9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محمي</w:t>
            </w:r>
          </w:p>
        </w:tc>
      </w:tr>
      <w:tr>
        <w:trPr>
          <w:cantSplit/>
        </w:trPr>
        <w:tc>
          <w:tcPr>
            <w:tcW w:type="dxa" w:w="9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SD-21</w:t>
            </w:r>
          </w:p>
        </w:tc>
        <w:tc>
          <w:tcPr>
            <w:tcW w:type="dxa" w:w="15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‎BaselineValue‎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و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‎ReceivedValue‎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لكل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‎FieldKey‎</w:t>
            </w:r>
          </w:p>
        </w:tc>
        <w:tc>
          <w:tcPr>
            <w:tcW w:type="dxa" w:w="63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وسم ولا تشفير (db/model/16-letters-of-credit.model:691-692؛ db/generated/tsql/001_tables.sql:6359-6360)؛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‎tp_app‎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يكتبها (db/generated/tsql/007_table_grants.sql:405)</w:t>
            </w:r>
          </w:p>
        </w:tc>
        <w:tc>
          <w:tcPr>
            <w:tcW w:type="dxa" w:w="9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فجوة DR-46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: IBAN المستفيد قد يُنسخ نصًا</w:t>
            </w:r>
          </w:p>
        </w:tc>
      </w:tr>
      <w:tr>
        <w:trPr>
          <w:cantSplit/>
        </w:trPr>
        <w:tc>
          <w:tcPr>
            <w:tcW w:type="dxa" w:w="9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SD-22</w:t>
            </w:r>
          </w:p>
        </w:tc>
        <w:tc>
          <w:tcPr>
            <w:tcW w:type="dxa" w:w="15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الفروق بمفاتيح الحقول</w:t>
            </w:r>
          </w:p>
        </w:tc>
        <w:tc>
          <w:tcPr>
            <w:tcW w:type="dxa" w:w="63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وسم (db/model/16-letters-of-credit.model:493)</w:t>
            </w:r>
          </w:p>
        </w:tc>
        <w:tc>
          <w:tcPr>
            <w:tcW w:type="dxa" w:w="9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فجوة DR-46</w:t>
            </w:r>
          </w:p>
        </w:tc>
      </w:tr>
      <w:tr>
        <w:trPr>
          <w:cantSplit/>
        </w:trPr>
        <w:tc>
          <w:tcPr>
            <w:tcW w:type="dxa" w:w="9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SD-23</w:t>
            </w:r>
          </w:p>
        </w:tc>
        <w:tc>
          <w:tcPr>
            <w:tcW w:type="dxa" w:w="15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النموذج بمفاتيح الحقول</w:t>
            </w:r>
          </w:p>
        </w:tc>
        <w:tc>
          <w:tcPr>
            <w:tcW w:type="dxa" w:w="63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العمود سرّي (db/model/15-workflow-notifications.model:283)، والمقيّد مشفّر داخله بقاعدة تطبيق (BR-REQ-003)</w:t>
            </w:r>
          </w:p>
        </w:tc>
        <w:tc>
          <w:tcPr>
            <w:tcW w:type="dxa" w:w="9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محمي بقاعدة تطبيق فقط</w:t>
            </w:r>
          </w:p>
        </w:tc>
      </w:tr>
      <w:tr>
        <w:trPr>
          <w:cantSplit/>
        </w:trPr>
        <w:tc>
          <w:tcPr>
            <w:tcW w:type="dxa" w:w="9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SD-24</w:t>
            </w:r>
          </w:p>
        </w:tc>
        <w:tc>
          <w:tcPr>
            <w:tcW w:type="dxa" w:w="15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لقطات النموذج</w:t>
            </w:r>
          </w:p>
        </w:tc>
        <w:tc>
          <w:tcPr>
            <w:tcW w:type="dxa" w:w="63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‎SnapshotJson‎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و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‎AvailabilitySnapshotJson‎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سرّيان (db/model/15-workflow-notifications.model:469، :438)</w:t>
            </w:r>
          </w:p>
        </w:tc>
        <w:tc>
          <w:tcPr>
            <w:tcW w:type="dxa" w:w="9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يرث تشفير المقيّد إن نُسخ كما هو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</w:tr>
      <w:tr>
        <w:trPr>
          <w:cantSplit/>
        </w:trPr>
        <w:tc>
          <w:tcPr>
            <w:tcW w:type="dxa" w:w="9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SD-25</w:t>
            </w:r>
          </w:p>
        </w:tc>
        <w:tc>
          <w:tcPr>
            <w:tcW w:type="dxa" w:w="15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نص البند كما في الاتفاقية</w:t>
            </w:r>
          </w:p>
        </w:tc>
        <w:tc>
          <w:tcPr>
            <w:tcW w:type="dxa" w:w="63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‎OriginalText‎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بلا وسم في 11 جدولًا يضيفها المولّد (tools/dbgen/dbgen.py:207-209؛ db/generated/tsql/001_tables.sql:3000، :3051، :3101)، و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‎CandidateAOriginalText‎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و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‎CandidateBOriginalText‎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(db/model/13-facilities-pricing-terms.model:335، :341)</w:t>
            </w:r>
          </w:p>
        </w:tc>
        <w:tc>
          <w:tcPr>
            <w:tcW w:type="dxa" w:w="9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فجوة DR-31</w:t>
            </w:r>
          </w:p>
        </w:tc>
      </w:tr>
      <w:tr>
        <w:trPr>
          <w:cantSplit/>
        </w:trPr>
        <w:tc>
          <w:tcPr>
            <w:tcW w:type="dxa" w:w="9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SD-26</w:t>
            </w:r>
          </w:p>
        </w:tc>
        <w:tc>
          <w:tcPr>
            <w:tcW w:type="dxa" w:w="15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سمات الضمان</w:t>
            </w:r>
          </w:p>
        </w:tc>
        <w:tc>
          <w:tcPr>
            <w:tcW w:type="dxa" w:w="63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موسوم مقيّدًا ومحجوب عن التقارير (db/model/14-collateral-obligations-financials.model:32؛ db/generated/tsql/006_sensitive_columns.sql:32)، لكنه غير مشفّر</w:t>
            </w:r>
          </w:p>
        </w:tc>
        <w:tc>
          <w:tcPr>
            <w:tcW w:type="dxa" w:w="9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جزئي (DR-08 مطبّق)</w:t>
            </w:r>
          </w:p>
        </w:tc>
      </w:tr>
    </w:tbl>
    <w:p>
      <w:pPr>
        <w:bidi/>
        <w:spacing w:after="120" w:before="0"/>
      </w:pPr>
    </w:p>
    <w:p>
      <w:pPr>
        <w:pStyle w:val="Heading1"/>
        <w:bidi/>
      </w:pPr>
      <w:bookmarkStart w:name="_sec7" w:id="7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7. DFD-4: المفاتيح والنسخ الاحتياطية (V-07)</w:t>
      </w:r>
      <w:bookmarkEnd w:id="7"/>
    </w:p>
    <w:p>
      <w:pPr>
        <w:keepNext/>
        <w:bidi/>
        <w:spacing w:after="60" w:before="160"/>
        <w:jc w:val="center"/>
      </w:pPr>
      <w:r>
        <w:drawing>
          <wp:inline distT="0" distB="0" distL="0" distR="0">
            <wp:extent cx="6096000" cy="3695700"/>
            <wp:effectExtent t="0" r="0" b="0" l="0"/>
            <wp:docPr id="1" name="diagram-4.png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3695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SD-31: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المفتاح الرئيسي لا يغادر مخزنه </w:t>
      </w: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؛ التطبيق يرسل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‎WrappedKey‎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ويستلم المفتاح المفكوك. مكان المخزن ونوعه غير محسومين (docs/adr/0001-schema-work-on-linux.md:26؛ docs/20-database-design.md:183). يملكه DOC-S02.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SD-32: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كل إنشاء وتدوير وفشل فك يُسجَّل في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‎sec.KeyEvent‎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، وهو للإضافة فقط (db/model/10-platform.model:291-301؛ db/generated/tsql/005_delete_grants.sql:46).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SD-33: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النسخة الاحتياطية تحمل النص المشفّر و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‎WrappedKey‎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معًا، ولا تحمل المفتاح الرئيسي </w:t>
      </w: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(BR-PLT-015). البيانات السرّية غير المقيّدة نص صريح في النسخة ما دام TDE غير منفّذ (لا كائن TDE في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‎db/‎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SD-34: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نسخة مختومة من المفتاح الرئيسي لدى مسؤولَين مستقلين </w:t>
      </w: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(docs/10-detailed-analysis/10-m0-m1-platform-organization.md:624). الإجراء نفسه غير مكتوب (DOC-S02).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‎tp_app‎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يقرأ ويكتب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‎sec.TenantKey‎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(db/generated/tsql/007_table_grants.sql:50). تعديل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‎Status‎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أو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‎WrappedKey‎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يعطّل فك التشفير؛ يعالجه DOC-S01.</w:t>
      </w:r>
    </w:p>
    <w:p>
      <w:pPr>
        <w:bidi/>
        <w:spacing w:after="60" w:before="0"/>
      </w:pPr>
    </w:p>
    <w:p>
      <w:pPr>
        <w:pStyle w:val="Heading1"/>
        <w:bidi/>
      </w:pPr>
      <w:bookmarkStart w:name="_sec8" w:id="8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8. النسخ الجانبية: الإثبات</w:t>
      </w:r>
      <w:bookmarkEnd w:id="8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3"/>
        <w:gridCol w:w="2404"/>
        <w:gridCol w:w="853"/>
        <w:gridCol w:w="2775"/>
        <w:gridCol w:w="853"/>
        <w:gridCol w:w="2126"/>
      </w:tblGrid>
      <w:tr>
        <w:trPr>
          <w:cantSplit/>
          <w:tblHeader/>
        </w:trPr>
        <w:tc>
          <w:tcPr>
            <w:tcW w:type="dxa" w:w="85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النسخة</w:t>
            </w:r>
          </w:p>
        </w:tc>
        <w:tc>
          <w:tcPr>
            <w:tcW w:type="dxa" w:w="24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العمود</w:t>
            </w:r>
          </w:p>
        </w:tc>
        <w:tc>
          <w:tcPr>
            <w:tcW w:type="dxa" w:w="85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ما قد تحمله</w:t>
            </w:r>
          </w:p>
        </w:tc>
        <w:tc>
          <w:tcPr>
            <w:tcW w:type="dxa" w:w="27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الحماية اليوم</w:t>
            </w:r>
          </w:p>
        </w:tc>
        <w:tc>
          <w:tcPr>
            <w:tcW w:type="dxa" w:w="85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الحالة</w:t>
            </w:r>
          </w:p>
        </w:tc>
        <w:tc>
          <w:tcPr>
            <w:tcW w:type="dxa" w:w="212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المعالجة</w:t>
            </w:r>
          </w:p>
        </w:tc>
      </w:tr>
      <w:tr>
        <w:trPr>
          <w:cantSplit/>
        </w:trPr>
        <w:tc>
          <w:tcPr>
            <w:tcW w:type="dxa" w:w="85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مقارنة الشروط</w:t>
            </w:r>
          </w:p>
        </w:tc>
        <w:tc>
          <w:tcPr>
            <w:tcW w:type="dxa" w:w="24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‎lc.LcTermsComparisonLine.BaselineValue/ReceivedValue‎</w:t>
            </w:r>
          </w:p>
        </w:tc>
        <w:tc>
          <w:tcPr>
            <w:tcW w:type="dxa" w:w="85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IBAN المستفيد</w:t>
            </w:r>
          </w:p>
        </w:tc>
        <w:tc>
          <w:tcPr>
            <w:tcW w:type="dxa" w:w="27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شيء</w:t>
            </w:r>
          </w:p>
        </w:tc>
        <w:tc>
          <w:tcPr>
            <w:tcW w:type="dxa" w:w="85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فجوة</w:t>
            </w:r>
          </w:p>
        </w:tc>
        <w:tc>
          <w:tcPr>
            <w:tcW w:type="dxa" w:w="212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DQ-F02-1 (DR-46)</w:t>
            </w:r>
          </w:p>
        </w:tc>
      </w:tr>
      <w:tr>
        <w:trPr>
          <w:cantSplit/>
        </w:trPr>
        <w:tc>
          <w:tcPr>
            <w:tcW w:type="dxa" w:w="85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فروق التعديل</w:t>
            </w:r>
          </w:p>
        </w:tc>
        <w:tc>
          <w:tcPr>
            <w:tcW w:type="dxa" w:w="24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‎lc.LcAmendment.ChangedFieldsJson‎</w:t>
            </w:r>
          </w:p>
        </w:tc>
        <w:tc>
          <w:tcPr>
            <w:tcW w:type="dxa" w:w="85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IBAN المستفيد</w:t>
            </w:r>
          </w:p>
        </w:tc>
        <w:tc>
          <w:tcPr>
            <w:tcW w:type="dxa" w:w="27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شيء</w:t>
            </w:r>
          </w:p>
        </w:tc>
        <w:tc>
          <w:tcPr>
            <w:tcW w:type="dxa" w:w="85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فجوة</w:t>
            </w:r>
          </w:p>
        </w:tc>
        <w:tc>
          <w:tcPr>
            <w:tcW w:type="dxa" w:w="212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DQ-F02-1 (DR-46)</w:t>
            </w:r>
          </w:p>
        </w:tc>
      </w:tr>
      <w:tr>
        <w:trPr>
          <w:cantSplit/>
        </w:trPr>
        <w:tc>
          <w:tcPr>
            <w:tcW w:type="dxa" w:w="85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نص الاتفاقية</w:t>
            </w:r>
          </w:p>
        </w:tc>
        <w:tc>
          <w:tcPr>
            <w:tcW w:type="dxa" w:w="24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‎OriginalText‎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و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‎CandidateA/BOriginalText‎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وحقول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‎Reason‎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و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‎Notes‎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الحرة</w:t>
            </w:r>
          </w:p>
        </w:tc>
        <w:tc>
          <w:tcPr>
            <w:tcW w:type="dxa" w:w="85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أرقام حسابات وIBAN</w:t>
            </w:r>
          </w:p>
        </w:tc>
        <w:tc>
          <w:tcPr>
            <w:tcW w:type="dxa" w:w="27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شيء</w:t>
            </w:r>
          </w:p>
        </w:tc>
        <w:tc>
          <w:tcPr>
            <w:tcW w:type="dxa" w:w="85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فجوة</w:t>
            </w:r>
          </w:p>
        </w:tc>
        <w:tc>
          <w:tcPr>
            <w:tcW w:type="dxa" w:w="212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DQ-F02-2 (DR-31)</w:t>
            </w:r>
          </w:p>
        </w:tc>
      </w:tr>
      <w:tr>
        <w:trPr>
          <w:cantSplit/>
        </w:trPr>
        <w:tc>
          <w:tcPr>
            <w:tcW w:type="dxa" w:w="85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الرقم الضريبي للشركة</w:t>
            </w:r>
          </w:p>
        </w:tc>
        <w:tc>
          <w:tcPr>
            <w:tcW w:type="dxa" w:w="24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‎pty.TaxIdentity.TaxNumber‎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وVatNumber عبر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‎org.v_CompanyTaxIdentity‎</w:t>
            </w:r>
          </w:p>
        </w:tc>
        <w:tc>
          <w:tcPr>
            <w:tcW w:type="dxa" w:w="85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رقم ضريبي</w:t>
            </w:r>
          </w:p>
        </w:tc>
        <w:tc>
          <w:tcPr>
            <w:tcW w:type="dxa" w:w="27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سرّي؛ لا نسخة في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‎org.Company‎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(حُذفت)</w:t>
            </w:r>
          </w:p>
        </w:tc>
        <w:tc>
          <w:tcPr>
            <w:tcW w:type="dxa" w:w="85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مغلقة (ADR 0011)</w:t>
            </w:r>
          </w:p>
        </w:tc>
        <w:tc>
          <w:tcPr>
            <w:tcW w:type="dxa" w:w="212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DQ-F02-8 (DR-25)</w:t>
            </w:r>
          </w:p>
        </w:tc>
      </w:tr>
      <w:tr>
        <w:trPr>
          <w:cantSplit/>
        </w:trPr>
        <w:tc>
          <w:tcPr>
            <w:tcW w:type="dxa" w:w="85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الحقل المخصص</w:t>
            </w:r>
          </w:p>
        </w:tc>
        <w:tc>
          <w:tcPr>
            <w:tcW w:type="dxa" w:w="24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‎pty.PartyCustomField.ValueText‎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و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‎ValueMask‎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(db/model/11-organization-party.model:396، :400)</w:t>
            </w:r>
          </w:p>
        </w:tc>
        <w:tc>
          <w:tcPr>
            <w:tcW w:type="dxa" w:w="85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قيمة غير مقيّدة وقناع</w:t>
            </w:r>
          </w:p>
        </w:tc>
        <w:tc>
          <w:tcPr>
            <w:tcW w:type="dxa" w:w="27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القيد يمنع اجتماع النص والمشفّر (:403)</w:t>
            </w:r>
          </w:p>
        </w:tc>
        <w:tc>
          <w:tcPr>
            <w:tcW w:type="dxa" w:w="85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جزئي</w:t>
            </w:r>
          </w:p>
        </w:tc>
        <w:tc>
          <w:tcPr>
            <w:tcW w:type="dxa" w:w="212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التطبيق يختار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‎ValueEnc‎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للحقل المقيّد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</w:tr>
      <w:tr>
        <w:trPr>
          <w:cantSplit/>
        </w:trPr>
        <w:tc>
          <w:tcPr>
            <w:tcW w:type="dxa" w:w="85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النموذج ولقطاته</w:t>
            </w:r>
          </w:p>
        </w:tc>
        <w:tc>
          <w:tcPr>
            <w:tcW w:type="dxa" w:w="24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‎wfl.Request.FormDataJson‎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،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‎SnapshotJson‎</w:t>
            </w:r>
          </w:p>
        </w:tc>
        <w:tc>
          <w:tcPr>
            <w:tcW w:type="dxa" w:w="85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حقول مقيّدة</w:t>
            </w:r>
          </w:p>
        </w:tc>
        <w:tc>
          <w:tcPr>
            <w:tcW w:type="dxa" w:w="27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تشفير داخل JSON بقاعدة تطبيق</w:t>
            </w:r>
          </w:p>
        </w:tc>
        <w:tc>
          <w:tcPr>
            <w:tcW w:type="dxa" w:w="85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جزئي</w:t>
            </w:r>
          </w:p>
        </w:tc>
        <w:tc>
          <w:tcPr>
            <w:tcW w:type="dxa" w:w="212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اختبار يمسح JSON بحثًا عن نمط IBAN ورقم هوية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</w:tr>
      <w:tr>
        <w:trPr>
          <w:cantSplit/>
        </w:trPr>
        <w:tc>
          <w:tcPr>
            <w:tcW w:type="dxa" w:w="85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نص البحث</w:t>
            </w:r>
          </w:p>
        </w:tc>
        <w:tc>
          <w:tcPr>
            <w:tcW w:type="dxa" w:w="24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‎wfl.Request.SearchText‎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(db/model/15-workflow-notifications.model:282)</w:t>
            </w:r>
          </w:p>
        </w:tc>
        <w:tc>
          <w:tcPr>
            <w:tcW w:type="dxa" w:w="85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نص مطبَّع</w:t>
            </w:r>
          </w:p>
        </w:tc>
        <w:tc>
          <w:tcPr>
            <w:tcW w:type="dxa" w:w="27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المقيّد لا يدخله (BR-REQ-003)</w:t>
            </w:r>
          </w:p>
        </w:tc>
        <w:tc>
          <w:tcPr>
            <w:tcW w:type="dxa" w:w="85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جزئي</w:t>
            </w:r>
          </w:p>
        </w:tc>
        <w:tc>
          <w:tcPr>
            <w:tcW w:type="dxa" w:w="212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الاختبار نفسه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</w:tr>
      <w:tr>
        <w:trPr>
          <w:cantSplit/>
        </w:trPr>
        <w:tc>
          <w:tcPr>
            <w:tcW w:type="dxa" w:w="85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التدقيق</w:t>
            </w:r>
          </w:p>
        </w:tc>
        <w:tc>
          <w:tcPr>
            <w:tcW w:type="dxa" w:w="24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‎aud.AuditLog.BeforeJson/AfterJson‎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(db/model/10-platform.model:315-316)</w:t>
            </w:r>
          </w:p>
        </w:tc>
        <w:tc>
          <w:tcPr>
            <w:tcW w:type="dxa" w:w="85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قيم الكيان</w:t>
            </w:r>
          </w:p>
        </w:tc>
        <w:tc>
          <w:tcPr>
            <w:tcW w:type="dxa" w:w="27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التقنيع قاعدة تطبيق (FR-PLT-023)</w:t>
            </w:r>
          </w:p>
        </w:tc>
        <w:tc>
          <w:tcPr>
            <w:tcW w:type="dxa" w:w="85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جزئي</w:t>
            </w:r>
          </w:p>
        </w:tc>
        <w:tc>
          <w:tcPr>
            <w:tcW w:type="dxa" w:w="212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DQ-F02-9</w:t>
            </w:r>
          </w:p>
        </w:tc>
      </w:tr>
      <w:tr>
        <w:trPr>
          <w:cantSplit/>
        </w:trPr>
        <w:tc>
          <w:tcPr>
            <w:tcW w:type="dxa" w:w="85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Outbox</w:t>
            </w:r>
          </w:p>
        </w:tc>
        <w:tc>
          <w:tcPr>
            <w:tcW w:type="dxa" w:w="24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‎cfg.OutboxEvent.PayloadJson‎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(db/model/10-platform.model:537)</w:t>
            </w:r>
          </w:p>
        </w:tc>
        <w:tc>
          <w:tcPr>
            <w:tcW w:type="dxa" w:w="85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معرّفات</w:t>
            </w:r>
          </w:p>
        </w:tc>
        <w:tc>
          <w:tcPr>
            <w:tcW w:type="dxa" w:w="27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قاعدة تطبيق (FR-PLT-042)</w:t>
            </w:r>
          </w:p>
        </w:tc>
        <w:tc>
          <w:tcPr>
            <w:tcW w:type="dxa" w:w="85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جزئي</w:t>
            </w:r>
          </w:p>
        </w:tc>
        <w:tc>
          <w:tcPr>
            <w:tcW w:type="dxa" w:w="212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مخطط حمولة بقائمة سماح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</w:tr>
      <w:tr>
        <w:trPr>
          <w:cantSplit/>
        </w:trPr>
        <w:tc>
          <w:tcPr>
            <w:tcW w:type="dxa" w:w="85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الإشعار</w:t>
            </w:r>
          </w:p>
        </w:tc>
        <w:tc>
          <w:tcPr>
            <w:tcW w:type="dxa" w:w="24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‎ntf.Notification.Body‎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و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‎PayloadJson‎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(db/model/15-workflow-notifications.model:609، :622)</w:t>
            </w:r>
          </w:p>
        </w:tc>
        <w:tc>
          <w:tcPr>
            <w:tcW w:type="dxa" w:w="85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نص الرسالة</w:t>
            </w:r>
          </w:p>
        </w:tc>
        <w:tc>
          <w:tcPr>
            <w:tcW w:type="dxa" w:w="27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بلا مقيّد (FR-NTF-013؛ docs/10-detailed-analysis/13-m6-workflow-engine-notifications.md:690)</w:t>
            </w:r>
          </w:p>
        </w:tc>
        <w:tc>
          <w:tcPr>
            <w:tcW w:type="dxa" w:w="85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جزئي</w:t>
            </w:r>
          </w:p>
        </w:tc>
        <w:tc>
          <w:tcPr>
            <w:tcW w:type="dxa" w:w="212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عناصر نائبة من قائمة بيضاء (db/model/15-workflow-notifications.model:571)</w:t>
            </w:r>
          </w:p>
        </w:tc>
      </w:tr>
      <w:tr>
        <w:trPr>
          <w:cantSplit/>
        </w:trPr>
        <w:tc>
          <w:tcPr>
            <w:tcW w:type="dxa" w:w="85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رسائل الأخطاء</w:t>
            </w:r>
          </w:p>
        </w:tc>
        <w:tc>
          <w:tcPr>
            <w:tcW w:type="dxa" w:w="24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‎cfg.OutboxEvent.LastError‎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،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‎cfg.JobRun.ErrorMessage‎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و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‎DetailJson‎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،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‎sec.UserToken.SendError‎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(db/model/10-platform.model:545، :564-565، :253)</w:t>
            </w:r>
          </w:p>
        </w:tc>
        <w:tc>
          <w:tcPr>
            <w:tcW w:type="dxa" w:w="85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نص استثناء قد يحوي قيمة</w:t>
            </w:r>
          </w:p>
        </w:tc>
        <w:tc>
          <w:tcPr>
            <w:tcW w:type="dxa" w:w="27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شيء</w:t>
            </w:r>
          </w:p>
        </w:tc>
        <w:tc>
          <w:tcPr>
            <w:tcW w:type="dxa" w:w="85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فجوة</w:t>
            </w:r>
          </w:p>
        </w:tc>
        <w:tc>
          <w:tcPr>
            <w:tcW w:type="dxa" w:w="212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منقّح للرسائل قبل الكتابة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</w:tr>
      <w:tr>
        <w:trPr>
          <w:cantSplit/>
        </w:trPr>
        <w:tc>
          <w:tcPr>
            <w:tcW w:type="dxa" w:w="85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سجلات التطبيق</w:t>
            </w:r>
          </w:p>
        </w:tc>
        <w:tc>
          <w:tcPr>
            <w:tcW w:type="dxa" w:w="24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D-04</w:t>
            </w:r>
          </w:p>
        </w:tc>
        <w:tc>
          <w:tcPr>
            <w:tcW w:type="dxa" w:w="85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أي قيمة</w:t>
            </w:r>
          </w:p>
        </w:tc>
        <w:tc>
          <w:tcPr>
            <w:tcW w:type="dxa" w:w="27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قاعدة «بلا أسرار» (docs/10-detailed-analysis/10-m0-m1-platform-organization.md:586)</w:t>
            </w:r>
          </w:p>
        </w:tc>
        <w:tc>
          <w:tcPr>
            <w:tcW w:type="dxa" w:w="85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جزئي</w:t>
            </w:r>
          </w:p>
        </w:tc>
        <w:tc>
          <w:tcPr>
            <w:tcW w:type="dxa" w:w="212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المنقّح نفسه وفحص دوري (DOC-S12)</w:t>
            </w:r>
          </w:p>
        </w:tc>
      </w:tr>
      <w:tr>
        <w:trPr>
          <w:cantSplit/>
        </w:trPr>
        <w:tc>
          <w:tcPr>
            <w:tcW w:type="dxa" w:w="85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الدخول</w:t>
            </w:r>
          </w:p>
        </w:tc>
        <w:tc>
          <w:tcPr>
            <w:tcW w:type="dxa" w:w="24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‎sec.LoginAttempt.LoginName‎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(db/model/10-platform.model:201)</w:t>
            </w:r>
          </w:p>
        </w:tc>
        <w:tc>
          <w:tcPr>
            <w:tcW w:type="dxa" w:w="85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بريد شخص</w:t>
            </w:r>
          </w:p>
        </w:tc>
        <w:tc>
          <w:tcPr>
            <w:tcW w:type="dxa" w:w="27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وسم</w:t>
            </w:r>
          </w:p>
        </w:tc>
        <w:tc>
          <w:tcPr>
            <w:tcW w:type="dxa" w:w="85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فجوة</w:t>
            </w:r>
          </w:p>
        </w:tc>
        <w:tc>
          <w:tcPr>
            <w:tcW w:type="dxa" w:w="212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DQ-F02-6</w:t>
            </w:r>
          </w:p>
        </w:tc>
      </w:tr>
      <w:tr>
        <w:trPr>
          <w:cantSplit/>
        </w:trPr>
        <w:tc>
          <w:tcPr>
            <w:tcW w:type="dxa" w:w="85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النسخ الاحتياطية</w:t>
            </w:r>
          </w:p>
        </w:tc>
        <w:tc>
          <w:tcPr>
            <w:tcW w:type="dxa" w:w="24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D-05</w:t>
            </w:r>
          </w:p>
        </w:tc>
        <w:tc>
          <w:tcPr>
            <w:tcW w:type="dxa" w:w="85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كل ما سبق</w:t>
            </w:r>
          </w:p>
        </w:tc>
        <w:tc>
          <w:tcPr>
            <w:tcW w:type="dxa" w:w="27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المقيّد مشفّر؛ الباقي صريح</w:t>
            </w:r>
          </w:p>
        </w:tc>
        <w:tc>
          <w:tcPr>
            <w:tcW w:type="dxa" w:w="85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فجوة</w:t>
            </w:r>
          </w:p>
        </w:tc>
        <w:tc>
          <w:tcPr>
            <w:tcW w:type="dxa" w:w="212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TDE ونسخ مشفّرة (DOC-S02، DOC-S09)</w:t>
            </w:r>
          </w:p>
        </w:tc>
      </w:tr>
    </w:tbl>
    <w:p>
      <w:pPr>
        <w:bidi/>
        <w:spacing w:after="120" w:before="0"/>
      </w:pPr>
    </w:p>
    <w:p>
      <w:pPr>
        <w:pStyle w:val="Heading1"/>
        <w:bidi/>
      </w:pPr>
      <w:bookmarkStart w:name="_sec9" w:id="9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9. الحذف والاحتفاظ</w:t>
      </w:r>
      <w:bookmarkEnd w:id="9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77"/>
        <w:gridCol w:w="3903"/>
        <w:gridCol w:w="4984"/>
      </w:tblGrid>
      <w:tr>
        <w:trPr>
          <w:cantSplit/>
          <w:tblHeader/>
        </w:trPr>
        <w:tc>
          <w:tcPr>
            <w:tcW w:type="dxa" w:w="9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الفئة</w:t>
            </w:r>
          </w:p>
        </w:tc>
        <w:tc>
          <w:tcPr>
            <w:tcW w:type="dxa" w:w="390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الحذف اليوم</w:t>
            </w:r>
          </w:p>
        </w:tc>
        <w:tc>
          <w:tcPr>
            <w:tcW w:type="dxa" w:w="49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الضابط</w:t>
            </w:r>
          </w:p>
        </w:tc>
      </w:tr>
      <w:tr>
        <w:trPr>
          <w:cantSplit/>
        </w:trPr>
        <w:tc>
          <w:tcPr>
            <w:tcW w:type="dxa" w:w="9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التدقيق</w:t>
            </w:r>
          </w:p>
        </w:tc>
        <w:tc>
          <w:tcPr>
            <w:tcW w:type="dxa" w:w="390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حذف ولا تعديل لـ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‎tp_app‎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و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‎tp_platform‎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(db/static/020_roles_and_grants.sql:65؛ الاختبار T15)</w:t>
            </w:r>
          </w:p>
        </w:tc>
        <w:tc>
          <w:tcPr>
            <w:tcW w:type="dxa" w:w="49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الاحتفاظ المقترح 10 سنوات </w:t>
            </w: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(docs/10-detailed-analysis/10-m0-m1-platform-organization.md:616)</w:t>
            </w:r>
          </w:p>
        </w:tc>
      </w:tr>
      <w:tr>
        <w:trPr>
          <w:cantSplit/>
        </w:trPr>
        <w:tc>
          <w:tcPr>
            <w:tcW w:type="dxa" w:w="9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أرقام الهويات وصورها</w:t>
            </w:r>
          </w:p>
        </w:tc>
        <w:tc>
          <w:tcPr>
            <w:tcW w:type="dxa" w:w="390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صلاحية حذف (الجدول ليس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‎deletable‎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)</w:t>
            </w:r>
          </w:p>
        </w:tc>
        <w:tc>
          <w:tcPr>
            <w:tcW w:type="dxa" w:w="49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إخفاء الهوية بعد الاحتفاظ بموافقة (FR-PTY-029)؛ 5 سنوات مقترحة (docs/10-detailed-analysis/10-m0-m1-platform-organization.md:616)</w:t>
            </w:r>
          </w:p>
        </w:tc>
      </w:tr>
      <w:tr>
        <w:trPr>
          <w:cantSplit/>
        </w:trPr>
        <w:tc>
          <w:tcPr>
            <w:tcW w:type="dxa" w:w="9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المستندات</w:t>
            </w:r>
          </w:p>
        </w:tc>
        <w:tc>
          <w:tcPr>
            <w:tcW w:type="dxa" w:w="390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حذف منطقي بسبب وصلاحية (BR-PLT-011)</w:t>
            </w:r>
          </w:p>
        </w:tc>
        <w:tc>
          <w:tcPr>
            <w:tcW w:type="dxa" w:w="49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الإتلاف الفعلي بسير الاحتفاظ (FR-PLT-040)</w:t>
            </w:r>
          </w:p>
        </w:tc>
      </w:tr>
      <w:tr>
        <w:trPr>
          <w:cantSplit/>
        </w:trPr>
        <w:tc>
          <w:tcPr>
            <w:tcW w:type="dxa" w:w="9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الجلسات ومحاولات الدخول ورموز الاسترداد والدعوات وسجل كلمات المرور</w:t>
            </w:r>
          </w:p>
        </w:tc>
        <w:tc>
          <w:tcPr>
            <w:tcW w:type="dxa" w:w="390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‎tp_app‎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يحذف الصف (db/generated/tsql/005_delete_grants.sql:11-15)</w:t>
            </w:r>
          </w:p>
        </w:tc>
        <w:tc>
          <w:tcPr>
            <w:tcW w:type="dxa" w:w="49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مدة محددة؛ الحذف يمحو دليل الدخول (DQ-F02-6؛ DOC-S01)</w:t>
            </w:r>
          </w:p>
        </w:tc>
      </w:tr>
      <w:tr>
        <w:trPr>
          <w:cantSplit/>
        </w:trPr>
        <w:tc>
          <w:tcPr>
            <w:tcW w:type="dxa" w:w="9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Outbox</w:t>
            </w:r>
          </w:p>
        </w:tc>
        <w:tc>
          <w:tcPr>
            <w:tcW w:type="dxa" w:w="390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‎tp_app‎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يحذف (db/generated/tsql/005_delete_grants.sql:17)</w:t>
            </w:r>
          </w:p>
        </w:tc>
        <w:tc>
          <w:tcPr>
            <w:tcW w:type="dxa" w:w="49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الأحداث الميتة تُفقد (DR-14)</w:t>
            </w:r>
          </w:p>
        </w:tc>
      </w:tr>
      <w:tr>
        <w:trPr>
          <w:cantSplit/>
        </w:trPr>
        <w:tc>
          <w:tcPr>
            <w:tcW w:type="dxa" w:w="9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المشترك المغلق</w:t>
            </w:r>
          </w:p>
        </w:tc>
        <w:tc>
          <w:tcPr>
            <w:tcW w:type="dxa" w:w="390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تصدير 30 يومًا ثم قراءة فقط؛ لا إتلاف تلقائي </w:t>
            </w: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(BR-PLT-002)</w:t>
            </w:r>
          </w:p>
        </w:tc>
        <w:tc>
          <w:tcPr>
            <w:tcW w:type="dxa" w:w="49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الإتلاف بموافقة المشترك الخطية (FR-PLT-040)</w:t>
            </w:r>
          </w:p>
        </w:tc>
      </w:tr>
      <w:tr>
        <w:trPr>
          <w:cantSplit/>
        </w:trPr>
        <w:tc>
          <w:tcPr>
            <w:tcW w:type="dxa" w:w="9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المفاتيح</w:t>
            </w:r>
          </w:p>
        </w:tc>
        <w:tc>
          <w:tcPr>
            <w:tcW w:type="dxa" w:w="390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‎RETIRED‎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أو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‎REVOKED‎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، لا حذف</w:t>
            </w:r>
          </w:p>
        </w:tc>
        <w:tc>
          <w:tcPr>
            <w:tcW w:type="dxa" w:w="49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إلغاء مفاتيح مشترك بعد الاحتفاظ يجعل بياناته المشفّرة غير مقروءة حتى في النسخ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(DOC-S02)</w:t>
            </w:r>
          </w:p>
        </w:tc>
      </w:tr>
    </w:tbl>
    <w:p>
      <w:pPr>
        <w:bidi/>
        <w:spacing w:after="120" w:before="0"/>
      </w:pPr>
    </w:p>
    <w:p>
      <w:pPr>
        <w:pStyle w:val="Heading1"/>
        <w:bidi/>
      </w:pPr>
      <w:bookmarkStart w:name="_sec10" w:id="10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10. قواعد ملزمة للتنفيذ</w:t>
      </w:r>
      <w:bookmarkEnd w:id="10"/>
    </w:p>
    <w:p>
      <w:pPr>
        <w:pStyle w:val="ListParagraph"/>
        <w:numPr>
          <w:ilvl w:val="0"/>
          <w:numId w:val="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لا قيمة مقيّدة تُكتب في عمود غير موسوم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‎sens=restricted‎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. أي عمود ينسخ قيمة حقل يأخذ أعلى تصنيف بين الحقول التي قد يحملها </w:t>
      </w: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.</w:t>
      </w:r>
    </w:p>
    <w:p>
      <w:pPr>
        <w:pStyle w:val="ListParagraph"/>
        <w:numPr>
          <w:ilvl w:val="0"/>
          <w:numId w:val="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نقطة التقنيع واحدة: خدمة التشفير والتقنيع المشتركة (FR-PLT-037). التدقيق والإشعار والتصدير والسجلات تستدعيها ولا تبني القناع بنفسها </w:t>
      </w: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.</w:t>
      </w:r>
    </w:p>
    <w:p>
      <w:pPr>
        <w:pStyle w:val="ListParagraph"/>
        <w:numPr>
          <w:ilvl w:val="0"/>
          <w:numId w:val="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لا قيمة مقيّدة في حمولة Outbox أو الإشعار أو البريد أو رابط </w:t>
      </w: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(FR-PLT-042، FR-NTF-013، FR-PLT-013).</w:t>
      </w:r>
    </w:p>
    <w:p>
      <w:pPr>
        <w:pStyle w:val="ListParagraph"/>
        <w:numPr>
          <w:ilvl w:val="0"/>
          <w:numId w:val="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كل كشف أو عرض صورة أو تصدير مقيّد يكتب حدثين: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‎aud.AuditLog‎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و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‎aud.SensitiveAccessLog‎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</w:t>
      </w: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(BR-PTY-009؛ db/model/10-platform.model:332).</w:t>
      </w:r>
    </w:p>
    <w:p>
      <w:pPr>
        <w:pStyle w:val="ListParagraph"/>
        <w:numPr>
          <w:ilvl w:val="0"/>
          <w:numId w:val="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رسالة الاستثناء تمر بمنقّح قبل أي عمود خطأ أو سجل </w:t>
      </w: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.</w:t>
      </w:r>
    </w:p>
    <w:p>
      <w:pPr>
        <w:pStyle w:val="ListParagraph"/>
        <w:numPr>
          <w:ilvl w:val="0"/>
          <w:numId w:val="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اختبار آلي في CI يقارن كل عمود نصي أو JSON في جداول تنسخ قيم حقول بقائمة الأعمدة الموسومة، ويفشل عند نسخة بلا وسم </w:t>
      </w: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(DOC-B01).</w:t>
      </w:r>
    </w:p>
    <w:p>
      <w:pPr>
        <w:bidi/>
        <w:spacing w:after="60" w:before="0"/>
      </w:pPr>
    </w:p>
    <w:p>
      <w:pPr>
        <w:pStyle w:val="Heading1"/>
        <w:bidi/>
      </w:pPr>
      <w:bookmarkStart w:name="_sec11" w:id="11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11. القرارات المطلوبة</w:t>
      </w:r>
      <w:bookmarkEnd w:id="11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66"/>
        <w:gridCol w:w="2932"/>
        <w:gridCol w:w="3334"/>
        <w:gridCol w:w="1066"/>
        <w:gridCol w:w="1466"/>
      </w:tblGrid>
      <w:tr>
        <w:trPr>
          <w:cantSplit/>
          <w:tblHeader/>
        </w:trPr>
        <w:tc>
          <w:tcPr>
            <w:tcW w:type="dxa" w:w="10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المعرّف</w:t>
            </w:r>
          </w:p>
        </w:tc>
        <w:tc>
          <w:tcPr>
            <w:tcW w:type="dxa" w:w="29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السؤال</w:t>
            </w:r>
          </w:p>
        </w:tc>
        <w:tc>
          <w:tcPr>
            <w:tcW w:type="dxa" w:w="333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الافتراض المقترح</w:t>
            </w:r>
          </w:p>
        </w:tc>
        <w:tc>
          <w:tcPr>
            <w:tcW w:type="dxa" w:w="10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من يقرر</w:t>
            </w:r>
          </w:p>
        </w:tc>
        <w:tc>
          <w:tcPr>
            <w:tcW w:type="dxa" w:w="14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ما يعطّله</w:t>
            </w:r>
          </w:p>
        </w:tc>
      </w:tr>
      <w:tr>
        <w:trPr>
          <w:cantSplit/>
        </w:trPr>
        <w:tc>
          <w:tcPr>
            <w:tcW w:type="dxa" w:w="10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DQ-F02-1</w:t>
            </w:r>
          </w:p>
        </w:tc>
        <w:tc>
          <w:tcPr>
            <w:tcW w:type="dxa" w:w="29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كيف تُعامل القيم المقيّدة في المقارنة وفروق التعديل؟ (DR-46)</w:t>
            </w:r>
          </w:p>
        </w:tc>
        <w:tc>
          <w:tcPr>
            <w:tcW w:type="dxa" w:w="333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منفّذ (ADR 0011، 2026-10-13) بصيغة DQ-F12-11: لا يُنسخ شيء، وقيد وقادح يمنعان قيمة الحقل المقيّد في سطور المقارنة وفروق التعديل (50058)، والأعمدة الثلاثة موسومة سرّية، والحكم من البصمة. المقترح الأصلي: لا تُنسخ القيمة: يُخزَّن القناع وHMAC للحقل المقيّد فقط؛ ويوسم العمودان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‎sens=confidential‎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على الأقل. بديل في DOC-F12 §8.3 (DQ-F12-11): لا نسخ للقناع ولا للبصمة لأنهما مقيّدان، والحكم من بصمة المصدر؛ يُحسمان معًا</w:t>
            </w:r>
          </w:p>
        </w:tc>
        <w:tc>
          <w:tcPr>
            <w:tcW w:type="dxa" w:w="10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معماري قاعدة البيانات مع مالك M7 وM8</w:t>
            </w:r>
          </w:p>
        </w:tc>
        <w:tc>
          <w:tcPr>
            <w:tcW w:type="dxa" w:w="14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FR-LCT-031 (S4)، DOC-S06</w:t>
            </w:r>
          </w:p>
        </w:tc>
      </w:tr>
      <w:tr>
        <w:trPr>
          <w:cantSplit/>
        </w:trPr>
        <w:tc>
          <w:tcPr>
            <w:tcW w:type="dxa" w:w="10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DQ-F02-2</w:t>
            </w:r>
          </w:p>
        </w:tc>
        <w:tc>
          <w:tcPr>
            <w:tcW w:type="dxa" w:w="29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كيف يُحمى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‎OriginalText‎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والنص الحر في جداول المصدر؟ (DR-31)</w:t>
            </w:r>
          </w:p>
        </w:tc>
        <w:tc>
          <w:tcPr>
            <w:tcW w:type="dxa" w:w="333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منفّذ (ADR 0011): الوسم السرّي ومنع القراءة عن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‎tp_readonly‎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على النص الأصلي ونصي التعارض و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‎ClauseText‎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؛ والحجب عند الإدخال، وقيد يرفض IBAN أو رقم حساب غير مقنَّع (2026-10-13، DQ-S06-7). المقترح: وسم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‎sens=confidential‎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وDENY لـ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‎tp_readonly‎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؛ حجب نمط IBAN ورقم الحساب عند الإدخال؛ الأصل يبقى في مخزن المستندات</w:t>
            </w:r>
          </w:p>
        </w:tc>
        <w:tc>
          <w:tcPr>
            <w:tcW w:type="dxa" w:w="10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معماري قاعدة البيانات مع مالك M5</w:t>
            </w:r>
          </w:p>
        </w:tc>
        <w:tc>
          <w:tcPr>
            <w:tcW w:type="dxa" w:w="14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S2 (إدخال الاتفاقيات)</w:t>
            </w:r>
          </w:p>
        </w:tc>
      </w:tr>
      <w:tr>
        <w:trPr>
          <w:cantSplit/>
        </w:trPr>
        <w:tc>
          <w:tcPr>
            <w:tcW w:type="dxa" w:w="10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DQ-F02-3</w:t>
            </w:r>
          </w:p>
        </w:tc>
        <w:tc>
          <w:tcPr>
            <w:tcW w:type="dxa" w:w="29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هل يُحجب السرّي عن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‎tp_readonly‎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كالمقيّد؟</w:t>
            </w:r>
          </w:p>
        </w:tc>
        <w:tc>
          <w:tcPr>
            <w:tcW w:type="dxa" w:w="333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نعم للبيانات الشخصية السرّية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؛ التقارير تقرأها عبر عروض مقنَّعة</w:t>
            </w:r>
          </w:p>
        </w:tc>
        <w:tc>
          <w:tcPr>
            <w:tcW w:type="dxa" w:w="10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مسؤول الأمن مع معماري البيانات</w:t>
            </w:r>
          </w:p>
        </w:tc>
        <w:tc>
          <w:tcPr>
            <w:tcW w:type="dxa" w:w="14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DOC-S06، DQ-F01-5</w:t>
            </w:r>
          </w:p>
        </w:tc>
      </w:tr>
      <w:tr>
        <w:trPr>
          <w:cantSplit/>
        </w:trPr>
        <w:tc>
          <w:tcPr>
            <w:tcW w:type="dxa" w:w="10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DQ-F02-4</w:t>
            </w:r>
          </w:p>
        </w:tc>
        <w:tc>
          <w:tcPr>
            <w:tcW w:type="dxa" w:w="29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كيف يقرأ التطبيق سر TOTP ورموز الاسترداد قبل الربط؟</w:t>
            </w:r>
          </w:p>
        </w:tc>
        <w:tc>
          <w:tcPr>
            <w:tcW w:type="dxa" w:w="333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إجراء بصفة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‎tp_auth_exec‎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يعيد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‎MfaSecretEnc‎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و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‎MfaLastUsedStep‎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لجلسة صالحة غير مكتملة MFA فقط، وإجراء يستهلك رمز استرداد بتجزئته</w:t>
            </w:r>
          </w:p>
        </w:tc>
        <w:tc>
          <w:tcPr>
            <w:tcW w:type="dxa" w:w="10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مسؤول الهوية والأمن</w:t>
            </w:r>
          </w:p>
        </w:tc>
        <w:tc>
          <w:tcPr>
            <w:tcW w:type="dxa" w:w="14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DOC-F03، FR-PLT-011</w:t>
            </w:r>
          </w:p>
        </w:tc>
      </w:tr>
      <w:tr>
        <w:trPr>
          <w:cantSplit/>
        </w:trPr>
        <w:tc>
          <w:tcPr>
            <w:tcW w:type="dxa" w:w="10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DQ-F02-5</w:t>
            </w:r>
          </w:p>
        </w:tc>
        <w:tc>
          <w:tcPr>
            <w:tcW w:type="dxa" w:w="29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من يحذف ملف حزمة التصدير بعد انتهائها؟</w:t>
            </w:r>
          </w:p>
        </w:tc>
        <w:tc>
          <w:tcPr>
            <w:tcW w:type="dxa" w:w="333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مهمة يومية تتلف الملف عند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‎EXPIRED‎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وتسجّل الحدث؛ الحزمة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‎RESTRICTED‎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إن شملت المقيّد</w:t>
            </w:r>
          </w:p>
        </w:tc>
        <w:tc>
          <w:tcPr>
            <w:tcW w:type="dxa" w:w="10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مهندس الخلفية مع مسؤول الأمن</w:t>
            </w:r>
          </w:p>
        </w:tc>
        <w:tc>
          <w:tcPr>
            <w:tcW w:type="dxa" w:w="14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FR-PLT-039 (S5)</w:t>
            </w:r>
          </w:p>
        </w:tc>
      </w:tr>
      <w:tr>
        <w:trPr>
          <w:cantSplit/>
        </w:trPr>
        <w:tc>
          <w:tcPr>
            <w:tcW w:type="dxa" w:w="10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DQ-F02-6</w:t>
            </w:r>
          </w:p>
        </w:tc>
        <w:tc>
          <w:tcPr>
            <w:tcW w:type="dxa" w:w="29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ما مدة الاحتفاظ ببيانات التتبع (IP، وكيل المستخدم، البريد المكتوب) وبمحاولات الدخول؟</w:t>
            </w:r>
          </w:p>
        </w:tc>
        <w:tc>
          <w:tcPr>
            <w:tcW w:type="dxa" w:w="333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90 يومًا لمحاولات الدخول والجلسات المنتهية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، بحذف بمهمة لا بـ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‎tp_app‎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؛ الأثر الدائم في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‎aud.AuditLog‎</w:t>
            </w:r>
          </w:p>
        </w:tc>
        <w:tc>
          <w:tcPr>
            <w:tcW w:type="dxa" w:w="10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مسؤول حماية البيانات</w:t>
            </w:r>
          </w:p>
        </w:tc>
        <w:tc>
          <w:tcPr>
            <w:tcW w:type="dxa" w:w="14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DOC-S07، DOC-S12</w:t>
            </w:r>
          </w:p>
        </w:tc>
      </w:tr>
      <w:tr>
        <w:trPr>
          <w:cantSplit/>
        </w:trPr>
        <w:tc>
          <w:tcPr>
            <w:tcW w:type="dxa" w:w="10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DQ-F02-7</w:t>
            </w:r>
          </w:p>
        </w:tc>
        <w:tc>
          <w:tcPr>
            <w:tcW w:type="dxa" w:w="29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ما خوارزمية تجزئة رموز الاسترداد؟</w:t>
            </w:r>
          </w:p>
        </w:tc>
        <w:tc>
          <w:tcPr>
            <w:tcW w:type="dxa" w:w="333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HMAC-SHA-256 بمفتاح منصة سري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، أو Argon2id إن كان الرمز قصيرًا</w:t>
            </w:r>
          </w:p>
        </w:tc>
        <w:tc>
          <w:tcPr>
            <w:tcW w:type="dxa" w:w="10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مسؤول الهوية والأمن</w:t>
            </w:r>
          </w:p>
        </w:tc>
        <w:tc>
          <w:tcPr>
            <w:tcW w:type="dxa" w:w="14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DOC-S04</w:t>
            </w:r>
          </w:p>
        </w:tc>
      </w:tr>
      <w:tr>
        <w:trPr>
          <w:cantSplit/>
        </w:trPr>
        <w:tc>
          <w:tcPr>
            <w:tcW w:type="dxa" w:w="10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DQ-F02-8</w:t>
            </w:r>
          </w:p>
        </w:tc>
        <w:tc>
          <w:tcPr>
            <w:tcW w:type="dxa" w:w="29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هل يبقى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‎org.Company.TaxNumber‎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؟ (DR-25)</w:t>
            </w:r>
          </w:p>
        </w:tc>
        <w:tc>
          <w:tcPr>
            <w:tcW w:type="dxa" w:w="333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منفّذ (ADR 0011، 2026-10-13): حُذف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‎org.Company.TaxNumber‎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، ويُقرأ الرقمان من الهوية الضريبية الحالية للمرآة في دولة التأسيس عبر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‎org.v_CompanyTaxIdentity‎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. المقترح: يُحذف ويُقرأ من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‎pty.TaxIdentity‎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عبر عرض؛ وإن بقي يوسم سرّيًا</w:t>
            </w:r>
          </w:p>
        </w:tc>
        <w:tc>
          <w:tcPr>
            <w:tcW w:type="dxa" w:w="10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معماري قاعدة البيانات</w:t>
            </w:r>
          </w:p>
        </w:tc>
        <w:tc>
          <w:tcPr>
            <w:tcW w:type="dxa" w:w="14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S1</w:t>
            </w:r>
          </w:p>
        </w:tc>
      </w:tr>
      <w:tr>
        <w:trPr>
          <w:cantSplit/>
        </w:trPr>
        <w:tc>
          <w:tcPr>
            <w:tcW w:type="dxa" w:w="10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DQ-F02-9</w:t>
            </w:r>
          </w:p>
        </w:tc>
        <w:tc>
          <w:tcPr>
            <w:tcW w:type="dxa" w:w="29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هل يُفرض تقنيع التدقيق في مكان واحد؟</w:t>
            </w:r>
          </w:p>
        </w:tc>
        <w:tc>
          <w:tcPr>
            <w:tcW w:type="dxa" w:w="333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مُسلسِل واحد للتدقيق يستبدل كل عمود موسوم مقيّدًا بقناعه، تولّد قائمته من النموذج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10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مهندس الخلفية</w:t>
            </w:r>
          </w:p>
        </w:tc>
        <w:tc>
          <w:tcPr>
            <w:tcW w:type="dxa" w:w="14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FR-PLT-023، DOC-B01</w:t>
            </w:r>
          </w:p>
        </w:tc>
      </w:tr>
    </w:tbl>
    <w:p>
      <w:pPr>
        <w:bidi/>
        <w:spacing w:after="120" w:before="0"/>
      </w:pPr>
    </w:p>
    <w:p>
      <w:pPr>
        <w:pStyle w:val="Heading1"/>
        <w:bidi/>
      </w:pPr>
      <w:bookmarkStart w:name="_sec12" w:id="12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12. تعارضات وفجوات في المصادر</w:t>
      </w:r>
      <w:bookmarkEnd w:id="12"/>
    </w:p>
    <w:p>
      <w:pPr>
        <w:pStyle w:val="ListParagraph"/>
        <w:numPr>
          <w:ilvl w:val="0"/>
          <w:numId w:val="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docs/20-database-design.md:166 يجعل السبب إلزاميًا لكل كشف وتصدير، وQ-PTY-05 (docs/10-detailed-analysis/10-m0-m1-platform-organization.md:639) لا يطلبه، والعمود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‎Reason‎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اختياري (db/model/10-platform.model:344). سجلته DR-12.</w:t>
      </w:r>
    </w:p>
    <w:p>
      <w:pPr>
        <w:pStyle w:val="ListParagraph"/>
        <w:numPr>
          <w:ilvl w:val="0"/>
          <w:numId w:val="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docs/20-database-design.md:218 يقول إن الأرقام الكاملة لمدير الخزينة و«موظف التسهيلات»، وBR-PLT-019 (docs/10-detailed-analysis/10-m0-m1-platform-organization.md:245) يقفلها على TM و«مسؤول التسهيلات (FO)».</w:t>
      </w:r>
    </w:p>
    <w:p>
      <w:pPr>
        <w:pStyle w:val="ListParagraph"/>
        <w:numPr>
          <w:ilvl w:val="0"/>
          <w:numId w:val="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مراجعة التصميم تشير إلى db/model/16 السطور 686-687 و490 (docs/review/design-review-2026-10-11.json، DR-46)؛ الأعمدة اليوم في db/model/16-letters-of-credit.model:691-692 و:493.</w:t>
      </w:r>
    </w:p>
    <w:p>
      <w:pPr>
        <w:pStyle w:val="ListParagraph"/>
        <w:numPr>
          <w:ilvl w:val="0"/>
          <w:numId w:val="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db/model/10-platform.model:199 يقول إن الأثر الدائم للدخول في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‎aud.AuditLog‎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، لكن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‎sec.usp_StartSession‎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يكتب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‎sec.LoginAttempt‎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فقط (db/static/030_session_context.sql:124-129)، و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‎tp_app‎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يحذف منه (db/generated/tsql/005_delete_grants.sql:11). سجّلته O-24 (tools/dbgen/erd_open_items.py:153).</w:t>
      </w:r>
    </w:p>
    <w:p>
      <w:pPr>
        <w:pStyle w:val="ListParagraph"/>
        <w:numPr>
          <w:ilvl w:val="0"/>
          <w:numId w:val="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docs/10-detailed-analysis/10-m0-m1-platform-organization.md:582 يذكر TDE للقاعدة، ولا كائن TDE في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‎db/‎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. ليس تعارضًا في القرار، لكنه غير منفّذ قبل البيانات الحقيقية (docs/adr/0001-schema-work-on-linux.md:26).</w:t>
      </w:r>
    </w:p>
    <w:p>
      <w:pPr>
        <w:bidi/>
        <w:spacing w:after="60" w:before="0"/>
      </w:pPr>
    </w:p>
    <w:p>
      <w:pPr>
        <w:pStyle w:val="Heading1"/>
        <w:bidi/>
      </w:pPr>
      <w:bookmarkStart w:name="_sec13" w:id="13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13. التتبع</w:t>
      </w:r>
      <w:bookmarkEnd w:id="13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4"/>
        <w:gridCol w:w="1856"/>
        <w:gridCol w:w="6964"/>
      </w:tblGrid>
      <w:tr>
        <w:trPr>
          <w:cantSplit/>
          <w:tblHeader/>
        </w:trPr>
        <w:tc>
          <w:tcPr>
            <w:tcW w:type="dxa" w:w="10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البند في هذه الوثيقة</w:t>
            </w:r>
          </w:p>
        </w:tc>
        <w:tc>
          <w:tcPr>
            <w:tcW w:type="dxa" w:w="185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المتطلب أو القاعدة أو القرار</w:t>
            </w:r>
          </w:p>
        </w:tc>
        <w:tc>
          <w:tcPr>
            <w:tcW w:type="dxa" w:w="696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المصدر</w:t>
            </w:r>
          </w:p>
        </w:tc>
      </w:tr>
      <w:tr>
        <w:trPr>
          <w:cantSplit/>
        </w:trPr>
        <w:tc>
          <w:tcPr>
            <w:tcW w:type="dxa" w:w="10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V-01 إلى V-03، SD-01 إلى SD-04، SD-07</w:t>
            </w:r>
          </w:p>
        </w:tc>
        <w:tc>
          <w:tcPr>
            <w:tcW w:type="dxa" w:w="185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FR-PLT-010، FR-PLT-014، ADR 0002</w:t>
            </w:r>
          </w:p>
        </w:tc>
        <w:tc>
          <w:tcPr>
            <w:tcW w:type="dxa" w:w="696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db/static/030_session_context.sql:23-227</w:t>
            </w:r>
          </w:p>
        </w:tc>
      </w:tr>
      <w:tr>
        <w:trPr>
          <w:cantSplit/>
        </w:trPr>
        <w:tc>
          <w:tcPr>
            <w:tcW w:type="dxa" w:w="10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V-04، V-05، SD-05، SD-06، DQ-F02-4، DQ-F02-7</w:t>
            </w:r>
          </w:p>
        </w:tc>
        <w:tc>
          <w:tcPr>
            <w:tcW w:type="dxa" w:w="185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FR-PLT-011، BR-PLT-006، O-24 (erd_open_items)</w:t>
            </w:r>
          </w:p>
        </w:tc>
        <w:tc>
          <w:tcPr>
            <w:tcW w:type="dxa" w:w="696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tools/dbgen/erd_open_items.py:151-156</w:t>
            </w:r>
          </w:p>
        </w:tc>
      </w:tr>
      <w:tr>
        <w:trPr>
          <w:cantSplit/>
        </w:trPr>
        <w:tc>
          <w:tcPr>
            <w:tcW w:type="dxa" w:w="10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V-06، SD-08، SD-09</w:t>
            </w:r>
          </w:p>
        </w:tc>
        <w:tc>
          <w:tcPr>
            <w:tcW w:type="dxa" w:w="185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FR-PLT-013</w:t>
            </w:r>
          </w:p>
        </w:tc>
        <w:tc>
          <w:tcPr>
            <w:tcW w:type="dxa" w:w="696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db/model/10-platform.model:244-258</w:t>
            </w:r>
          </w:p>
        </w:tc>
      </w:tr>
      <w:tr>
        <w:trPr>
          <w:cantSplit/>
        </w:trPr>
        <w:tc>
          <w:tcPr>
            <w:tcW w:type="dxa" w:w="10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V-07، §7</w:t>
            </w:r>
          </w:p>
        </w:tc>
        <w:tc>
          <w:tcPr>
            <w:tcW w:type="dxa" w:w="185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FR-PLT-037، BR-PLT-015، Q-PLT-12</w:t>
            </w:r>
          </w:p>
        </w:tc>
        <w:tc>
          <w:tcPr>
            <w:tcW w:type="dxa" w:w="696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db/model/10-platform.model:276-301</w:t>
            </w:r>
          </w:p>
        </w:tc>
      </w:tr>
      <w:tr>
        <w:trPr>
          <w:cantSplit/>
        </w:trPr>
        <w:tc>
          <w:tcPr>
            <w:tcW w:type="dxa" w:w="10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V-08، V-09، §5</w:t>
            </w:r>
          </w:p>
        </w:tc>
        <w:tc>
          <w:tcPr>
            <w:tcW w:type="dxa" w:w="185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FR-PTY-006 إلى FR-PTY-009، BR-PTY-002، BR-PTY-008، BR-PTY-009، FR-PLT-030</w:t>
            </w:r>
          </w:p>
        </w:tc>
        <w:tc>
          <w:tcPr>
            <w:tcW w:type="dxa" w:w="696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db/model/11-organization-party.model:288-305</w:t>
            </w:r>
          </w:p>
        </w:tc>
      </w:tr>
      <w:tr>
        <w:trPr>
          <w:cantSplit/>
        </w:trPr>
        <w:tc>
          <w:tcPr>
            <w:tcW w:type="dxa" w:w="10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V-10، §6، DQ-F02-1</w:t>
            </w:r>
          </w:p>
        </w:tc>
        <w:tc>
          <w:tcPr>
            <w:tcW w:type="dxa" w:w="185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FR-REQ-024، FR-LCT-031، DR-46</w:t>
            </w:r>
          </w:p>
        </w:tc>
        <w:tc>
          <w:tcPr>
            <w:tcW w:type="dxa" w:w="696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db/model/16-letters-of-credit.model:186-188، :688-697</w:t>
            </w:r>
          </w:p>
        </w:tc>
      </w:tr>
      <w:tr>
        <w:trPr>
          <w:cantSplit/>
        </w:trPr>
        <w:tc>
          <w:tcPr>
            <w:tcW w:type="dxa" w:w="10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SD-25، DQ-F02-2</w:t>
            </w:r>
          </w:p>
        </w:tc>
        <w:tc>
          <w:tcPr>
            <w:tcW w:type="dxa" w:w="185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DR-31</w:t>
            </w:r>
          </w:p>
        </w:tc>
        <w:tc>
          <w:tcPr>
            <w:tcW w:type="dxa" w:w="696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tools/dbgen/dbgen.py:207-209</w:t>
            </w:r>
          </w:p>
        </w:tc>
      </w:tr>
      <w:tr>
        <w:trPr>
          <w:cantSplit/>
        </w:trPr>
        <w:tc>
          <w:tcPr>
            <w:tcW w:type="dxa" w:w="10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SD-26</w:t>
            </w:r>
          </w:p>
        </w:tc>
        <w:tc>
          <w:tcPr>
            <w:tcW w:type="dxa" w:w="185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DR-08</w:t>
            </w:r>
          </w:p>
        </w:tc>
        <w:tc>
          <w:tcPr>
            <w:tcW w:type="dxa" w:w="696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db/model/14-collateral-obligations-financials.model:32</w:t>
            </w:r>
          </w:p>
        </w:tc>
      </w:tr>
      <w:tr>
        <w:trPr>
          <w:cantSplit/>
        </w:trPr>
        <w:tc>
          <w:tcPr>
            <w:tcW w:type="dxa" w:w="10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§3</w:t>
            </w:r>
          </w:p>
        </w:tc>
        <w:tc>
          <w:tcPr>
            <w:tcW w:type="dxa" w:w="185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R7، T21، T35</w:t>
            </w:r>
          </w:p>
        </w:tc>
        <w:tc>
          <w:tcPr>
            <w:tcW w:type="dxa" w:w="696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db/generated/tsql/006_sensitive_columns.sql:7-35</w:t>
            </w:r>
          </w:p>
        </w:tc>
      </w:tr>
      <w:tr>
        <w:trPr>
          <w:cantSplit/>
        </w:trPr>
        <w:tc>
          <w:tcPr>
            <w:tcW w:type="dxa" w:w="10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V-15، §8 التدقيق</w:t>
            </w:r>
          </w:p>
        </w:tc>
        <w:tc>
          <w:tcPr>
            <w:tcW w:type="dxa" w:w="185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FR-PLT-022، FR-PLT-023، BR-PLT-009</w:t>
            </w:r>
          </w:p>
        </w:tc>
        <w:tc>
          <w:tcPr>
            <w:tcW w:type="dxa" w:w="696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db/model/10-platform.model:304-355</w:t>
            </w:r>
          </w:p>
        </w:tc>
      </w:tr>
      <w:tr>
        <w:trPr>
          <w:cantSplit/>
        </w:trPr>
        <w:tc>
          <w:tcPr>
            <w:tcW w:type="dxa" w:w="10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V-17، DQ-F02-5</w:t>
            </w:r>
          </w:p>
        </w:tc>
        <w:tc>
          <w:tcPr>
            <w:tcW w:type="dxa" w:w="185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FR-PLT-039، BR-PLT-016، DR-13، DR-18</w:t>
            </w:r>
          </w:p>
        </w:tc>
        <w:tc>
          <w:tcPr>
            <w:tcW w:type="dxa" w:w="696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db/model/10-platform.model:502-521</w:t>
            </w:r>
          </w:p>
        </w:tc>
      </w:tr>
      <w:tr>
        <w:trPr>
          <w:cantSplit/>
        </w:trPr>
        <w:tc>
          <w:tcPr>
            <w:tcW w:type="dxa" w:w="10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§8 Outbox والإشعار</w:t>
            </w:r>
          </w:p>
        </w:tc>
        <w:tc>
          <w:tcPr>
            <w:tcW w:type="dxa" w:w="185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FR-PLT-042، FR-NTF-013</w:t>
            </w:r>
          </w:p>
        </w:tc>
        <w:tc>
          <w:tcPr>
            <w:tcW w:type="dxa" w:w="696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db/model/10-platform.model:532-552</w:t>
            </w:r>
          </w:p>
        </w:tc>
      </w:tr>
      <w:tr>
        <w:trPr>
          <w:cantSplit/>
        </w:trPr>
        <w:tc>
          <w:tcPr>
            <w:tcW w:type="dxa" w:w="10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§9</w:t>
            </w:r>
          </w:p>
        </w:tc>
        <w:tc>
          <w:tcPr>
            <w:tcW w:type="dxa" w:w="185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FR-PLT-040، FR-PTY-029، BR-PLT-002، Q-PLT-04</w:t>
            </w:r>
          </w:p>
        </w:tc>
        <w:tc>
          <w:tcPr>
            <w:tcW w:type="dxa" w:w="696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docs/10-detailed-analysis/10-m0-m1-platform-organization.md:616</w:t>
            </w:r>
          </w:p>
        </w:tc>
      </w:tr>
      <w:tr>
        <w:trPr>
          <w:cantSplit/>
        </w:trPr>
        <w:tc>
          <w:tcPr>
            <w:tcW w:type="dxa" w:w="10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DQ-F02-8</w:t>
            </w:r>
          </w:p>
        </w:tc>
        <w:tc>
          <w:tcPr>
            <w:tcW w:type="dxa" w:w="185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DR-25</w:t>
            </w:r>
          </w:p>
        </w:tc>
        <w:tc>
          <w:tcPr>
            <w:tcW w:type="dxa" w:w="696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db/model/11-organization-party.model:26</w:t>
            </w:r>
          </w:p>
        </w:tc>
      </w:tr>
    </w:tbl>
    <w:p>
      <w:pPr>
        <w:bidi/>
        <w:spacing w:after="120" w:before="0"/>
      </w:pPr>
    </w:p>
    <w:sectPr>
      <w:headerReference w:type="default" r:id="rId7"/>
      <w:footerReference w:type="default" r:id="rId8"/>
      <w:pgSz w:w="11906" w:h="16838" w:orient="portrait"/>
      <w:pgMar w:top="1134" w:right="1021" w:bottom="1134" w:left="1021" w:header="500" w:footer="500" w:gutter="0"/>
      <w:pgNumType/>
      <w:bidi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bidi/>
      <w:jc w:val="center"/>
    </w:pPr>
    <w:r>
      <w:rPr>
        <w:rFonts w:ascii="Arial" w:cs="Arial" w:eastAsia="Arial" w:hAnsi="Arial"/>
        <w:color w:val="5B6670"/>
        <w:sz w:val="17"/>
        <w:szCs w:val="17"/>
        <w:rtl/>
      </w:rPr>
      <w:t xml:space="preserve">صفحة </w:t>
    </w:r>
    <w:r>
      <w:rPr>
        <w:rFonts w:ascii="Arial" w:cs="Arial" w:eastAsia="Arial" w:hAnsi="Arial"/>
        <w:color w:val="5B6670"/>
        <w:sz w:val="17"/>
        <w:szCs w:val="17"/>
        <w:rtl/>
      </w:rPr>
      <w:fldChar w:fldCharType="begin"/>
      <w:instrText xml:space="preserve">PAGE</w:instrText>
      <w:fldChar w:fldCharType="separate"/>
      <w:fldChar w:fldCharType="end"/>
    </w:r>
    <w:r>
      <w:rPr>
        <w:rFonts w:ascii="Arial" w:cs="Arial" w:eastAsia="Arial" w:hAnsi="Arial"/>
        <w:color w:val="5B6670"/>
        <w:sz w:val="17"/>
        <w:szCs w:val="17"/>
        <w:rtl/>
      </w:rPr>
      <w:t xml:space="preserve"> من </w:t>
    </w:r>
    <w:r>
      <w:rPr>
        <w:rFonts w:ascii="Arial" w:cs="Arial" w:eastAsia="Arial" w:hAnsi="Arial"/>
        <w:color w:val="5B6670"/>
        <w:sz w:val="17"/>
        <w:szCs w:val="17"/>
        <w:rtl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BFC9D6" w:sz="4" w:space="4"/>
      </w:pBdr>
      <w:bidi/>
      <w:spacing w:after="0"/>
    </w:pPr>
    <w:r>
      <w:rPr>
        <w:rFonts w:ascii="Arial" w:cs="Arial" w:eastAsia="Arial" w:hAnsi="Arial"/>
        <w:color w:val="5B6670"/>
        <w:sz w:val="17"/>
        <w:szCs w:val="17"/>
        <w:rtl/>
      </w:rPr>
      <w:t xml:space="preserve">DOC-F02 · BankFas · مستندات الجاهزية P0 · 0.1 مسودة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74" w:hanging="284"/>
      </w:pPr>
    </w:lvl>
    <w:lvl w:ilvl="1" w15:tentative="1">
      <w:start w:val="1"/>
      <w:numFmt w:val="bullet"/>
      <w:lvlText w:val="–"/>
      <w:lvlJc w:val="left"/>
      <w:pPr>
        <w:ind w:left="1028" w:hanging="284"/>
      </w:pPr>
    </w:lvl>
    <w:lvl w:ilvl="2" w15:tentative="1">
      <w:start w:val="1"/>
      <w:numFmt w:val="bullet"/>
      <w:lvlText w:val="·"/>
      <w:lvlJc w:val="left"/>
      <w:pPr>
        <w:ind w:left="1482" w:hanging="284"/>
      </w:pPr>
    </w:lvl>
    <w:lvl w:ilvl="3" w15:tentative="1">
      <w:start w:val="1"/>
      <w:numFmt w:val="bullet"/>
      <w:lvlText w:val="·"/>
      <w:lvlJc w:val="left"/>
      <w:pPr>
        <w:ind w:left="1936" w:hanging="284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4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1"/>
        <w:szCs w:val="21"/>
        <w:rtl/>
        <w:lang w:val="ar-SA" w:bidi="ar-SA"/>
      </w:rPr>
    </w:rPrDefault>
    <w:pPrDefault>
      <w:pPr>
        <w:bidi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next w:val="Normal"/>
    <w:qFormat/>
    <w:pPr>
      <w:bidi/>
      <w:spacing w:after="160" w:before="0"/>
    </w:pPr>
    <w:rPr>
      <w:b/>
      <w:bCs/>
      <w:color w:val="1F3A5F"/>
      <w:sz w:val="48"/>
      <w:szCs w:val="48"/>
    </w:rPr>
  </w:style>
  <w:style w:type="paragraph" w:styleId="Heading1">
    <w:name w:val="heading 1"/>
    <w:basedOn w:val="Normal"/>
    <w:next w:val="Normal"/>
    <w:qFormat/>
    <w:pPr>
      <w:keepNext/>
      <w:pBdr>
        <w:bottom w:val="single" w:color="1F3A5F" w:sz="8" w:space="3"/>
      </w:pBdr>
      <w:bidi/>
      <w:spacing w:after="140" w:before="380"/>
      <w:outlineLvl w:val="0"/>
    </w:pPr>
    <w:rPr>
      <w:b/>
      <w:bCs/>
      <w:color w:val="1F3A5F"/>
      <w:sz w:val="32"/>
      <w:szCs w:val="32"/>
    </w:rPr>
  </w:style>
  <w:style w:type="paragraph" w:styleId="Heading2">
    <w:name w:val="heading 2"/>
    <w:basedOn w:val="Normal"/>
    <w:next w:val="Normal"/>
    <w:qFormat/>
    <w:pPr>
      <w:keepNext/>
      <w:bidi/>
      <w:spacing w:after="100" w:before="260"/>
      <w:outlineLvl w:val="1"/>
    </w:pPr>
    <w:rPr>
      <w:b/>
      <w:bCs/>
      <w:color w:val="2B5C8A"/>
      <w:sz w:val="26"/>
      <w:szCs w:val="26"/>
    </w:rPr>
  </w:style>
  <w:style w:type="paragraph" w:styleId="Heading3">
    <w:name w:val="heading 3"/>
    <w:basedOn w:val="Normal"/>
    <w:next w:val="Normal"/>
    <w:qFormat/>
    <w:pPr>
      <w:keepNext/>
      <w:bidi/>
      <w:spacing w:after="80" w:before="200"/>
      <w:outlineLvl w:val="2"/>
    </w:pPr>
    <w:rPr>
      <w:b/>
      <w:bCs/>
      <w:color w:val="2B5C8A"/>
      <w:sz w:val="23"/>
      <w:szCs w:val="23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4aacc15180b60545c1f08c38716e3d8c0225de17.png"/><Relationship Id="rId10" Type="http://schemas.openxmlformats.org/officeDocument/2006/relationships/image" Target="media/77781265c6f36d73134e8ddd5c553c5e6abbe968.png"/><Relationship Id="rId11" Type="http://schemas.openxmlformats.org/officeDocument/2006/relationships/image" Target="media/423d6859a0059665896a99b19d3c03b583d843e6.png"/><Relationship Id="rId12" Type="http://schemas.openxmlformats.org/officeDocument/2006/relationships/image" Target="media/4dd61323a7c790a6fbb6a5ee822072ac0d27f09a.png"/><Relationship Id="rId13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DOC-F02 — تدفقات البيانات الحساسة (DFD المستوى 1)</dc:title>
  <dc:creator>Claude</dc:creator>
  <dc:description>BankFas database design document</dc:description>
  <cp:lastModifiedBy>Un-named</cp:lastModifiedBy>
  <cp:revision>1</cp:revision>
  <dcterms:created xsi:type="dcterms:W3CDTF">2026-10-14T07:36:01.201Z</dcterms:created>
  <dcterms:modified xsi:type="dcterms:W3CDTF">2026-10-14T07:36:01.201Z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