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bidi/>
      </w:pPr>
      <w:r>
        <w:rPr>
          <w:rFonts w:ascii="Arial" w:cs="Arial" w:eastAsia="Arial" w:hAnsi="Arial"/>
          <w:b/>
          <w:bCs/>
          <w:color w:val="1F3A5F"/>
          <w:sz w:val="48"/>
          <w:szCs w:val="48"/>
          <w:rtl/>
        </w:rPr>
        <w:t xml:space="preserve">DOC-F05 — تسلسل تهيئة المشترك ودورة حياته مع الفشل والتراجع</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160"/>
        <w:gridCol w:w="8704"/>
      </w:tblGrid>
      <w:tr>
        <w:trPr>
          <w:cantSplit/>
          <w:tblHeader/>
        </w:trPr>
        <w:tc>
          <w:tcPr>
            <w:tcW w:type="dxa" w:w="116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870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القيمة</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المعرّف</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DOC-F05 (docs/30-readiness-documents.md)</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الإصدار</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0.1 — مسودة للمراجعة — 2026-10-12</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المالك المقترح</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مهندس المنصة مع مدير المنتج (موافقة المشغّل)</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الأولوية</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P0 قبل S0</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يغطي</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FR-PLT-001، FR-PLT-002، FR-PLT-003، FR-PLT-005، FR-PLT-008، FR-PLT-009، FR-PLT-013، FR-PLT-039، FR-PLT-040، FR-PLT-046، BR-PLT-002، BR-PLT-003، BR-PLT-016، O-12 (20-database-design)، O-18 (erd_open_items)</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يعتمد على</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DOC-F04 (ربط المهام بحساب الخدمة ومصفوفة الحالة)، DOC-B05 (البذور)، DOC-S02 (مفاتيح المشترك)، DOC-S05 (TLS)، DOC-F03 وDOC-F06 (الدعوة وحالات المستخدم)، DOC-S08 (حسابات القاعدة)</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المصادر</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 docs/10-detailed-analysis/00-overview-and-cross-cutting.md، docs/20-database-design.md، docs/21-data-dictionary.md، db/generated/tsql/001_tables.sql، db/generated/tsql/007_table_grants.sql، db/static/010_rls.sql، db/static/030_session_context.sql</w:t>
            </w:r>
          </w:p>
        </w:tc>
      </w:tr>
    </w:tbl>
    <w:p>
      <w:pPr>
        <w:bidi/>
        <w:spacing w:after="120" w:before="0"/>
      </w:pPr>
    </w:p>
    <w:p>
      <w:pPr>
        <w:pBdr>
          <w:bottom w:val="single" w:color="1F3A5F" w:sz="8" w:space="4"/>
        </w:pBdr>
        <w:bidi/>
        <w:spacing w:after="100" w:before="280"/>
      </w:pPr>
      <w:r>
        <w:rPr>
          <w:rFonts w:ascii="Arial" w:cs="Arial" w:eastAsia="Arial" w:hAnsi="Arial"/>
          <w:b/>
          <w:bCs/>
          <w:color w:val="1F3A5F"/>
          <w:sz w:val="32"/>
          <w:szCs w:val="32"/>
          <w:rtl/>
        </w:rPr>
        <w:t xml:space="preserve">المحتويات</w:t>
      </w:r>
    </w:p>
    <w:p>
      <w:pPr>
        <w:bidi/>
        <w:spacing w:after="50" w:before="0"/>
        <w:ind w:left="0"/>
      </w:pPr>
      <w:hyperlink w:history="1" w:anchor="_sec1">
        <w:r>
          <w:rPr>
            <w:rFonts w:ascii="Arial" w:cs="Arial" w:eastAsia="Arial" w:hAnsi="Arial"/>
            <w:b/>
            <w:bCs/>
            <w:color w:val="1F3A5F"/>
            <w:sz w:val="20"/>
            <w:szCs w:val="20"/>
            <w:rtl/>
          </w:rPr>
          <w:t xml:space="preserve">1. الغرض والنطاق</w:t>
        </w:r>
      </w:hyperlink>
    </w:p>
    <w:p>
      <w:pPr>
        <w:bidi/>
        <w:spacing w:after="50" w:before="0"/>
        <w:ind w:left="0"/>
      </w:pPr>
      <w:hyperlink w:history="1" w:anchor="_sec2">
        <w:r>
          <w:rPr>
            <w:rFonts w:ascii="Arial" w:cs="Arial" w:eastAsia="Arial" w:hAnsi="Arial"/>
            <w:b/>
            <w:bCs/>
            <w:color w:val="1F3A5F"/>
            <w:sz w:val="20"/>
            <w:szCs w:val="20"/>
            <w:rtl/>
          </w:rPr>
          <w:t xml:space="preserve">2. الوضع اليوم في المستودع</w:t>
        </w:r>
      </w:hyperlink>
    </w:p>
    <w:p>
      <w:pPr>
        <w:bidi/>
        <w:spacing w:after="50" w:before="0"/>
        <w:ind w:left="0"/>
      </w:pPr>
      <w:hyperlink w:history="1" w:anchor="_sec3">
        <w:r>
          <w:rPr>
            <w:rFonts w:ascii="Arial" w:cs="Arial" w:eastAsia="Arial" w:hAnsi="Arial"/>
            <w:b/>
            <w:bCs/>
            <w:color w:val="1F3A5F"/>
            <w:sz w:val="20"/>
            <w:szCs w:val="20"/>
            <w:rtl/>
          </w:rPr>
          <w:t xml:space="preserve">3. المشاركون</w:t>
        </w:r>
      </w:hyperlink>
    </w:p>
    <w:p>
      <w:pPr>
        <w:bidi/>
        <w:spacing w:after="50" w:before="0"/>
        <w:ind w:left="0"/>
      </w:pPr>
      <w:hyperlink w:history="1" w:anchor="_sec4">
        <w:r>
          <w:rPr>
            <w:rFonts w:ascii="Arial" w:cs="Arial" w:eastAsia="Arial" w:hAnsi="Arial"/>
            <w:b/>
            <w:bCs/>
            <w:color w:val="1F3A5F"/>
            <w:sz w:val="20"/>
            <w:szCs w:val="20"/>
            <w:rtl/>
          </w:rPr>
          <w:t xml:space="preserve">4. تسلسل التهيئة</w:t>
        </w:r>
      </w:hyperlink>
    </w:p>
    <w:p>
      <w:pPr>
        <w:bidi/>
        <w:spacing w:after="50" w:before="0"/>
        <w:ind w:left="0"/>
      </w:pPr>
      <w:hyperlink w:history="1" w:anchor="_sec10">
        <w:r>
          <w:rPr>
            <w:rFonts w:ascii="Arial" w:cs="Arial" w:eastAsia="Arial" w:hAnsi="Arial"/>
            <w:b/>
            <w:bCs/>
            <w:color w:val="1F3A5F"/>
            <w:sz w:val="20"/>
            <w:szCs w:val="20"/>
            <w:rtl/>
          </w:rPr>
          <w:t xml:space="preserve">5. الفشل والتراجع والتعويض</w:t>
        </w:r>
      </w:hyperlink>
    </w:p>
    <w:p>
      <w:pPr>
        <w:bidi/>
        <w:spacing w:after="50" w:before="0"/>
        <w:ind w:left="0"/>
      </w:pPr>
      <w:hyperlink w:history="1" w:anchor="_sec11">
        <w:r>
          <w:rPr>
            <w:rFonts w:ascii="Arial" w:cs="Arial" w:eastAsia="Arial" w:hAnsi="Arial"/>
            <w:b/>
            <w:bCs/>
            <w:color w:val="1F3A5F"/>
            <w:sz w:val="20"/>
            <w:szCs w:val="20"/>
            <w:rtl/>
          </w:rPr>
          <w:t xml:space="preserve">6. دورة حياة المشترك</w:t>
        </w:r>
      </w:hyperlink>
    </w:p>
    <w:p>
      <w:pPr>
        <w:bidi/>
        <w:spacing w:after="50" w:before="0"/>
        <w:ind w:left="0"/>
      </w:pPr>
      <w:hyperlink w:history="1" w:anchor="_sec17">
        <w:r>
          <w:rPr>
            <w:rFonts w:ascii="Arial" w:cs="Arial" w:eastAsia="Arial" w:hAnsi="Arial"/>
            <w:b/>
            <w:bCs/>
            <w:color w:val="1F3A5F"/>
            <w:sz w:val="20"/>
            <w:szCs w:val="20"/>
            <w:rtl/>
          </w:rPr>
          <w:t xml:space="preserve">7. شرط خروج S0: تهيئة آلية قابلة للقياس</w:t>
        </w:r>
      </w:hyperlink>
    </w:p>
    <w:p>
      <w:pPr>
        <w:bidi/>
        <w:spacing w:after="50" w:before="0"/>
        <w:ind w:left="0"/>
      </w:pPr>
      <w:hyperlink w:history="1" w:anchor="_sec18">
        <w:r>
          <w:rPr>
            <w:rFonts w:ascii="Arial" w:cs="Arial" w:eastAsia="Arial" w:hAnsi="Arial"/>
            <w:b/>
            <w:bCs/>
            <w:color w:val="1F3A5F"/>
            <w:sz w:val="20"/>
            <w:szCs w:val="20"/>
            <w:rtl/>
          </w:rPr>
          <w:t xml:space="preserve">8. القرارات المطلوبة</w:t>
        </w:r>
      </w:hyperlink>
    </w:p>
    <w:p>
      <w:pPr>
        <w:bidi/>
        <w:spacing w:after="50" w:before="0"/>
        <w:ind w:left="0"/>
      </w:pPr>
      <w:hyperlink w:history="1" w:anchor="_sec19">
        <w:r>
          <w:rPr>
            <w:rFonts w:ascii="Arial" w:cs="Arial" w:eastAsia="Arial" w:hAnsi="Arial"/>
            <w:b/>
            <w:bCs/>
            <w:color w:val="1F3A5F"/>
            <w:sz w:val="20"/>
            <w:szCs w:val="20"/>
            <w:rtl/>
          </w:rPr>
          <w:t xml:space="preserve">9. تعارضات وفجوات في المصادر</w:t>
        </w:r>
      </w:hyperlink>
    </w:p>
    <w:p>
      <w:pPr>
        <w:bidi/>
        <w:spacing w:after="50" w:before="0"/>
        <w:ind w:left="0"/>
      </w:pPr>
      <w:hyperlink w:history="1" w:anchor="_sec20">
        <w:r>
          <w:rPr>
            <w:rFonts w:ascii="Arial" w:cs="Arial" w:eastAsia="Arial" w:hAnsi="Arial"/>
            <w:b/>
            <w:bCs/>
            <w:color w:val="1F3A5F"/>
            <w:sz w:val="20"/>
            <w:szCs w:val="20"/>
            <w:rtl/>
          </w:rPr>
          <w:t xml:space="preserve">10. التتبع</w:t>
        </w:r>
      </w:hyperlink>
    </w:p>
    <w:p>
      <w:r>
        <w:br w:type="page"/>
      </w:r>
    </w:p>
    <w:p>
      <w:pPr>
        <w:pBdr>
          <w:top w:val="single" w:color="E8C766" w:sz="6" w:space="6"/>
          <w:left w:val="single" w:color="E8C766" w:sz="6" w:space="6"/>
          <w:bottom w:val="single" w:color="E8C766" w:sz="6" w:space="6"/>
          <w:right w:val="single" w:color="E8C766" w:sz="6" w:space="6"/>
        </w:pBdr>
        <w:shd w:fill="FFF8E1" w:color="auto" w:val="clear"/>
        <w:bidi/>
        <w:spacing w:after="160" w:before="60" w:line="300"/>
        <w:ind w:left="140" w:right="140"/>
      </w:pPr>
      <w:r>
        <w:rPr>
          <w:rFonts w:ascii="Arial" w:cs="Arial" w:eastAsia="Arial" w:hAnsi="Arial"/>
          <w:b/>
          <w:bCs/>
          <w:sz w:val="20"/>
          <w:szCs w:val="20"/>
          <w:rtl/>
        </w:rPr>
        <w:t xml:space="preserve">تحديث التنفيذ (2026-10-12):</w:t>
      </w:r>
      <w:r>
        <w:rPr>
          <w:rFonts w:ascii="Arial" w:cs="Arial" w:eastAsia="Arial" w:hAnsi="Arial"/>
          <w:b w:val="false"/>
          <w:bCs w:val="false"/>
          <w:sz w:val="20"/>
          <w:szCs w:val="20"/>
          <w:rtl/>
        </w:rPr>
        <w:t xml:space="preserve"> نُفّذت التهيئة وانتقالات الحالة في القاعدة (docs/adr/0004-platform-access-jobs-and-onboarding.md، db/static/038_tenant_onboarding.sql) وتمر في CI (الاختبارات O1 إلى O5): المرحلة أ </w:t>
      </w:r>
      <w:r>
        <w:rPr>
          <w:rFonts w:ascii="Courier New" w:cs="Courier New" w:eastAsia="Courier New" w:hAnsi="Courier New"/>
          <w:b w:val="false"/>
          <w:bCs w:val="false"/>
          <w:color w:val="1F2937"/>
          <w:sz w:val="18"/>
          <w:szCs w:val="18"/>
          <w:shd w:fill="F1F3F5" w:color="auto" w:val="clear"/>
          <w:rtl/>
        </w:rPr>
        <w:t xml:space="preserve">‎plat.usp_CreateTenant‎</w:t>
      </w:r>
      <w:r>
        <w:rPr>
          <w:rFonts w:ascii="Arial" w:cs="Arial" w:eastAsia="Arial" w:hAnsi="Arial"/>
          <w:b w:val="false"/>
          <w:bCs w:val="false"/>
          <w:sz w:val="20"/>
          <w:szCs w:val="20"/>
          <w:rtl/>
        </w:rPr>
        <w:t xml:space="preserve"> بمدير مشغّلين تحقق بـ MFA خلال 5 دقائق (DQ-F05-2) في معاملة واحدة، والمرحلة ج </w:t>
      </w:r>
      <w:r>
        <w:rPr>
          <w:rFonts w:ascii="Courier New" w:cs="Courier New" w:eastAsia="Courier New" w:hAnsi="Courier New"/>
          <w:b w:val="false"/>
          <w:bCs w:val="false"/>
          <w:color w:val="1F2937"/>
          <w:sz w:val="18"/>
          <w:szCs w:val="18"/>
          <w:shd w:fill="F1F3F5" w:color="auto" w:val="clear"/>
          <w:rtl/>
        </w:rPr>
        <w:t xml:space="preserve">‎sec.usp_InviteFirstAdministrator‎</w:t>
      </w:r>
      <w:r>
        <w:rPr>
          <w:rFonts w:ascii="Arial" w:cs="Arial" w:eastAsia="Arial" w:hAnsi="Arial"/>
          <w:b w:val="false"/>
          <w:bCs w:val="false"/>
          <w:sz w:val="20"/>
          <w:szCs w:val="20"/>
          <w:rtl/>
        </w:rPr>
        <w:t xml:space="preserve"> لمهمة JOB-PLT-ONBOARD، والانتقالات بإجراء واحد مع </w:t>
      </w:r>
      <w:r>
        <w:rPr>
          <w:rFonts w:ascii="Courier New" w:cs="Courier New" w:eastAsia="Courier New" w:hAnsi="Courier New"/>
          <w:b w:val="false"/>
          <w:bCs w:val="false"/>
          <w:color w:val="1F2937"/>
          <w:sz w:val="18"/>
          <w:szCs w:val="18"/>
          <w:shd w:fill="F1F3F5" w:color="auto" w:val="clear"/>
          <w:rtl/>
        </w:rPr>
        <w:t xml:space="preserve">‎plat.usp_SetTenantStatus‎</w:t>
      </w:r>
      <w:r>
        <w:rPr>
          <w:rFonts w:ascii="Arial" w:cs="Arial" w:eastAsia="Arial" w:hAnsi="Arial"/>
          <w:b w:val="false"/>
          <w:bCs w:val="false"/>
          <w:sz w:val="20"/>
          <w:szCs w:val="20"/>
          <w:rtl/>
        </w:rPr>
        <w:t xml:space="preserve"> للمشغّل و</w:t>
      </w:r>
      <w:r>
        <w:rPr>
          <w:rFonts w:ascii="Courier New" w:cs="Courier New" w:eastAsia="Courier New" w:hAnsi="Courier New"/>
          <w:b w:val="false"/>
          <w:bCs w:val="false"/>
          <w:color w:val="1F2937"/>
          <w:sz w:val="18"/>
          <w:szCs w:val="18"/>
          <w:shd w:fill="F1F3F5" w:color="auto" w:val="clear"/>
          <w:rtl/>
        </w:rPr>
        <w:t xml:space="preserve">‎plat.usp_RunTenantTransitions‎</w:t>
      </w:r>
      <w:r>
        <w:rPr>
          <w:rFonts w:ascii="Arial" w:cs="Arial" w:eastAsia="Arial" w:hAnsi="Arial"/>
          <w:b w:val="false"/>
          <w:bCs w:val="false"/>
          <w:sz w:val="20"/>
          <w:szCs w:val="20"/>
          <w:rtl/>
        </w:rPr>
        <w:t xml:space="preserve"> للمهمتين اليوميتين (DQ-F05-6)، ورفض إغلاق مشترك نشط حتى يوجد التصدير (DQ-F05-7)، وإغلاق التجربة الملغاة (DQ-F05-4)، و</w:t>
      </w:r>
      <w:r>
        <w:rPr>
          <w:rFonts w:ascii="Courier New" w:cs="Courier New" w:eastAsia="Courier New" w:hAnsi="Courier New"/>
          <w:b w:val="false"/>
          <w:bCs w:val="false"/>
          <w:color w:val="1F2937"/>
          <w:sz w:val="18"/>
          <w:szCs w:val="18"/>
          <w:shd w:fill="F1F3F5" w:color="auto" w:val="clear"/>
          <w:rtl/>
        </w:rPr>
        <w:t xml:space="preserve">‎DENY‎</w:t>
      </w:r>
      <w:r>
        <w:rPr>
          <w:rFonts w:ascii="Arial" w:cs="Arial" w:eastAsia="Arial" w:hAnsi="Arial"/>
          <w:b w:val="false"/>
          <w:bCs w:val="false"/>
          <w:sz w:val="20"/>
          <w:szCs w:val="20"/>
          <w:rtl/>
        </w:rPr>
        <w:t xml:space="preserve"> على كتابة الحالة مباشرة (DQ-F05-5). الباقة STANDARD والعناوين المحجوزة مبذورة. تبقى المرحلة ب (حزم البذر) في التطبيق، والتدقيق يكتبه التطبيق (O-25 في tools/dbgen/erd_open_items.py).</w:t>
      </w:r>
    </w:p>
    <w:p>
      <w:pPr>
        <w:pStyle w:val="Heading1"/>
        <w:bidi/>
      </w:pPr>
      <w:bookmarkStart w:name="_sec1" w:id="1"/>
      <w:r>
        <w:rPr>
          <w:rFonts w:ascii="Arial" w:cs="Arial" w:eastAsia="Arial" w:hAnsi="Arial"/>
          <w:b/>
          <w:bCs/>
          <w:color w:val="1F3A5F"/>
          <w:sz w:val="32"/>
          <w:szCs w:val="32"/>
          <w:rtl/>
        </w:rPr>
        <w:t xml:space="preserve">1. الغرض والنطاق</w:t>
      </w:r>
      <w:bookmarkEnd w:id="1"/>
    </w:p>
    <w:p>
      <w:pPr>
        <w:bidi/>
        <w:spacing w:after="110" w:before="0" w:line="312"/>
      </w:pPr>
      <w:r>
        <w:rPr>
          <w:rFonts w:ascii="Arial" w:cs="Arial" w:eastAsia="Arial" w:hAnsi="Arial"/>
          <w:b w:val="false"/>
          <w:bCs w:val="false"/>
          <w:sz w:val="21"/>
          <w:szCs w:val="21"/>
          <w:rtl/>
        </w:rPr>
        <w:t xml:space="preserve">تصف الوثيقة كيف ينشئ مشغّل المنصة مشتركًا جديدًا يدويًا، بلا فوترة، حتى يصل مدير الحساب الأول إلى قائمة البدء. وتحدد لكل خطوة ما يجري داخل معاملة القاعدة وما يجري خارجها، وما يحدث عند الفشل وكيف يُعوَّض. ثم تصف دورة حياة المشترك من TRIAL إلى ARCHIVED_READ_ONLY، ونافذة التصدير، وحذف البيانات.</w:t>
      </w:r>
    </w:p>
    <w:p>
      <w:pPr>
        <w:bidi/>
        <w:spacing w:after="110" w:before="0" w:line="312"/>
      </w:pPr>
      <w:r>
        <w:rPr>
          <w:rFonts w:ascii="Arial" w:cs="Arial" w:eastAsia="Arial" w:hAnsi="Arial"/>
          <w:b w:val="false"/>
          <w:bCs w:val="false"/>
          <w:sz w:val="21"/>
          <w:szCs w:val="21"/>
          <w:rtl/>
        </w:rPr>
        <w:t xml:space="preserve">شرط خروج S0 يتضمن «تأهيل مشترك جديد آليًا» (docs/10-detailed-analysis/00-overview-and-cross-cutting.md:194). القسم §7 يقترح كيف يُقاس.</w:t>
      </w:r>
    </w:p>
    <w:p>
      <w:pPr>
        <w:bidi/>
        <w:spacing w:after="110" w:before="0" w:line="312"/>
      </w:pPr>
      <w:r>
        <w:rPr>
          <w:rFonts w:ascii="Arial" w:cs="Arial" w:eastAsia="Arial" w:hAnsi="Arial"/>
          <w:b w:val="false"/>
          <w:bCs w:val="false"/>
          <w:sz w:val="21"/>
          <w:szCs w:val="21"/>
          <w:rtl/>
        </w:rPr>
        <w:t xml:space="preserve">خارج النطاق: ما يُسمح به لكل دور في كل حالة (DOC-F04 §7)، ومحتوى البذور نفسها (DOC-B05)، وتوليد المفاتيح وحفظها (DOC-S02)، وإكمال الدعوة وتسجيل MFA (DOC-F03 وDOC-F06)، وشهادات TLS (DOC-S05).</w:t>
      </w:r>
    </w:p>
    <w:p>
      <w:pPr>
        <w:bidi/>
        <w:spacing w:after="110" w:before="0" w:line="312"/>
      </w:pPr>
      <w:r>
        <w:rPr>
          <w:rFonts w:ascii="Arial" w:cs="Arial" w:eastAsia="Arial" w:hAnsi="Arial"/>
          <w:b w:val="false"/>
          <w:bCs w:val="false"/>
          <w:sz w:val="21"/>
          <w:szCs w:val="21"/>
          <w:rtl/>
        </w:rPr>
        <w:t xml:space="preserve">الرموز: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قائم في المستودع أو مقرَّر،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مقترح ينتظر القرار.</w:t>
      </w:r>
    </w:p>
    <w:p>
      <w:pPr>
        <w:pStyle w:val="Heading1"/>
        <w:bidi/>
      </w:pPr>
      <w:bookmarkStart w:name="_sec2" w:id="2"/>
      <w:r>
        <w:rPr>
          <w:rFonts w:ascii="Arial" w:cs="Arial" w:eastAsia="Arial" w:hAnsi="Arial"/>
          <w:b/>
          <w:bCs/>
          <w:color w:val="1F3A5F"/>
          <w:sz w:val="32"/>
          <w:szCs w:val="32"/>
          <w:rtl/>
        </w:rPr>
        <w:t xml:space="preserve">2. الوضع اليوم في المستودع </w:t>
      </w:r>
      <w:r>
        <w:rPr>
          <w:rFonts w:ascii="Arial" w:cs="Arial" w:eastAsia="Arial" w:hAnsi="Arial"/>
          <w:color w:val="2E9E44"/>
          <w:sz w:val="32"/>
          <w:szCs w:val="32"/>
          <w:rtl/>
        </w:rPr>
        <w:t xml:space="preserve">●</w:t>
      </w:r>
      <w:bookmarkEnd w:id="2"/>
    </w:p>
    <w:p>
      <w:pPr>
        <w:pStyle w:val="ListParagraph"/>
        <w:numPr>
          <w:ilvl w:val="0"/>
          <w:numId w:val="2"/>
        </w:numPr>
        <w:bidi/>
        <w:spacing w:after="70" w:before="0" w:line="300"/>
      </w:pPr>
      <w:r>
        <w:rPr>
          <w:rFonts w:ascii="Arial" w:cs="Arial" w:eastAsia="Arial" w:hAnsi="Arial"/>
          <w:b w:val="false"/>
          <w:bCs w:val="false"/>
          <w:sz w:val="21"/>
          <w:szCs w:val="21"/>
          <w:rtl/>
        </w:rPr>
        <w:t xml:space="preserve">لا إجراء تهيئة ولا بذور. في </w:t>
      </w:r>
      <w:r>
        <w:rPr>
          <w:rFonts w:ascii="Courier New" w:cs="Courier New" w:eastAsia="Courier New" w:hAnsi="Courier New"/>
          <w:b w:val="false"/>
          <w:bCs w:val="false"/>
          <w:color w:val="1F2937"/>
          <w:sz w:val="18"/>
          <w:szCs w:val="18"/>
          <w:shd w:fill="F1F3F5" w:color="auto" w:val="clear"/>
          <w:rtl/>
        </w:rPr>
        <w:t xml:space="preserve">‎db/‎</w:t>
      </w:r>
      <w:r>
        <w:rPr>
          <w:rFonts w:ascii="Arial" w:cs="Arial" w:eastAsia="Arial" w:hAnsi="Arial"/>
          <w:b w:val="false"/>
          <w:bCs w:val="false"/>
          <w:sz w:val="21"/>
          <w:szCs w:val="21"/>
          <w:rtl/>
        </w:rPr>
        <w:t xml:space="preserve"> أربعة إجراءات للدخول والربط وستة قوادح فقط (db/static/030_session_context.sql:23-296، db/static/050_fac_share_rule.sql:26، :62). وثيقة القاعدة تصف التهيئة «خطة لم تُنفَّذ بعد» (docs/20-database-design.md:470-476)، والبذور غير مكتوبة (O-3 في docs/20-database-design.md:531).</w:t>
      </w:r>
    </w:p>
    <w:p>
      <w:pPr>
        <w:pStyle w:val="ListParagraph"/>
        <w:numPr>
          <w:ilvl w:val="0"/>
          <w:numId w:val="2"/>
        </w:numPr>
        <w:bidi/>
        <w:spacing w:after="70" w:before="0" w:line="300"/>
      </w:pPr>
      <w:r>
        <w:rPr>
          <w:rFonts w:ascii="Arial" w:cs="Arial" w:eastAsia="Arial" w:hAnsi="Arial"/>
          <w:b w:val="false"/>
          <w:bCs w:val="false"/>
          <w:sz w:val="21"/>
          <w:szCs w:val="21"/>
          <w:rtl/>
        </w:rPr>
        <w:t xml:space="preserve">جدول المشترك: الحالة الافتراضية TRIAL، والرمز فريد، والقيود تفرض </w:t>
      </w:r>
      <w:r>
        <w:rPr>
          <w:rFonts w:ascii="Courier New" w:cs="Courier New" w:eastAsia="Courier New" w:hAnsi="Courier New"/>
          <w:b w:val="false"/>
          <w:bCs w:val="false"/>
          <w:color w:val="1F2937"/>
          <w:sz w:val="18"/>
          <w:szCs w:val="18"/>
          <w:shd w:fill="F1F3F5" w:color="auto" w:val="clear"/>
          <w:rtl/>
        </w:rPr>
        <w:t xml:space="preserve">‎TrialEndsOn‎</w:t>
      </w:r>
      <w:r>
        <w:rPr>
          <w:rFonts w:ascii="Arial" w:cs="Arial" w:eastAsia="Arial" w:hAnsi="Arial"/>
          <w:b w:val="false"/>
          <w:bCs w:val="false"/>
          <w:sz w:val="21"/>
          <w:szCs w:val="21"/>
          <w:rtl/>
        </w:rPr>
        <w:t xml:space="preserve"> في TRIAL، والسبب في SUSPENDED، و</w:t>
      </w:r>
      <w:r>
        <w:rPr>
          <w:rFonts w:ascii="Courier New" w:cs="Courier New" w:eastAsia="Courier New" w:hAnsi="Courier New"/>
          <w:b w:val="false"/>
          <w:bCs w:val="false"/>
          <w:color w:val="1F2937"/>
          <w:sz w:val="18"/>
          <w:szCs w:val="18"/>
          <w:shd w:fill="F1F3F5" w:color="auto" w:val="clear"/>
          <w:rtl/>
        </w:rPr>
        <w:t xml:space="preserve">‎ClosedAt‎</w:t>
      </w:r>
      <w:r>
        <w:rPr>
          <w:rFonts w:ascii="Arial" w:cs="Arial" w:eastAsia="Arial" w:hAnsi="Arial"/>
          <w:b w:val="false"/>
          <w:bCs w:val="false"/>
          <w:sz w:val="21"/>
          <w:szCs w:val="21"/>
          <w:rtl/>
        </w:rPr>
        <w:t xml:space="preserve"> في CLOSED وما بعدها، و</w:t>
      </w:r>
      <w:r>
        <w:rPr>
          <w:rFonts w:ascii="Courier New" w:cs="Courier New" w:eastAsia="Courier New" w:hAnsi="Courier New"/>
          <w:b w:val="false"/>
          <w:bCs w:val="false"/>
          <w:color w:val="1F2937"/>
          <w:sz w:val="18"/>
          <w:szCs w:val="18"/>
          <w:shd w:fill="F1F3F5" w:color="auto" w:val="clear"/>
          <w:rtl/>
        </w:rPr>
        <w:t xml:space="preserve">‎ArchivedAt‎</w:t>
      </w:r>
      <w:r>
        <w:rPr>
          <w:rFonts w:ascii="Arial" w:cs="Arial" w:eastAsia="Arial" w:hAnsi="Arial"/>
          <w:b w:val="false"/>
          <w:bCs w:val="false"/>
          <w:sz w:val="21"/>
          <w:szCs w:val="21"/>
          <w:rtl/>
        </w:rPr>
        <w:t xml:space="preserve"> في الأرشفة (db/generated/tsql/001_tables.sql:41-72).</w:t>
      </w:r>
    </w:p>
    <w:p>
      <w:pPr>
        <w:pStyle w:val="ListParagraph"/>
        <w:numPr>
          <w:ilvl w:val="0"/>
          <w:numId w:val="2"/>
        </w:numPr>
        <w:bidi/>
        <w:spacing w:after="70" w:before="0" w:line="300"/>
      </w:pPr>
      <w:r>
        <w:rPr>
          <w:rFonts w:ascii="Arial" w:cs="Arial" w:eastAsia="Arial" w:hAnsi="Arial"/>
          <w:b w:val="false"/>
          <w:bCs w:val="false"/>
          <w:sz w:val="21"/>
          <w:szCs w:val="21"/>
          <w:rtl/>
        </w:rPr>
        <w:t xml:space="preserve">قاعدة البيانات بترتيب غير حساس لحالة الأحرف (db/deploy.sql:18)، فالرمز </w:t>
      </w:r>
      <w:r>
        <w:rPr>
          <w:rFonts w:ascii="Courier New" w:cs="Courier New" w:eastAsia="Courier New" w:hAnsi="Courier New"/>
          <w:b w:val="false"/>
          <w:bCs w:val="false"/>
          <w:color w:val="1F2937"/>
          <w:sz w:val="18"/>
          <w:szCs w:val="18"/>
          <w:shd w:fill="F1F3F5" w:color="auto" w:val="clear"/>
          <w:rtl/>
        </w:rPr>
        <w:t xml:space="preserve">‎Acme‎</w:t>
      </w:r>
      <w:r>
        <w:rPr>
          <w:rFonts w:ascii="Arial" w:cs="Arial" w:eastAsia="Arial" w:hAnsi="Arial"/>
          <w:b w:val="false"/>
          <w:bCs w:val="false"/>
          <w:sz w:val="21"/>
          <w:szCs w:val="21"/>
          <w:rtl/>
        </w:rPr>
        <w:t xml:space="preserve"> يساوي </w:t>
      </w:r>
      <w:r>
        <w:rPr>
          <w:rFonts w:ascii="Courier New" w:cs="Courier New" w:eastAsia="Courier New" w:hAnsi="Courier New"/>
          <w:b w:val="false"/>
          <w:bCs w:val="false"/>
          <w:color w:val="1F2937"/>
          <w:sz w:val="18"/>
          <w:szCs w:val="18"/>
          <w:shd w:fill="F1F3F5" w:color="auto" w:val="clear"/>
          <w:rtl/>
        </w:rPr>
        <w:t xml:space="preserve">‎acme‎</w:t>
      </w:r>
      <w:r>
        <w:rPr>
          <w:rFonts w:ascii="Arial" w:cs="Arial" w:eastAsia="Arial" w:hAnsi="Arial"/>
          <w:b w:val="false"/>
          <w:bCs w:val="false"/>
          <w:sz w:val="21"/>
          <w:szCs w:val="21"/>
          <w:rtl/>
        </w:rPr>
        <w:t xml:space="preserve"> في القيد الفريد.</w:t>
      </w:r>
    </w:p>
    <w:p>
      <w:pPr>
        <w:pStyle w:val="ListParagraph"/>
        <w:numPr>
          <w:ilvl w:val="0"/>
          <w:numId w:val="2"/>
        </w:numPr>
        <w:bidi/>
        <w:spacing w:after="70" w:before="0" w:line="300"/>
      </w:pPr>
      <w:r>
        <w:rPr>
          <w:rFonts w:ascii="Arial" w:cs="Arial" w:eastAsia="Arial" w:hAnsi="Arial"/>
          <w:b w:val="false"/>
          <w:bCs w:val="false"/>
          <w:sz w:val="21"/>
          <w:szCs w:val="21"/>
          <w:rtl/>
        </w:rPr>
        <w:t xml:space="preserve">العناوين المحجوزة في </w:t>
      </w:r>
      <w:r>
        <w:rPr>
          <w:rFonts w:ascii="Courier New" w:cs="Courier New" w:eastAsia="Courier New" w:hAnsi="Courier New"/>
          <w:b w:val="false"/>
          <w:bCs w:val="false"/>
          <w:color w:val="1F2937"/>
          <w:sz w:val="18"/>
          <w:szCs w:val="18"/>
          <w:shd w:fill="F1F3F5" w:color="auto" w:val="clear"/>
          <w:rtl/>
        </w:rPr>
        <w:t xml:space="preserve">‎plat.Tenant‎</w:t>
      </w:r>
      <w:r>
        <w:rPr>
          <w:rFonts w:ascii="Arial" w:cs="Arial" w:eastAsia="Arial" w:hAnsi="Arial"/>
          <w:b w:val="false"/>
          <w:bCs w:val="false"/>
          <w:sz w:val="21"/>
          <w:szCs w:val="21"/>
          <w:rtl/>
        </w:rPr>
        <w:t xml:space="preserve"> تُفحص «في التطبيق» (docs/21-data-dictionary.md:110). وتجميد الرمز بعد التفعيل «في التطبيق أو بمحفّز» (docs/21-data-dictionary.md:90)، ولا محفّز له.</w:t>
      </w:r>
    </w:p>
    <w:p>
      <w:pPr>
        <w:pStyle w:val="ListParagraph"/>
        <w:numPr>
          <w:ilvl w:val="0"/>
          <w:numId w:val="2"/>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‎plat.TenantModule‎</w:t>
      </w:r>
      <w:r>
        <w:rPr>
          <w:rFonts w:ascii="Arial" w:cs="Arial" w:eastAsia="Arial" w:hAnsi="Arial"/>
          <w:b w:val="false"/>
          <w:bCs w:val="false"/>
          <w:sz w:val="21"/>
          <w:szCs w:val="21"/>
          <w:rtl/>
        </w:rPr>
        <w:t xml:space="preserve">: وحدة CORE لا تُعطَّل (db/generated/tsql/001_tables.sql:141)، والاعتماديات تُفحص في التطبيق (docs/21-data-dictionary.md:161)، و</w:t>
      </w:r>
      <w:r>
        <w:rPr>
          <w:rFonts w:ascii="Courier New" w:cs="Courier New" w:eastAsia="Courier New" w:hAnsi="Courier New"/>
          <w:b w:val="false"/>
          <w:bCs w:val="false"/>
          <w:color w:val="1F2937"/>
          <w:sz w:val="18"/>
          <w:szCs w:val="18"/>
          <w:shd w:fill="F1F3F5" w:color="auto" w:val="clear"/>
          <w:rtl/>
        </w:rPr>
        <w:t xml:space="preserve">‎EnabledBy‎</w:t>
      </w:r>
      <w:r>
        <w:rPr>
          <w:rFonts w:ascii="Arial" w:cs="Arial" w:eastAsia="Arial" w:hAnsi="Arial"/>
          <w:b w:val="false"/>
          <w:bCs w:val="false"/>
          <w:sz w:val="21"/>
          <w:szCs w:val="21"/>
          <w:rtl/>
        </w:rPr>
        <w:t xml:space="preserve"> فارغ يعني تفعيلًا آليًا من الباقة (docs/21-data-dictionary.md:163).</w:t>
      </w:r>
    </w:p>
    <w:p>
      <w:pPr>
        <w:pStyle w:val="ListParagraph"/>
        <w:numPr>
          <w:ilvl w:val="0"/>
          <w:numId w:val="2"/>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‎tp_platform‎</w:t>
      </w:r>
      <w:r>
        <w:rPr>
          <w:rFonts w:ascii="Arial" w:cs="Arial" w:eastAsia="Arial" w:hAnsi="Arial"/>
          <w:b w:val="false"/>
          <w:bCs w:val="false"/>
          <w:sz w:val="21"/>
          <w:szCs w:val="21"/>
          <w:rtl/>
        </w:rPr>
        <w:t xml:space="preserve"> يكتب جداول </w:t>
      </w:r>
      <w:r>
        <w:rPr>
          <w:rFonts w:ascii="Courier New" w:cs="Courier New" w:eastAsia="Courier New" w:hAnsi="Courier New"/>
          <w:b w:val="false"/>
          <w:bCs w:val="false"/>
          <w:color w:val="1F2937"/>
          <w:sz w:val="18"/>
          <w:szCs w:val="18"/>
          <w:shd w:fill="F1F3F5" w:color="auto" w:val="clear"/>
          <w:rtl/>
        </w:rPr>
        <w:t xml:space="preserve">‎plat‎</w:t>
      </w:r>
      <w:r>
        <w:rPr>
          <w:rFonts w:ascii="Arial" w:cs="Arial" w:eastAsia="Arial" w:hAnsi="Arial"/>
          <w:b w:val="false"/>
          <w:bCs w:val="false"/>
          <w:sz w:val="21"/>
          <w:szCs w:val="21"/>
          <w:rtl/>
        </w:rPr>
        <w:t xml:space="preserve"> العالمية (db/generated/tsql/007_table_grants.sql:9-20) ولا منح له على جداول المشترك (docs/20-database-design.md:117)، لكنه يتجاوز دوال الصفوف (db/static/010_rls.sql:48).</w:t>
      </w:r>
    </w:p>
    <w:p>
      <w:pPr>
        <w:pStyle w:val="ListParagraph"/>
        <w:numPr>
          <w:ilvl w:val="0"/>
          <w:numId w:val="2"/>
        </w:numPr>
        <w:bidi/>
        <w:spacing w:after="70" w:before="0" w:line="300"/>
      </w:pPr>
      <w:r>
        <w:rPr>
          <w:rFonts w:ascii="Arial" w:cs="Arial" w:eastAsia="Arial" w:hAnsi="Arial"/>
          <w:b w:val="false"/>
          <w:bCs w:val="false"/>
          <w:sz w:val="21"/>
          <w:szCs w:val="21"/>
          <w:rtl/>
        </w:rPr>
        <w:t xml:space="preserve">حساب الخدمة </w:t>
      </w:r>
      <w:r>
        <w:rPr>
          <w:rFonts w:ascii="Courier New" w:cs="Courier New" w:eastAsia="Courier New" w:hAnsi="Courier New"/>
          <w:b w:val="false"/>
          <w:bCs w:val="false"/>
          <w:color w:val="1F2937"/>
          <w:sz w:val="18"/>
          <w:szCs w:val="18"/>
          <w:shd w:fill="F1F3F5" w:color="auto" w:val="clear"/>
          <w:rtl/>
        </w:rPr>
        <w:t xml:space="preserve">‎IsSystemUser‎</w:t>
      </w:r>
      <w:r>
        <w:rPr>
          <w:rFonts w:ascii="Arial" w:cs="Arial" w:eastAsia="Arial" w:hAnsi="Arial"/>
          <w:b w:val="false"/>
          <w:bCs w:val="false"/>
          <w:sz w:val="21"/>
          <w:szCs w:val="21"/>
          <w:rtl/>
        </w:rPr>
        <w:t xml:space="preserve"> بلا كلمة مرور ولا MFA (db/generated/tsql/001_tables.sql:214)، ولا يستطيع الربط اليوم (DOC-F04 §5.1).</w:t>
      </w:r>
    </w:p>
    <w:p>
      <w:pPr>
        <w:pStyle w:val="ListParagraph"/>
        <w:numPr>
          <w:ilvl w:val="0"/>
          <w:numId w:val="2"/>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‎cfg.SeedRun‎</w:t>
      </w:r>
      <w:r>
        <w:rPr>
          <w:rFonts w:ascii="Arial" w:cs="Arial" w:eastAsia="Arial" w:hAnsi="Arial"/>
          <w:b w:val="false"/>
          <w:bCs w:val="false"/>
          <w:sz w:val="21"/>
          <w:szCs w:val="21"/>
          <w:rtl/>
        </w:rPr>
        <w:t xml:space="preserve"> جدول مشترك: </w:t>
      </w:r>
      <w:r>
        <w:rPr>
          <w:rFonts w:ascii="Courier New" w:cs="Courier New" w:eastAsia="Courier New" w:hAnsi="Courier New"/>
          <w:b w:val="false"/>
          <w:bCs w:val="false"/>
          <w:color w:val="1F2937"/>
          <w:sz w:val="18"/>
          <w:szCs w:val="18"/>
          <w:shd w:fill="F1F3F5" w:color="auto" w:val="clear"/>
          <w:rtl/>
        </w:rPr>
        <w:t xml:space="preserve">‎TenantId‎</w:t>
      </w:r>
      <w:r>
        <w:rPr>
          <w:rFonts w:ascii="Arial" w:cs="Arial" w:eastAsia="Arial" w:hAnsi="Arial"/>
          <w:b w:val="false"/>
          <w:bCs w:val="false"/>
          <w:sz w:val="21"/>
          <w:szCs w:val="21"/>
          <w:rtl/>
        </w:rPr>
        <w:t xml:space="preserve"> إلزامي (db/generated/tsql/001_tables.sql:933-934). القيد الفريد على </w:t>
      </w:r>
      <w:r>
        <w:rPr>
          <w:rFonts w:ascii="Courier New" w:cs="Courier New" w:eastAsia="Courier New" w:hAnsi="Courier New"/>
          <w:b w:val="false"/>
          <w:bCs w:val="false"/>
          <w:color w:val="1F2937"/>
          <w:sz w:val="18"/>
          <w:szCs w:val="18"/>
          <w:shd w:fill="F1F3F5" w:color="auto" w:val="clear"/>
          <w:rtl/>
        </w:rPr>
        <w:t xml:space="preserve">‎SeedKey‎</w:t>
      </w:r>
      <w:r>
        <w:rPr>
          <w:rFonts w:ascii="Arial" w:cs="Arial" w:eastAsia="Arial" w:hAnsi="Arial"/>
          <w:b w:val="false"/>
          <w:bCs w:val="false"/>
          <w:sz w:val="21"/>
          <w:szCs w:val="21"/>
          <w:rtl/>
        </w:rPr>
        <w:t xml:space="preserve"> في الجداول المبذورة يمنع التكرار، مثل </w:t>
      </w:r>
      <w:r>
        <w:rPr>
          <w:rFonts w:ascii="Courier New" w:cs="Courier New" w:eastAsia="Courier New" w:hAnsi="Courier New"/>
          <w:b w:val="false"/>
          <w:bCs w:val="false"/>
          <w:color w:val="1F2937"/>
          <w:sz w:val="18"/>
          <w:szCs w:val="18"/>
          <w:shd w:fill="F1F3F5" w:color="auto" w:val="clear"/>
          <w:rtl/>
        </w:rPr>
        <w:t xml:space="preserve">‎sec.Role‎</w:t>
      </w:r>
      <w:r>
        <w:rPr>
          <w:rFonts w:ascii="Arial" w:cs="Arial" w:eastAsia="Arial" w:hAnsi="Arial"/>
          <w:b w:val="false"/>
          <w:bCs w:val="false"/>
          <w:sz w:val="21"/>
          <w:szCs w:val="21"/>
          <w:rtl/>
        </w:rPr>
        <w:t xml:space="preserve"> (docs/21-data-dictionary.md:264).</w:t>
      </w:r>
    </w:p>
    <w:p>
      <w:pPr>
        <w:pStyle w:val="ListParagraph"/>
        <w:numPr>
          <w:ilvl w:val="0"/>
          <w:numId w:val="2"/>
        </w:numPr>
        <w:bidi/>
        <w:spacing w:after="70" w:before="0" w:line="300"/>
      </w:pPr>
      <w:r>
        <w:rPr>
          <w:rFonts w:ascii="Arial" w:cs="Arial" w:eastAsia="Arial" w:hAnsi="Arial"/>
          <w:b w:val="false"/>
          <w:bCs w:val="false"/>
          <w:sz w:val="21"/>
          <w:szCs w:val="21"/>
          <w:rtl/>
        </w:rPr>
        <w:t xml:space="preserve">رابط الدعوة صالح 48 ساعة، ويُرسل عبر مرحّل SMTP تهيّئه الاستضافة، منفصلًا عن بريد الإشعارات (FR-PLT-013، docs/10-detailed-analysis/10-m0-m1-platform-organization.md:115). وحالة الإرسال في </w:t>
      </w:r>
      <w:r>
        <w:rPr>
          <w:rFonts w:ascii="Courier New" w:cs="Courier New" w:eastAsia="Courier New" w:hAnsi="Courier New"/>
          <w:b w:val="false"/>
          <w:bCs w:val="false"/>
          <w:color w:val="1F2937"/>
          <w:sz w:val="18"/>
          <w:szCs w:val="18"/>
          <w:shd w:fill="F1F3F5" w:color="auto" w:val="clear"/>
          <w:rtl/>
        </w:rPr>
        <w:t xml:space="preserve">‎sec.UserToken.SendStatus‎</w:t>
      </w:r>
      <w:r>
        <w:rPr>
          <w:rFonts w:ascii="Arial" w:cs="Arial" w:eastAsia="Arial" w:hAnsi="Arial"/>
          <w:b w:val="false"/>
          <w:bCs w:val="false"/>
          <w:sz w:val="21"/>
          <w:szCs w:val="21"/>
          <w:rtl/>
        </w:rPr>
        <w:t xml:space="preserve"> (docs/21-data-dictionary.md:441).</w:t>
      </w:r>
    </w:p>
    <w:p>
      <w:pPr>
        <w:pStyle w:val="ListParagraph"/>
        <w:numPr>
          <w:ilvl w:val="0"/>
          <w:numId w:val="2"/>
        </w:numPr>
        <w:bidi/>
        <w:spacing w:after="70" w:before="0" w:line="300"/>
      </w:pPr>
      <w:r>
        <w:rPr>
          <w:rFonts w:ascii="Arial" w:cs="Arial" w:eastAsia="Arial" w:hAnsi="Arial"/>
          <w:b w:val="false"/>
          <w:bCs w:val="false"/>
          <w:sz w:val="21"/>
          <w:szCs w:val="21"/>
          <w:rtl/>
        </w:rPr>
        <w:t xml:space="preserve">مفتاح بيانات لكل مشترك ملفوف بمفتاح رئيسي خارج القاعدة (BR-PLT-015، docs/10-detailed-analysis/10-m0-m1-platform-organization.md:241). وسر MFA يُشفَّر بمفتاح DATA للمشترك (docs/21-data-dictionary.md:222). حفظ المفتاح الرئيسي قرار مفتوح (docs/adr/0001-schema-work-on-linux.md:26).</w:t>
      </w:r>
    </w:p>
    <w:p>
      <w:pPr>
        <w:pStyle w:val="ListParagraph"/>
        <w:numPr>
          <w:ilvl w:val="0"/>
          <w:numId w:val="2"/>
        </w:numPr>
        <w:bidi/>
        <w:spacing w:after="70" w:before="0" w:line="300"/>
      </w:pPr>
      <w:r>
        <w:rPr>
          <w:rFonts w:ascii="Arial" w:cs="Arial" w:eastAsia="Arial" w:hAnsi="Arial"/>
          <w:b w:val="false"/>
          <w:bCs w:val="false"/>
          <w:sz w:val="21"/>
          <w:szCs w:val="21"/>
          <w:rtl/>
        </w:rPr>
        <w:t xml:space="preserve">المخطط الحالي للتهيئة خطي بلا فشل (docs/10-detailed-analysis/10-m0-m1-platform-organization.md:405-413)، ومخطط الحالات يكتب المؤقتات نصًا على الأسهم (السطور 455-465).</w:t>
      </w:r>
    </w:p>
    <w:p>
      <w:pPr>
        <w:bidi/>
        <w:spacing w:after="60" w:before="0"/>
      </w:pPr>
    </w:p>
    <w:p>
      <w:pPr>
        <w:pStyle w:val="Heading1"/>
        <w:bidi/>
      </w:pPr>
      <w:bookmarkStart w:name="_sec3" w:id="3"/>
      <w:r>
        <w:rPr>
          <w:rFonts w:ascii="Arial" w:cs="Arial" w:eastAsia="Arial" w:hAnsi="Arial"/>
          <w:b/>
          <w:bCs/>
          <w:color w:val="1F3A5F"/>
          <w:sz w:val="32"/>
          <w:szCs w:val="32"/>
          <w:rtl/>
        </w:rPr>
        <w:t xml:space="preserve">3. المشاركون</w:t>
      </w:r>
      <w:bookmarkEnd w:id="3"/>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384"/>
        <w:gridCol w:w="3635"/>
        <w:gridCol w:w="3461"/>
        <w:gridCol w:w="1384"/>
      </w:tblGrid>
      <w:tr>
        <w:trPr>
          <w:cantSplit/>
          <w:tblHeader/>
        </w:trPr>
        <w:tc>
          <w:tcPr>
            <w:tcW w:type="dxa" w:w="138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المشارك</w:t>
            </w:r>
          </w:p>
        </w:tc>
        <w:tc>
          <w:tcPr>
            <w:tcW w:type="dxa" w:w="363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الهوية</w:t>
            </w:r>
          </w:p>
        </w:tc>
        <w:tc>
          <w:tcPr>
            <w:tcW w:type="dxa" w:w="346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الدور في التسلسل</w:t>
            </w:r>
          </w:p>
        </w:tc>
        <w:tc>
          <w:tcPr>
            <w:tcW w:type="dxa" w:w="138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الوثيقة المالكة</w:t>
            </w:r>
          </w:p>
        </w:tc>
      </w:tr>
      <w:tr>
        <w:trPr>
          <w:cantSplit/>
        </w:trPr>
        <w:tc>
          <w:tcPr>
            <w:tcW w:type="dxa" w:w="13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مشغّل المنصة</w:t>
            </w:r>
          </w:p>
        </w:tc>
        <w:tc>
          <w:tcPr>
            <w:tcW w:type="dxa" w:w="36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‎plat.PlatformOperator‎</w:t>
            </w:r>
            <w:r>
              <w:rPr>
                <w:rFonts w:ascii="Arial" w:cs="Arial" w:eastAsia="Arial" w:hAnsi="Arial"/>
                <w:b w:val="false"/>
                <w:bCs w:val="false"/>
                <w:sz w:val="18"/>
                <w:szCs w:val="18"/>
                <w:rtl/>
              </w:rPr>
              <w:t xml:space="preserve"> بدور OPERATOR_ADMIN (FR-PLT-006)</w:t>
            </w:r>
          </w:p>
        </w:tc>
        <w:tc>
          <w:tcPr>
            <w:tcW w:type="dxa" w:w="34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يملأ نموذج المشترك ويعتمده</w:t>
            </w:r>
          </w:p>
        </w:tc>
        <w:tc>
          <w:tcPr>
            <w:tcW w:type="dxa" w:w="13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DOC-F03 لدخوله</w:t>
            </w:r>
          </w:p>
        </w:tc>
      </w:tr>
      <w:tr>
        <w:trPr>
          <w:cantSplit/>
        </w:trPr>
        <w:tc>
          <w:tcPr>
            <w:tcW w:type="dxa" w:w="13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لوحة المشغّل</w:t>
            </w:r>
          </w:p>
        </w:tc>
        <w:tc>
          <w:tcPr>
            <w:tcW w:type="dxa" w:w="36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حساب قاعدة ضمن </w:t>
            </w:r>
            <w:r>
              <w:rPr>
                <w:rFonts w:ascii="Courier New" w:cs="Courier New" w:eastAsia="Courier New" w:hAnsi="Courier New"/>
                <w:b w:val="false"/>
                <w:bCs w:val="false"/>
                <w:color w:val="1F2937"/>
                <w:sz w:val="16"/>
                <w:szCs w:val="16"/>
                <w:shd w:fill="F1F3F5" w:color="auto" w:val="clear"/>
                <w:rtl/>
              </w:rPr>
              <w:t xml:space="preserve">‎tp_platform‎</w:t>
            </w:r>
          </w:p>
        </w:tc>
        <w:tc>
          <w:tcPr>
            <w:tcW w:type="dxa" w:w="34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تستدعي إجراء التسجيل</w:t>
            </w:r>
          </w:p>
        </w:tc>
        <w:tc>
          <w:tcPr>
            <w:tcW w:type="dxa" w:w="13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DOC-S08</w:t>
            </w:r>
          </w:p>
        </w:tc>
      </w:tr>
      <w:tr>
        <w:trPr>
          <w:cantSplit/>
        </w:trPr>
        <w:tc>
          <w:tcPr>
            <w:tcW w:type="dxa" w:w="13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عامل المهام</w:t>
            </w:r>
          </w:p>
        </w:tc>
        <w:tc>
          <w:tcPr>
            <w:tcW w:type="dxa" w:w="36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حساب قاعدة ضمن </w:t>
            </w:r>
            <w:r>
              <w:rPr>
                <w:rFonts w:ascii="Courier New" w:cs="Courier New" w:eastAsia="Courier New" w:hAnsi="Courier New"/>
                <w:b w:val="false"/>
                <w:bCs w:val="false"/>
                <w:color w:val="1F2937"/>
                <w:sz w:val="16"/>
                <w:szCs w:val="16"/>
                <w:shd w:fill="F1F3F5" w:color="auto" w:val="clear"/>
                <w:rtl/>
              </w:rPr>
              <w:t xml:space="preserve">‎tp_app‎</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‎tp_jobs‎</w:t>
            </w:r>
            <w:r>
              <w:rPr>
                <w:rFonts w:ascii="Arial" w:cs="Arial" w:eastAsia="Arial" w:hAnsi="Arial"/>
                <w:b w:val="false"/>
                <w:bCs w:val="false"/>
                <w:sz w:val="18"/>
                <w:szCs w:val="18"/>
                <w:rtl/>
              </w:rPr>
              <w:t xml:space="preserve">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ويربط بحساب الخدمة</w:t>
            </w:r>
          </w:p>
        </w:tc>
        <w:tc>
          <w:tcPr>
            <w:tcW w:type="dxa" w:w="34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يبذر ويصدر الدعوة</w:t>
            </w:r>
          </w:p>
        </w:tc>
        <w:tc>
          <w:tcPr>
            <w:tcW w:type="dxa" w:w="13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DOC-F04 §5</w:t>
            </w:r>
          </w:p>
        </w:tc>
      </w:tr>
      <w:tr>
        <w:trPr>
          <w:cantSplit/>
        </w:trPr>
        <w:tc>
          <w:tcPr>
            <w:tcW w:type="dxa" w:w="13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مخزن المفاتيح</w:t>
            </w:r>
          </w:p>
        </w:tc>
        <w:tc>
          <w:tcPr>
            <w:tcW w:type="dxa" w:w="36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خارج القاعدة</w:t>
            </w:r>
          </w:p>
        </w:tc>
        <w:tc>
          <w:tcPr>
            <w:tcW w:type="dxa" w:w="34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يلف مفاتيح المشترك</w:t>
            </w:r>
          </w:p>
        </w:tc>
        <w:tc>
          <w:tcPr>
            <w:tcW w:type="dxa" w:w="13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DOC-S02</w:t>
            </w:r>
          </w:p>
        </w:tc>
      </w:tr>
      <w:tr>
        <w:trPr>
          <w:cantSplit/>
        </w:trPr>
        <w:tc>
          <w:tcPr>
            <w:tcW w:type="dxa" w:w="13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مرحّل SMTP</w:t>
            </w:r>
          </w:p>
        </w:tc>
        <w:tc>
          <w:tcPr>
            <w:tcW w:type="dxa" w:w="36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خدمة الاستضافة</w:t>
            </w:r>
          </w:p>
        </w:tc>
        <w:tc>
          <w:tcPr>
            <w:tcW w:type="dxa" w:w="34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يرسل الدعوة</w:t>
            </w:r>
          </w:p>
        </w:tc>
        <w:tc>
          <w:tcPr>
            <w:tcW w:type="dxa" w:w="13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DOC-F02 لتدفقها</w:t>
            </w:r>
          </w:p>
        </w:tc>
      </w:tr>
      <w:tr>
        <w:trPr>
          <w:cantSplit/>
        </w:trPr>
        <w:tc>
          <w:tcPr>
            <w:tcW w:type="dxa" w:w="13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DNS وTLS</w:t>
            </w:r>
          </w:p>
        </w:tc>
        <w:tc>
          <w:tcPr>
            <w:tcW w:type="dxa" w:w="36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النطاق </w:t>
            </w:r>
            <w:r>
              <w:rPr>
                <w:rFonts w:ascii="Courier New" w:cs="Courier New" w:eastAsia="Courier New" w:hAnsi="Courier New"/>
                <w:b w:val="false"/>
                <w:bCs w:val="false"/>
                <w:color w:val="1F2937"/>
                <w:sz w:val="16"/>
                <w:szCs w:val="16"/>
                <w:shd w:fill="F1F3F5" w:color="auto" w:val="clear"/>
                <w:rtl/>
              </w:rPr>
              <w:t xml:space="preserve">‎bankfas.com‎</w:t>
            </w:r>
          </w:p>
        </w:tc>
        <w:tc>
          <w:tcPr>
            <w:tcW w:type="dxa" w:w="34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يوجّه </w:t>
            </w:r>
            <w:r>
              <w:rPr>
                <w:rFonts w:ascii="Courier New" w:cs="Courier New" w:eastAsia="Courier New" w:hAnsi="Courier New"/>
                <w:b w:val="false"/>
                <w:bCs w:val="false"/>
                <w:color w:val="1F2937"/>
                <w:sz w:val="16"/>
                <w:szCs w:val="16"/>
                <w:shd w:fill="F1F3F5" w:color="auto" w:val="clear"/>
                <w:rtl/>
              </w:rPr>
              <w:t xml:space="preserve">‎{tenant}.bankfas.com‎</w:t>
            </w:r>
          </w:p>
        </w:tc>
        <w:tc>
          <w:tcPr>
            <w:tcW w:type="dxa" w:w="13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DOC-S05</w:t>
            </w:r>
          </w:p>
        </w:tc>
      </w:tr>
      <w:tr>
        <w:trPr>
          <w:cantSplit/>
        </w:trPr>
        <w:tc>
          <w:tcPr>
            <w:tcW w:type="dxa" w:w="13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مدير الحساب الأول</w:t>
            </w:r>
          </w:p>
        </w:tc>
        <w:tc>
          <w:tcPr>
            <w:tcW w:type="dxa" w:w="36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w:t>
            </w:r>
            <w:r>
              <w:rPr>
                <w:rFonts w:ascii="Arial" w:cs="Arial" w:eastAsia="Arial" w:hAnsi="Arial"/>
                <w:b w:val="false"/>
                <w:bCs w:val="false"/>
                <w:sz w:val="18"/>
                <w:szCs w:val="18"/>
                <w:rtl/>
              </w:rPr>
              <w:t xml:space="preserve"> بحالة INVITED</w:t>
            </w:r>
          </w:p>
        </w:tc>
        <w:tc>
          <w:tcPr>
            <w:tcW w:type="dxa" w:w="34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يكمل الدعوة</w:t>
            </w:r>
          </w:p>
        </w:tc>
        <w:tc>
          <w:tcPr>
            <w:tcW w:type="dxa" w:w="13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DOC-F03 وDOC-F06</w:t>
            </w:r>
          </w:p>
        </w:tc>
      </w:tr>
    </w:tbl>
    <w:p>
      <w:pPr>
        <w:bidi/>
        <w:spacing w:after="120" w:before="0"/>
      </w:pPr>
    </w:p>
    <w:p>
      <w:pPr>
        <w:pStyle w:val="Heading1"/>
        <w:bidi/>
      </w:pPr>
      <w:bookmarkStart w:name="_sec4" w:id="4"/>
      <w:r>
        <w:rPr>
          <w:rFonts w:ascii="Arial" w:cs="Arial" w:eastAsia="Arial" w:hAnsi="Arial"/>
          <w:b/>
          <w:bCs/>
          <w:color w:val="1F3A5F"/>
          <w:sz w:val="32"/>
          <w:szCs w:val="32"/>
          <w:rtl/>
        </w:rPr>
        <w:t xml:space="preserve">4. تسلسل التهيئة </w:t>
      </w:r>
      <w:r>
        <w:rPr>
          <w:rFonts w:ascii="Arial" w:cs="Arial" w:eastAsia="Arial" w:hAnsi="Arial"/>
          <w:color w:val="E0A800"/>
          <w:sz w:val="32"/>
          <w:szCs w:val="32"/>
          <w:rtl/>
        </w:rPr>
        <w:t xml:space="preserve">●</w:t>
      </w:r>
      <w:bookmarkEnd w:id="4"/>
    </w:p>
    <w:p>
      <w:pPr>
        <w:pStyle w:val="Heading2"/>
        <w:bidi/>
      </w:pPr>
      <w:bookmarkStart w:name="_sec5" w:id="5"/>
      <w:r>
        <w:rPr>
          <w:rFonts w:ascii="Arial" w:cs="Arial" w:eastAsia="Arial" w:hAnsi="Arial"/>
          <w:b/>
          <w:bCs/>
          <w:color w:val="2B5C8A"/>
          <w:sz w:val="26"/>
          <w:szCs w:val="26"/>
          <w:rtl/>
        </w:rPr>
        <w:t xml:space="preserve">4.1 المراحل</w:t>
      </w:r>
      <w:bookmarkEnd w:id="5"/>
    </w:p>
    <w:p>
      <w:pPr>
        <w:bidi/>
        <w:spacing w:after="110" w:before="0" w:line="312"/>
      </w:pPr>
      <w:r>
        <w:rPr>
          <w:rFonts w:ascii="Arial" w:cs="Arial" w:eastAsia="Arial" w:hAnsi="Arial"/>
          <w:b w:val="false"/>
          <w:bCs w:val="false"/>
          <w:sz w:val="21"/>
          <w:szCs w:val="21"/>
          <w:rtl/>
        </w:rPr>
        <w:t xml:space="preserve">يتعارض نصّان: وثيقة القاعدة تريد «إجراء منصة واحدًا داخل معاملة واحدة» (docs/20-database-design.md:475)، وFR-PLT-008 يريد بذرًا عبر عقد </w:t>
      </w:r>
      <w:r>
        <w:rPr>
          <w:rFonts w:ascii="Courier New" w:cs="Courier New" w:eastAsia="Courier New" w:hAnsi="Courier New"/>
          <w:b w:val="false"/>
          <w:bCs w:val="false"/>
          <w:color w:val="1F2937"/>
          <w:sz w:val="18"/>
          <w:szCs w:val="18"/>
          <w:shd w:fill="F1F3F5" w:color="auto" w:val="clear"/>
          <w:rtl/>
        </w:rPr>
        <w:t xml:space="preserve">‎ITenantSeeder‎</w:t>
      </w:r>
      <w:r>
        <w:rPr>
          <w:rFonts w:ascii="Arial" w:cs="Arial" w:eastAsia="Arial" w:hAnsi="Arial"/>
          <w:b w:val="false"/>
          <w:bCs w:val="false"/>
          <w:sz w:val="21"/>
          <w:szCs w:val="21"/>
          <w:rtl/>
        </w:rPr>
        <w:t xml:space="preserve"> تسجّل به كل وحدة حزمتها، قابلًا للتكرار (docs/10-detailed-analysis/10-m0-m1-platform-organization.md:110). الحزم كود في التطبيق، و</w:t>
      </w:r>
      <w:r>
        <w:rPr>
          <w:rFonts w:ascii="Courier New" w:cs="Courier New" w:eastAsia="Courier New" w:hAnsi="Courier New"/>
          <w:b w:val="false"/>
          <w:bCs w:val="false"/>
          <w:color w:val="1F2937"/>
          <w:sz w:val="18"/>
          <w:szCs w:val="18"/>
          <w:shd w:fill="F1F3F5" w:color="auto" w:val="clear"/>
          <w:rtl/>
        </w:rPr>
        <w:t xml:space="preserve">‎tp_platform‎</w:t>
      </w:r>
      <w:r>
        <w:rPr>
          <w:rFonts w:ascii="Arial" w:cs="Arial" w:eastAsia="Arial" w:hAnsi="Arial"/>
          <w:b w:val="false"/>
          <w:bCs w:val="false"/>
          <w:sz w:val="21"/>
          <w:szCs w:val="21"/>
          <w:rtl/>
        </w:rPr>
        <w:t xml:space="preserve"> لا يكتب جداول المشترك. لذلك يُقترح تقسيم التهيئة إلى مراحل، لكل مرحلة معاملتها، مع استئناف آمن (DQ-F05-1):</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380"/>
        <w:gridCol w:w="2761"/>
        <w:gridCol w:w="1578"/>
        <w:gridCol w:w="4145"/>
      </w:tblGrid>
      <w:tr>
        <w:trPr>
          <w:cantSplit/>
          <w:tblHeader/>
        </w:trPr>
        <w:tc>
          <w:tcPr>
            <w:tcW w:type="dxa" w:w="138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المرحلة</w:t>
            </w:r>
          </w:p>
        </w:tc>
        <w:tc>
          <w:tcPr>
            <w:tcW w:type="dxa" w:w="276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يجري</w:t>
            </w:r>
          </w:p>
        </w:tc>
        <w:tc>
          <w:tcPr>
            <w:tcW w:type="dxa" w:w="157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داخل معاملة القاعدة؟</w:t>
            </w:r>
          </w:p>
        </w:tc>
        <w:tc>
          <w:tcPr>
            <w:tcW w:type="dxa" w:w="414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من يكتب</w:t>
            </w:r>
          </w:p>
        </w:tc>
      </w:tr>
      <w:tr>
        <w:trPr>
          <w:cantSplit/>
        </w:trPr>
        <w:tc>
          <w:tcPr>
            <w:tcW w:type="dxa" w:w="13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 التسجيل</w:t>
            </w:r>
          </w:p>
        </w:tc>
        <w:tc>
          <w:tcPr>
            <w:tcW w:type="dxa" w:w="27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صف المشترك، الوحدات، حساب الخدمة، صف المدير الأول، التدقيق، حدث </w:t>
            </w:r>
            <w:r>
              <w:rPr>
                <w:rFonts w:ascii="Courier New" w:cs="Courier New" w:eastAsia="Courier New" w:hAnsi="Courier New"/>
                <w:b w:val="false"/>
                <w:bCs w:val="false"/>
                <w:color w:val="1F2937"/>
                <w:sz w:val="16"/>
                <w:szCs w:val="16"/>
                <w:shd w:fill="F1F3F5" w:color="auto" w:val="clear"/>
                <w:rtl/>
              </w:rPr>
              <w:t xml:space="preserve">‎tenant.created‎</w:t>
            </w:r>
          </w:p>
        </w:tc>
        <w:tc>
          <w:tcPr>
            <w:tcW w:type="dxa" w:w="15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 معاملة واحدة</w:t>
            </w:r>
          </w:p>
        </w:tc>
        <w:tc>
          <w:tcPr>
            <w:tcW w:type="dxa" w:w="41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‎plat.usp_CreateTenant‎</w:t>
            </w:r>
            <w:r>
              <w:rPr>
                <w:rFonts w:ascii="Arial" w:cs="Arial" w:eastAsia="Arial" w:hAnsi="Arial"/>
                <w:b w:val="false"/>
                <w:bCs w:val="false"/>
                <w:sz w:val="18"/>
                <w:szCs w:val="18"/>
                <w:rtl/>
              </w:rPr>
              <w:t xml:space="preserve"> يستدعيه </w:t>
            </w:r>
            <w:r>
              <w:rPr>
                <w:rFonts w:ascii="Courier New" w:cs="Courier New" w:eastAsia="Courier New" w:hAnsi="Courier New"/>
                <w:b w:val="false"/>
                <w:bCs w:val="false"/>
                <w:color w:val="1F2937"/>
                <w:sz w:val="16"/>
                <w:szCs w:val="16"/>
                <w:shd w:fill="F1F3F5" w:color="auto" w:val="clear"/>
                <w:rtl/>
              </w:rPr>
              <w:t xml:space="preserve">‎tp_platform‎</w:t>
            </w:r>
          </w:p>
        </w:tc>
      </w:tr>
      <w:tr>
        <w:trPr>
          <w:cantSplit/>
        </w:trPr>
        <w:tc>
          <w:tcPr>
            <w:tcW w:type="dxa" w:w="138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 البذر</w:t>
            </w:r>
          </w:p>
        </w:tc>
        <w:tc>
          <w:tcPr>
            <w:tcW w:type="dxa" w:w="27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مفاتيح المشترك، ثم حزمة لكل وحدة</w:t>
            </w:r>
          </w:p>
        </w:tc>
        <w:tc>
          <w:tcPr>
            <w:tcW w:type="dxa" w:w="15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 معاملة لكل حزمة</w:t>
            </w:r>
          </w:p>
        </w:tc>
        <w:tc>
          <w:tcPr>
            <w:tcW w:type="dxa" w:w="41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عامل المهام مربوطًا بحساب الخدمة</w:t>
            </w:r>
          </w:p>
        </w:tc>
      </w:tr>
      <w:tr>
        <w:trPr>
          <w:cantSplit/>
        </w:trPr>
        <w:tc>
          <w:tcPr>
            <w:tcW w:type="dxa" w:w="13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 الدعوة</w:t>
            </w:r>
          </w:p>
        </w:tc>
        <w:tc>
          <w:tcPr>
            <w:tcW w:type="dxa" w:w="27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إسناد دور TA للمدير الأول ورمز الدعوة</w:t>
            </w:r>
          </w:p>
        </w:tc>
        <w:tc>
          <w:tcPr>
            <w:tcW w:type="dxa" w:w="15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 معاملة واحدة</w:t>
            </w:r>
          </w:p>
        </w:tc>
        <w:tc>
          <w:tcPr>
            <w:tcW w:type="dxa" w:w="41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عامل المهام</w:t>
            </w:r>
          </w:p>
        </w:tc>
      </w:tr>
      <w:tr>
        <w:trPr>
          <w:cantSplit/>
        </w:trPr>
        <w:tc>
          <w:tcPr>
            <w:tcW w:type="dxa" w:w="138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 الإرسال</w:t>
            </w:r>
          </w:p>
        </w:tc>
        <w:tc>
          <w:tcPr>
            <w:tcW w:type="dxa" w:w="27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بريد الدعوة</w:t>
            </w:r>
          </w:p>
        </w:tc>
        <w:tc>
          <w:tcPr>
            <w:tcW w:type="dxa" w:w="15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c>
          <w:tcPr>
            <w:tcW w:type="dxa" w:w="41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عامل المهام عبر SMTP</w:t>
            </w:r>
          </w:p>
        </w:tc>
      </w:tr>
      <w:tr>
        <w:trPr>
          <w:cantSplit/>
        </w:trPr>
        <w:tc>
          <w:tcPr>
            <w:tcW w:type="dxa" w:w="13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هـ. القبول</w:t>
            </w:r>
          </w:p>
        </w:tc>
        <w:tc>
          <w:tcPr>
            <w:tcW w:type="dxa" w:w="27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كلمة المرور وMFA وتفعيل المدير</w:t>
            </w:r>
          </w:p>
        </w:tc>
        <w:tc>
          <w:tcPr>
            <w:tcW w:type="dxa" w:w="15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خارج هذه الوثيقة</w:t>
            </w:r>
          </w:p>
        </w:tc>
        <w:tc>
          <w:tcPr>
            <w:tcW w:type="dxa" w:w="41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DOC-F03</w:t>
            </w:r>
          </w:p>
        </w:tc>
      </w:tr>
    </w:tbl>
    <w:p>
      <w:pPr>
        <w:bidi/>
        <w:spacing w:after="120" w:before="0"/>
      </w:pPr>
    </w:p>
    <w:p>
      <w:pPr>
        <w:bidi/>
        <w:spacing w:after="110" w:before="0" w:line="312"/>
      </w:pPr>
      <w:r>
        <w:rPr>
          <w:rFonts w:ascii="Arial" w:cs="Arial" w:eastAsia="Arial" w:hAnsi="Arial"/>
          <w:b w:val="false"/>
          <w:bCs w:val="false"/>
          <w:sz w:val="21"/>
          <w:szCs w:val="21"/>
          <w:rtl/>
        </w:rPr>
        <w:t xml:space="preserve">هذا يحسم O-12 (20-database-design) للتهيئة: المرحلة أ لا تحتاج سياقًا لأن </w:t>
      </w:r>
      <w:r>
        <w:rPr>
          <w:rFonts w:ascii="Courier New" w:cs="Courier New" w:eastAsia="Courier New" w:hAnsi="Courier New"/>
          <w:b w:val="false"/>
          <w:bCs w:val="false"/>
          <w:color w:val="1F2937"/>
          <w:sz w:val="18"/>
          <w:szCs w:val="18"/>
          <w:shd w:fill="F1F3F5" w:color="auto" w:val="clear"/>
          <w:rtl/>
        </w:rPr>
        <w:t xml:space="preserve">‎tp_platform‎</w:t>
      </w:r>
      <w:r>
        <w:rPr>
          <w:rFonts w:ascii="Arial" w:cs="Arial" w:eastAsia="Arial" w:hAnsi="Arial"/>
          <w:b w:val="false"/>
          <w:bCs w:val="false"/>
          <w:sz w:val="21"/>
          <w:szCs w:val="21"/>
          <w:rtl/>
        </w:rPr>
        <w:t xml:space="preserve"> معفى من دوال الصفوف (db/static/010_rls.sql:48)، والإجراء يملكه </w:t>
      </w:r>
      <w:r>
        <w:rPr>
          <w:rFonts w:ascii="Courier New" w:cs="Courier New" w:eastAsia="Courier New" w:hAnsi="Courier New"/>
          <w:b w:val="false"/>
          <w:bCs w:val="false"/>
          <w:color w:val="1F2937"/>
          <w:sz w:val="18"/>
          <w:szCs w:val="18"/>
          <w:shd w:fill="F1F3F5" w:color="auto" w:val="clear"/>
          <w:rtl/>
        </w:rPr>
        <w:t xml:space="preserve">‎dbo‎</w:t>
      </w:r>
      <w:r>
        <w:rPr>
          <w:rFonts w:ascii="Arial" w:cs="Arial" w:eastAsia="Arial" w:hAnsi="Arial"/>
          <w:b w:val="false"/>
          <w:bCs w:val="false"/>
          <w:sz w:val="21"/>
          <w:szCs w:val="21"/>
          <w:rtl/>
        </w:rPr>
        <w:t xml:space="preserve"> مثل الجداول (db/generated/tsql/000_schemas.sql:34، :42)، فتسمح سلسلة الملكية بالإدراج كما في العروض (db/static/025_tenant_views.sql:4). والمرحلتان ب وج تربطان بالمشترك الجديد بمسار المهام نفسه (DOC-F04 §5.2).</w:t>
      </w:r>
    </w:p>
    <w:p>
      <w:pPr>
        <w:bidi/>
        <w:spacing w:after="110" w:before="0" w:line="312"/>
      </w:pPr>
      <w:r>
        <w:rPr>
          <w:rFonts w:ascii="Arial" w:cs="Arial" w:eastAsia="Arial" w:hAnsi="Arial"/>
          <w:b w:val="false"/>
          <w:bCs w:val="false"/>
          <w:sz w:val="21"/>
          <w:szCs w:val="21"/>
          <w:rtl/>
        </w:rPr>
        <w:t xml:space="preserve">لا يُكشف المشترك الناقص لأحد: المدير الأول INVITED بلا كلمة مرور، فلا دخول قبل المرحلة هـ (db/static/030_session_context.sql:82-83)، ولا يُرسل رابط الدعوة قبل نجاح كل الحزم.</w:t>
      </w:r>
    </w:p>
    <w:p>
      <w:pPr>
        <w:pStyle w:val="Heading2"/>
        <w:bidi/>
      </w:pPr>
      <w:bookmarkStart w:name="_sec6" w:id="6"/>
      <w:r>
        <w:rPr>
          <w:rFonts w:ascii="Arial" w:cs="Arial" w:eastAsia="Arial" w:hAnsi="Arial"/>
          <w:b/>
          <w:bCs/>
          <w:color w:val="2B5C8A"/>
          <w:sz w:val="26"/>
          <w:szCs w:val="26"/>
          <w:rtl/>
        </w:rPr>
        <w:t xml:space="preserve">4.2 المرحلة أ: التسجيل</w:t>
      </w:r>
      <w:bookmarkEnd w:id="6"/>
    </w:p>
    <w:p>
      <w:pPr>
        <w:keepNext/>
        <w:bidi/>
        <w:spacing w:after="60" w:before="160"/>
        <w:jc w:val="center"/>
      </w:pPr>
      <w:r>
        <w:drawing>
          <wp:inline distT="0" distB="0" distL="0" distR="0">
            <wp:extent cx="6096000" cy="2562225"/>
            <wp:effectExtent t="0" r="0" b="0" l="0"/>
            <wp:docPr id="1" name="diagram-1.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6096000" cy="2562225"/>
                    </a:xfrm>
                    <a:prstGeom prst="rect">
                      <a:avLst/>
                    </a:prstGeom>
                  </pic:spPr>
                </pic:pic>
              </a:graphicData>
            </a:graphic>
          </wp:inline>
        </w:drawing>
      </w:r>
    </w:p>
    <w:p>
      <w:pPr>
        <w:bidi/>
        <w:spacing w:after="110" w:before="0" w:line="312"/>
      </w:pPr>
      <w:r>
        <w:rPr>
          <w:rFonts w:ascii="Arial" w:cs="Arial" w:eastAsia="Arial" w:hAnsi="Arial"/>
          <w:b w:val="false"/>
          <w:bCs w:val="false"/>
          <w:sz w:val="21"/>
          <w:szCs w:val="21"/>
          <w:rtl/>
        </w:rPr>
        <w:t xml:space="preserve">قواعد المرحلة أ:</w:t>
      </w:r>
    </w:p>
    <w:p>
      <w:pPr>
        <w:pStyle w:val="ListParagraph"/>
        <w:numPr>
          <w:ilvl w:val="0"/>
          <w:numId w:val="2"/>
        </w:numPr>
        <w:bidi/>
        <w:spacing w:after="70" w:before="0" w:line="300"/>
      </w:pPr>
      <w:r>
        <w:rPr>
          <w:rFonts w:ascii="Arial" w:cs="Arial" w:eastAsia="Arial" w:hAnsi="Arial"/>
          <w:b w:val="false"/>
          <w:bCs w:val="false"/>
          <w:sz w:val="21"/>
          <w:szCs w:val="21"/>
          <w:rtl/>
        </w:rPr>
        <w:t xml:space="preserve">يُحوَّل الرمز إلى أحرف صغيرة قبل الحفظ، لأن تسمية DNS لا تميّز الحالة. صيغته يفرضها القيد (db/generated/tsql/001_tables.sql:66). </w:t>
      </w:r>
      <w:r>
        <w:rPr>
          <w:rFonts w:ascii="Arial" w:cs="Arial" w:eastAsia="Arial" w:hAnsi="Arial"/>
          <w:color w:val="E0A800"/>
          <w:sz w:val="21"/>
          <w:szCs w:val="21"/>
          <w:rtl/>
        </w:rPr>
        <w:t xml:space="preserve">●</w:t>
      </w:r>
    </w:p>
    <w:p>
      <w:pPr>
        <w:pStyle w:val="ListParagraph"/>
        <w:numPr>
          <w:ilvl w:val="0"/>
          <w:numId w:val="2"/>
        </w:numPr>
        <w:bidi/>
        <w:spacing w:after="70" w:before="0" w:line="300"/>
      </w:pPr>
      <w:r>
        <w:rPr>
          <w:rFonts w:ascii="Arial" w:cs="Arial" w:eastAsia="Arial" w:hAnsi="Arial"/>
          <w:b w:val="false"/>
          <w:bCs w:val="false"/>
          <w:sz w:val="21"/>
          <w:szCs w:val="21"/>
          <w:rtl/>
        </w:rPr>
        <w:t xml:space="preserve">يُرفض الرمز إن طابق </w:t>
      </w:r>
      <w:r>
        <w:rPr>
          <w:rFonts w:ascii="Courier New" w:cs="Courier New" w:eastAsia="Courier New" w:hAnsi="Courier New"/>
          <w:b w:val="false"/>
          <w:bCs w:val="false"/>
          <w:color w:val="1F2937"/>
          <w:sz w:val="18"/>
          <w:szCs w:val="18"/>
          <w:shd w:fill="F1F3F5" w:color="auto" w:val="clear"/>
          <w:rtl/>
        </w:rPr>
        <w:t xml:space="preserve">‎plat.ReservedSubdomain‎</w:t>
      </w:r>
      <w:r>
        <w:rPr>
          <w:rFonts w:ascii="Arial" w:cs="Arial" w:eastAsia="Arial" w:hAnsi="Arial"/>
          <w:b w:val="false"/>
          <w:bCs w:val="false"/>
          <w:sz w:val="21"/>
          <w:szCs w:val="21"/>
          <w:rtl/>
        </w:rPr>
        <w:t xml:space="preserve"> (FR-PLT-046، docs/10-detailed-analysis/10-m0-m1-platform-organization.md:148)، ويفحصه الإجراء نفسه لا الواجهة وحدها. </w:t>
      </w:r>
      <w:r>
        <w:rPr>
          <w:rFonts w:ascii="Arial" w:cs="Arial" w:eastAsia="Arial" w:hAnsi="Arial"/>
          <w:color w:val="E0A800"/>
          <w:sz w:val="21"/>
          <w:szCs w:val="21"/>
          <w:rtl/>
        </w:rPr>
        <w:t xml:space="preserve">●</w:t>
      </w:r>
    </w:p>
    <w:p>
      <w:pPr>
        <w:pStyle w:val="ListParagraph"/>
        <w:numPr>
          <w:ilvl w:val="0"/>
          <w:numId w:val="2"/>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‎TrialEndsOn‎</w:t>
      </w:r>
      <w:r>
        <w:rPr>
          <w:rFonts w:ascii="Arial" w:cs="Arial" w:eastAsia="Arial" w:hAnsi="Arial"/>
          <w:b w:val="false"/>
          <w:bCs w:val="false"/>
          <w:sz w:val="21"/>
          <w:szCs w:val="21"/>
          <w:rtl/>
        </w:rPr>
        <w:t xml:space="preserve"> = تاريخ الإنشاء بتوقيت المشترك + 30 يومًا (FR-PLT-001، docs/10-detailed-analysis/10-m0-m1-platform-organization.md:103).</w:t>
      </w:r>
    </w:p>
    <w:p>
      <w:pPr>
        <w:pStyle w:val="ListParagraph"/>
        <w:numPr>
          <w:ilvl w:val="0"/>
          <w:numId w:val="2"/>
        </w:numPr>
        <w:bidi/>
        <w:spacing w:after="70" w:before="0" w:line="300"/>
      </w:pPr>
      <w:r>
        <w:rPr>
          <w:rFonts w:ascii="Arial" w:cs="Arial" w:eastAsia="Arial" w:hAnsi="Arial"/>
          <w:b w:val="false"/>
          <w:bCs w:val="false"/>
          <w:sz w:val="21"/>
          <w:szCs w:val="21"/>
          <w:rtl/>
        </w:rPr>
        <w:t xml:space="preserve">حساب الخدمة يحتاج بريدًا فريدًا واسمًا معروضًا (db/generated/tsql/001_tables.sql:207، :209). يُقترح بريد غير قابل للتوصيل بنطاق </w:t>
      </w:r>
      <w:r>
        <w:rPr>
          <w:rFonts w:ascii="Courier New" w:cs="Courier New" w:eastAsia="Courier New" w:hAnsi="Courier New"/>
          <w:b w:val="false"/>
          <w:bCs w:val="false"/>
          <w:color w:val="1F2937"/>
          <w:sz w:val="18"/>
          <w:szCs w:val="18"/>
          <w:shd w:fill="F1F3F5" w:color="auto" w:val="clear"/>
          <w:rtl/>
        </w:rPr>
        <w:t xml:space="preserve">‎.invalid‎</w:t>
      </w:r>
      <w:r>
        <w:rPr>
          <w:rFonts w:ascii="Arial" w:cs="Arial" w:eastAsia="Arial" w:hAnsi="Arial"/>
          <w:b w:val="false"/>
          <w:bCs w:val="false"/>
          <w:sz w:val="21"/>
          <w:szCs w:val="21"/>
          <w:rtl/>
        </w:rPr>
        <w:t xml:space="preserve"> واسم ثابت. </w:t>
      </w:r>
      <w:r>
        <w:rPr>
          <w:rFonts w:ascii="Arial" w:cs="Arial" w:eastAsia="Arial" w:hAnsi="Arial"/>
          <w:color w:val="E0A800"/>
          <w:sz w:val="21"/>
          <w:szCs w:val="21"/>
          <w:rtl/>
        </w:rPr>
        <w:t xml:space="preserve">●</w:t>
      </w:r>
    </w:p>
    <w:p>
      <w:pPr>
        <w:pStyle w:val="ListParagraph"/>
        <w:numPr>
          <w:ilvl w:val="0"/>
          <w:numId w:val="2"/>
        </w:numPr>
        <w:bidi/>
        <w:spacing w:after="70" w:before="0" w:line="300"/>
      </w:pPr>
      <w:r>
        <w:rPr>
          <w:rFonts w:ascii="Arial" w:cs="Arial" w:eastAsia="Arial" w:hAnsi="Arial"/>
          <w:b w:val="false"/>
          <w:bCs w:val="false"/>
          <w:sz w:val="21"/>
          <w:szCs w:val="21"/>
          <w:rtl/>
        </w:rPr>
        <w:t xml:space="preserve">الإجراء لا يستعمل SQL ديناميكيًا، لأنه يكسر سلسلة الملكية. ويأخذ </w:t>
      </w:r>
      <w:r>
        <w:rPr>
          <w:rFonts w:ascii="Courier New" w:cs="Courier New" w:eastAsia="Courier New" w:hAnsi="Courier New"/>
          <w:b w:val="false"/>
          <w:bCs w:val="false"/>
          <w:color w:val="1F2937"/>
          <w:sz w:val="18"/>
          <w:szCs w:val="18"/>
          <w:shd w:fill="F1F3F5" w:color="auto" w:val="clear"/>
          <w:rtl/>
        </w:rPr>
        <w:t xml:space="preserve">‎TenantId‎</w:t>
      </w:r>
      <w:r>
        <w:rPr>
          <w:rFonts w:ascii="Arial" w:cs="Arial" w:eastAsia="Arial" w:hAnsi="Arial"/>
          <w:b w:val="false"/>
          <w:bCs w:val="false"/>
          <w:sz w:val="21"/>
          <w:szCs w:val="21"/>
          <w:rtl/>
        </w:rPr>
        <w:t xml:space="preserve"> من الصف الذي أنشأه فقط، فلا يلمس مشتركًا آخر رغم إعفاء </w:t>
      </w:r>
      <w:r>
        <w:rPr>
          <w:rFonts w:ascii="Courier New" w:cs="Courier New" w:eastAsia="Courier New" w:hAnsi="Courier New"/>
          <w:b w:val="false"/>
          <w:bCs w:val="false"/>
          <w:color w:val="1F2937"/>
          <w:sz w:val="18"/>
          <w:szCs w:val="18"/>
          <w:shd w:fill="F1F3F5" w:color="auto" w:val="clear"/>
          <w:rtl/>
        </w:rPr>
        <w:t xml:space="preserve">‎tp_platform‎</w:t>
      </w:r>
      <w:r>
        <w:rPr>
          <w:rFonts w:ascii="Arial" w:cs="Arial" w:eastAsia="Arial" w:hAnsi="Arial"/>
          <w:b w:val="false"/>
          <w:bCs w:val="false"/>
          <w:sz w:val="21"/>
          <w:szCs w:val="21"/>
          <w:rtl/>
        </w:rPr>
        <w:t xml:space="preserve">. </w:t>
      </w:r>
      <w:r>
        <w:rPr>
          <w:rFonts w:ascii="Arial" w:cs="Arial" w:eastAsia="Arial" w:hAnsi="Arial"/>
          <w:color w:val="E0A800"/>
          <w:sz w:val="21"/>
          <w:szCs w:val="21"/>
          <w:rtl/>
        </w:rPr>
        <w:t xml:space="preserve">●</w:t>
      </w:r>
    </w:p>
    <w:p>
      <w:pPr>
        <w:pStyle w:val="ListParagraph"/>
        <w:numPr>
          <w:ilvl w:val="0"/>
          <w:numId w:val="2"/>
        </w:numPr>
        <w:bidi/>
        <w:spacing w:after="70" w:before="0" w:line="300"/>
      </w:pPr>
      <w:r>
        <w:rPr>
          <w:rFonts w:ascii="Arial" w:cs="Arial" w:eastAsia="Arial" w:hAnsi="Arial"/>
          <w:b w:val="false"/>
          <w:bCs w:val="false"/>
          <w:sz w:val="21"/>
          <w:szCs w:val="21"/>
          <w:rtl/>
        </w:rPr>
        <w:t xml:space="preserve">حدث </w:t>
      </w:r>
      <w:r>
        <w:rPr>
          <w:rFonts w:ascii="Courier New" w:cs="Courier New" w:eastAsia="Courier New" w:hAnsi="Courier New"/>
          <w:b w:val="false"/>
          <w:bCs w:val="false"/>
          <w:color w:val="1F2937"/>
          <w:sz w:val="18"/>
          <w:szCs w:val="18"/>
          <w:shd w:fill="F1F3F5" w:color="auto" w:val="clear"/>
          <w:rtl/>
        </w:rPr>
        <w:t xml:space="preserve">‎tenant.created‎</w:t>
      </w:r>
      <w:r>
        <w:rPr>
          <w:rFonts w:ascii="Arial" w:cs="Arial" w:eastAsia="Arial" w:hAnsi="Arial"/>
          <w:b w:val="false"/>
          <w:bCs w:val="false"/>
          <w:sz w:val="21"/>
          <w:szCs w:val="21"/>
          <w:rtl/>
        </w:rPr>
        <w:t xml:space="preserve"> في المعاملة نفسها يوقظ مهمة التهيئة (نمط Outbox، FR-PLT-042 في docs/10-detailed-analysis/10-m0-m1-platform-organization.md:144). </w:t>
      </w:r>
      <w:r>
        <w:rPr>
          <w:rFonts w:ascii="Arial" w:cs="Arial" w:eastAsia="Arial" w:hAnsi="Arial"/>
          <w:color w:val="E0A800"/>
          <w:sz w:val="21"/>
          <w:szCs w:val="21"/>
          <w:rtl/>
        </w:rPr>
        <w:t xml:space="preserve">●</w:t>
      </w:r>
    </w:p>
    <w:p>
      <w:pPr>
        <w:bidi/>
        <w:spacing w:after="60" w:before="0"/>
      </w:pPr>
    </w:p>
    <w:p>
      <w:pPr>
        <w:pStyle w:val="Heading2"/>
        <w:bidi/>
      </w:pPr>
      <w:bookmarkStart w:name="_sec7" w:id="7"/>
      <w:r>
        <w:rPr>
          <w:rFonts w:ascii="Arial" w:cs="Arial" w:eastAsia="Arial" w:hAnsi="Arial"/>
          <w:b/>
          <w:bCs/>
          <w:color w:val="2B5C8A"/>
          <w:sz w:val="26"/>
          <w:szCs w:val="26"/>
          <w:rtl/>
        </w:rPr>
        <w:t xml:space="preserve">4.3 المرحلتان ب وج: البذر والدعوة</w:t>
      </w:r>
      <w:bookmarkEnd w:id="7"/>
    </w:p>
    <w:p>
      <w:pPr>
        <w:keepNext/>
        <w:bidi/>
        <w:spacing w:after="60" w:before="160"/>
        <w:jc w:val="center"/>
      </w:pPr>
      <w:r>
        <w:drawing>
          <wp:inline distT="0" distB="0" distL="0" distR="0">
            <wp:extent cx="6096000" cy="3152775"/>
            <wp:effectExtent t="0" r="0" b="0" l="0"/>
            <wp:docPr id="1" name="diagram-2.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6096000" cy="3152775"/>
                    </a:xfrm>
                    <a:prstGeom prst="rect">
                      <a:avLst/>
                    </a:prstGeom>
                  </pic:spPr>
                </pic:pic>
              </a:graphicData>
            </a:graphic>
          </wp:inline>
        </w:drawing>
      </w:r>
    </w:p>
    <w:p>
      <w:pPr>
        <w:bidi/>
        <w:spacing w:after="110" w:before="0" w:line="312"/>
      </w:pPr>
      <w:r>
        <w:rPr>
          <w:rFonts w:ascii="Arial" w:cs="Arial" w:eastAsia="Arial" w:hAnsi="Arial"/>
          <w:b w:val="false"/>
          <w:bCs w:val="false"/>
          <w:sz w:val="21"/>
          <w:szCs w:val="21"/>
          <w:rtl/>
        </w:rPr>
        <w:t xml:space="preserve">ترتيب الحزم المقترح: المفاتيح أولًا، ثم الأدوار والصلاحيات (ومنها دور TA ودور حساب الخدمة)، ثم الإعدادات </w:t>
      </w:r>
      <w:r>
        <w:rPr>
          <w:rFonts w:ascii="Courier New" w:cs="Courier New" w:eastAsia="Courier New" w:hAnsi="Courier New"/>
          <w:b w:val="false"/>
          <w:bCs w:val="false"/>
          <w:color w:val="1F2937"/>
          <w:sz w:val="18"/>
          <w:szCs w:val="18"/>
          <w:shd w:fill="F1F3F5" w:color="auto" w:val="clear"/>
          <w:rtl/>
        </w:rPr>
        <w:t xml:space="preserve">‎cfg.TenantSetting‎</w:t>
      </w:r>
      <w:r>
        <w:rPr>
          <w:rFonts w:ascii="Arial" w:cs="Arial" w:eastAsia="Arial" w:hAnsi="Arial"/>
          <w:b w:val="false"/>
          <w:bCs w:val="false"/>
          <w:sz w:val="21"/>
          <w:szCs w:val="21"/>
          <w:rtl/>
        </w:rPr>
        <w:t xml:space="preserve">، ثم الإدارات وأنواع المستندات والأشكال القانونية والمناصب وأنواع الصلاحيات، ثم تعريفات الترقيم، ثم كتالوجات النظام المنسوخة (docs/20-database-design.md:421-428)، ثم قوالب دورات العمل وقواعد الإشعارات وملفات KYC. المحتوى ومصدر القوالب في DOC-B05. </w:t>
      </w:r>
      <w:r>
        <w:rPr>
          <w:rFonts w:ascii="Arial" w:cs="Arial" w:eastAsia="Arial" w:hAnsi="Arial"/>
          <w:color w:val="E0A800"/>
          <w:sz w:val="21"/>
          <w:szCs w:val="21"/>
          <w:rtl/>
        </w:rPr>
        <w:t xml:space="preserve">●</w:t>
      </w:r>
    </w:p>
    <w:p>
      <w:pPr>
        <w:bidi/>
        <w:spacing w:after="110" w:before="0" w:line="312"/>
      </w:pPr>
      <w:r>
        <w:rPr>
          <w:rFonts w:ascii="Arial" w:cs="Arial" w:eastAsia="Arial" w:hAnsi="Arial"/>
          <w:b w:val="false"/>
          <w:bCs w:val="false"/>
          <w:sz w:val="21"/>
          <w:szCs w:val="21"/>
          <w:rtl/>
        </w:rPr>
        <w:t xml:space="preserve">قواعد المرحلتين:</w:t>
      </w:r>
    </w:p>
    <w:p>
      <w:pPr>
        <w:pStyle w:val="ListParagraph"/>
        <w:numPr>
          <w:ilvl w:val="0"/>
          <w:numId w:val="2"/>
        </w:numPr>
        <w:bidi/>
        <w:spacing w:after="70" w:before="0" w:line="300"/>
      </w:pPr>
      <w:r>
        <w:rPr>
          <w:rFonts w:ascii="Arial" w:cs="Arial" w:eastAsia="Arial" w:hAnsi="Arial"/>
          <w:b w:val="false"/>
          <w:bCs w:val="false"/>
          <w:sz w:val="21"/>
          <w:szCs w:val="21"/>
          <w:rtl/>
        </w:rPr>
        <w:t xml:space="preserve">كل حزمة في معاملة واحدة، ويُكتب سطر </w:t>
      </w:r>
      <w:r>
        <w:rPr>
          <w:rFonts w:ascii="Courier New" w:cs="Courier New" w:eastAsia="Courier New" w:hAnsi="Courier New"/>
          <w:b w:val="false"/>
          <w:bCs w:val="false"/>
          <w:color w:val="1F2937"/>
          <w:sz w:val="18"/>
          <w:szCs w:val="18"/>
          <w:shd w:fill="F1F3F5" w:color="auto" w:val="clear"/>
          <w:rtl/>
        </w:rPr>
        <w:t xml:space="preserve">‎cfg.SeedRun‎</w:t>
      </w:r>
      <w:r>
        <w:rPr>
          <w:rFonts w:ascii="Arial" w:cs="Arial" w:eastAsia="Arial" w:hAnsi="Arial"/>
          <w:b w:val="false"/>
          <w:bCs w:val="false"/>
          <w:sz w:val="21"/>
          <w:szCs w:val="21"/>
          <w:rtl/>
        </w:rPr>
        <w:t xml:space="preserve"> بالنتيجة. الحزمة الناجحة لا تُعاد، والصف الذي عدّله المشترك لا يُستبدل (FR-PLT-008).</w:t>
      </w:r>
    </w:p>
    <w:p>
      <w:pPr>
        <w:pStyle w:val="ListParagraph"/>
        <w:numPr>
          <w:ilvl w:val="0"/>
          <w:numId w:val="2"/>
        </w:numPr>
        <w:bidi/>
        <w:spacing w:after="70" w:before="0" w:line="300"/>
      </w:pPr>
      <w:r>
        <w:rPr>
          <w:rFonts w:ascii="Arial" w:cs="Arial" w:eastAsia="Arial" w:hAnsi="Arial"/>
          <w:b w:val="false"/>
          <w:bCs w:val="false"/>
          <w:sz w:val="21"/>
          <w:szCs w:val="21"/>
          <w:rtl/>
        </w:rPr>
        <w:t xml:space="preserve">الدعوة تُنشأ بعد نجاح كل الحزم المطلوبة فقط. ترتيب المخطط الحالي (الدعوة قبل البذر) يُعكس، لأن دور TA يجب أن يوجد قبل إسناده (docs/10-detailed-analysis/10-m0-m1-platform-organization.md:409-411).</w:t>
      </w:r>
    </w:p>
    <w:p>
      <w:pPr>
        <w:pStyle w:val="ListParagraph"/>
        <w:numPr>
          <w:ilvl w:val="0"/>
          <w:numId w:val="2"/>
        </w:numPr>
        <w:bidi/>
        <w:spacing w:after="70" w:before="0" w:line="300"/>
      </w:pPr>
      <w:r>
        <w:rPr>
          <w:rFonts w:ascii="Arial" w:cs="Arial" w:eastAsia="Arial" w:hAnsi="Arial"/>
          <w:b w:val="false"/>
          <w:bCs w:val="false"/>
          <w:sz w:val="21"/>
          <w:szCs w:val="21"/>
          <w:rtl/>
        </w:rPr>
        <w:t xml:space="preserve">البريد يُرسل بعد تثبيت المعاملة، لا داخلها. الرمز الخام لا يُحفظ؛ القاعدة تحفظ بصمته (docs/21-data-dictionary.md:436).</w:t>
      </w:r>
    </w:p>
    <w:p>
      <w:pPr>
        <w:pStyle w:val="ListParagraph"/>
        <w:numPr>
          <w:ilvl w:val="0"/>
          <w:numId w:val="2"/>
        </w:numPr>
        <w:bidi/>
        <w:spacing w:after="70" w:before="0" w:line="300"/>
      </w:pPr>
      <w:r>
        <w:rPr>
          <w:rFonts w:ascii="Arial" w:cs="Arial" w:eastAsia="Arial" w:hAnsi="Arial"/>
          <w:b w:val="false"/>
          <w:bCs w:val="false"/>
          <w:sz w:val="21"/>
          <w:szCs w:val="21"/>
          <w:rtl/>
        </w:rPr>
        <w:t xml:space="preserve">تعرض لوحة المشغّل حالة التهيئة من إجراء منصة يعيد أسماء الحزم ونتائجها فقط، لأن </w:t>
      </w:r>
      <w:r>
        <w:rPr>
          <w:rFonts w:ascii="Courier New" w:cs="Courier New" w:eastAsia="Courier New" w:hAnsi="Courier New"/>
          <w:b w:val="false"/>
          <w:bCs w:val="false"/>
          <w:color w:val="1F2937"/>
          <w:sz w:val="18"/>
          <w:szCs w:val="18"/>
          <w:shd w:fill="F1F3F5" w:color="auto" w:val="clear"/>
          <w:rtl/>
        </w:rPr>
        <w:t xml:space="preserve">‎tp_platform‎</w:t>
      </w:r>
      <w:r>
        <w:rPr>
          <w:rFonts w:ascii="Arial" w:cs="Arial" w:eastAsia="Arial" w:hAnsi="Arial"/>
          <w:b w:val="false"/>
          <w:bCs w:val="false"/>
          <w:sz w:val="21"/>
          <w:szCs w:val="21"/>
          <w:rtl/>
        </w:rPr>
        <w:t xml:space="preserve"> لا يقرأ </w:t>
      </w:r>
      <w:r>
        <w:rPr>
          <w:rFonts w:ascii="Courier New" w:cs="Courier New" w:eastAsia="Courier New" w:hAnsi="Courier New"/>
          <w:b w:val="false"/>
          <w:bCs w:val="false"/>
          <w:color w:val="1F2937"/>
          <w:sz w:val="18"/>
          <w:szCs w:val="18"/>
          <w:shd w:fill="F1F3F5" w:color="auto" w:val="clear"/>
          <w:rtl/>
        </w:rPr>
        <w:t xml:space="preserve">‎cfg.SeedRun‎</w:t>
      </w:r>
      <w:r>
        <w:rPr>
          <w:rFonts w:ascii="Arial" w:cs="Arial" w:eastAsia="Arial" w:hAnsi="Arial"/>
          <w:b w:val="false"/>
          <w:bCs w:val="false"/>
          <w:sz w:val="21"/>
          <w:szCs w:val="21"/>
          <w:rtl/>
        </w:rPr>
        <w:t xml:space="preserve">. </w:t>
      </w:r>
      <w:r>
        <w:rPr>
          <w:rFonts w:ascii="Arial" w:cs="Arial" w:eastAsia="Arial" w:hAnsi="Arial"/>
          <w:color w:val="E0A800"/>
          <w:sz w:val="21"/>
          <w:szCs w:val="21"/>
          <w:rtl/>
        </w:rPr>
        <w:t xml:space="preserve">●</w:t>
      </w:r>
    </w:p>
    <w:p>
      <w:pPr>
        <w:bidi/>
        <w:spacing w:after="60" w:before="0"/>
      </w:pPr>
    </w:p>
    <w:p>
      <w:pPr>
        <w:pStyle w:val="Heading2"/>
        <w:bidi/>
      </w:pPr>
      <w:bookmarkStart w:name="_sec8" w:id="8"/>
      <w:r>
        <w:rPr>
          <w:rFonts w:ascii="Arial" w:cs="Arial" w:eastAsia="Arial" w:hAnsi="Arial"/>
          <w:b/>
          <w:bCs/>
          <w:color w:val="2B5C8A"/>
          <w:sz w:val="26"/>
          <w:szCs w:val="26"/>
          <w:rtl/>
        </w:rPr>
        <w:t xml:space="preserve">4.4 العنوان الفرعي وTLS</w:t>
      </w:r>
      <w:bookmarkEnd w:id="8"/>
    </w:p>
    <w:p>
      <w:pPr>
        <w:pStyle w:val="ListParagraph"/>
        <w:numPr>
          <w:ilvl w:val="0"/>
          <w:numId w:val="2"/>
        </w:numPr>
        <w:bidi/>
        <w:spacing w:after="70" w:before="0" w:line="300"/>
      </w:pPr>
      <w:r>
        <w:rPr>
          <w:rFonts w:ascii="Arial" w:cs="Arial" w:eastAsia="Arial" w:hAnsi="Arial"/>
          <w:b w:val="false"/>
          <w:bCs w:val="false"/>
          <w:sz w:val="21"/>
          <w:szCs w:val="21"/>
          <w:rtl/>
        </w:rPr>
        <w:t xml:space="preserve">كل مشترك على </w:t>
      </w:r>
      <w:r>
        <w:rPr>
          <w:rFonts w:ascii="Courier New" w:cs="Courier New" w:eastAsia="Courier New" w:hAnsi="Courier New"/>
          <w:b w:val="false"/>
          <w:bCs w:val="false"/>
          <w:color w:val="1F2937"/>
          <w:sz w:val="18"/>
          <w:szCs w:val="18"/>
          <w:shd w:fill="F1F3F5" w:color="auto" w:val="clear"/>
          <w:rtl/>
        </w:rPr>
        <w:t xml:space="preserve">‎{tenant}.bankfas.com‎</w:t>
      </w:r>
      <w:r>
        <w:rPr>
          <w:rFonts w:ascii="Arial" w:cs="Arial" w:eastAsia="Arial" w:hAnsi="Arial"/>
          <w:b w:val="false"/>
          <w:bCs w:val="false"/>
          <w:sz w:val="21"/>
          <w:szCs w:val="21"/>
          <w:rtl/>
        </w:rPr>
        <w:t xml:space="preserve">، بشهادة شاملة أو شهادة لكل عنوان (FR-PLT-046). </w:t>
      </w:r>
      <w:r>
        <w:rPr>
          <w:rFonts w:ascii="Arial" w:cs="Arial" w:eastAsia="Arial" w:hAnsi="Arial"/>
          <w:color w:val="2E9E44"/>
          <w:sz w:val="21"/>
          <w:szCs w:val="21"/>
          <w:rtl/>
        </w:rPr>
        <w:t xml:space="preserve">●</w:t>
      </w:r>
    </w:p>
    <w:p>
      <w:pPr>
        <w:pStyle w:val="ListParagraph"/>
        <w:numPr>
          <w:ilvl w:val="0"/>
          <w:numId w:val="2"/>
        </w:numPr>
        <w:bidi/>
        <w:spacing w:after="70" w:before="0" w:line="300"/>
      </w:pPr>
      <w:r>
        <w:rPr>
          <w:rFonts w:ascii="Arial" w:cs="Arial" w:eastAsia="Arial" w:hAnsi="Arial"/>
          <w:b w:val="false"/>
          <w:bCs w:val="false"/>
          <w:sz w:val="21"/>
          <w:szCs w:val="21"/>
          <w:rtl/>
        </w:rPr>
        <w:t xml:space="preserve">المقترح: سجل DNS شامل </w:t>
      </w:r>
      <w:r>
        <w:rPr>
          <w:rFonts w:ascii="Courier New" w:cs="Courier New" w:eastAsia="Courier New" w:hAnsi="Courier New"/>
          <w:b w:val="false"/>
          <w:bCs w:val="false"/>
          <w:color w:val="1F2937"/>
          <w:sz w:val="18"/>
          <w:szCs w:val="18"/>
          <w:shd w:fill="F1F3F5" w:color="auto" w:val="clear"/>
          <w:rtl/>
        </w:rPr>
        <w:t xml:space="preserve">‎*.bankfas.com‎</w:t>
      </w:r>
      <w:r>
        <w:rPr>
          <w:rFonts w:ascii="Arial" w:cs="Arial" w:eastAsia="Arial" w:hAnsi="Arial"/>
          <w:b w:val="false"/>
          <w:bCs w:val="false"/>
          <w:sz w:val="21"/>
          <w:szCs w:val="21"/>
          <w:rtl/>
        </w:rPr>
        <w:t xml:space="preserve"> وشهادة شاملة. فلا خطوة DNS ولا شهادة لكل مشترك، ويصير العنوان فعّالًا بمجرد تثبيت المرحلة أ. والعنوان غير المعروف يعطي صفحة محايدة (FR-PLT-046).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(DQ-F05-3، يؤكده DOC-S05)</w:t>
      </w:r>
    </w:p>
    <w:p>
      <w:pPr>
        <w:pStyle w:val="ListParagraph"/>
        <w:numPr>
          <w:ilvl w:val="0"/>
          <w:numId w:val="2"/>
        </w:numPr>
        <w:bidi/>
        <w:spacing w:after="70" w:before="0" w:line="300"/>
      </w:pPr>
      <w:r>
        <w:rPr>
          <w:rFonts w:ascii="Arial" w:cs="Arial" w:eastAsia="Arial" w:hAnsi="Arial"/>
          <w:b w:val="false"/>
          <w:bCs w:val="false"/>
          <w:sz w:val="21"/>
          <w:szCs w:val="21"/>
          <w:rtl/>
        </w:rPr>
        <w:t xml:space="preserve">إن اختيرت شهادة لكل عنوان، تُضاف مرحلة غير متزامنة بعد أ، بإعادة محاولة، ولا تُرسل الدعوة قبل نجاحها. لا تعويض في القاعدة، لأن صفوف المشترك لا تعتمد على الشهادة.</w:t>
      </w:r>
    </w:p>
    <w:p>
      <w:pPr>
        <w:bidi/>
        <w:spacing w:after="60" w:before="0"/>
      </w:pPr>
    </w:p>
    <w:p>
      <w:pPr>
        <w:pStyle w:val="Heading2"/>
        <w:bidi/>
      </w:pPr>
      <w:bookmarkStart w:name="_sec9" w:id="9"/>
      <w:r>
        <w:rPr>
          <w:rFonts w:ascii="Arial" w:cs="Arial" w:eastAsia="Arial" w:hAnsi="Arial"/>
          <w:b/>
          <w:bCs/>
          <w:color w:val="2B5C8A"/>
          <w:sz w:val="26"/>
          <w:szCs w:val="26"/>
          <w:rtl/>
        </w:rPr>
        <w:t xml:space="preserve">4.5 تفعيل الوحدات</w:t>
      </w:r>
      <w:bookmarkEnd w:id="9"/>
    </w:p>
    <w:p>
      <w:pPr>
        <w:pStyle w:val="ListParagraph"/>
        <w:numPr>
          <w:ilvl w:val="0"/>
          <w:numId w:val="2"/>
        </w:numPr>
        <w:bidi/>
        <w:spacing w:after="70" w:before="0" w:line="300"/>
      </w:pPr>
      <w:r>
        <w:rPr>
          <w:rFonts w:ascii="Arial" w:cs="Arial" w:eastAsia="Arial" w:hAnsi="Arial"/>
          <w:b w:val="false"/>
          <w:bCs w:val="false"/>
          <w:sz w:val="21"/>
          <w:szCs w:val="21"/>
          <w:rtl/>
        </w:rPr>
        <w:t xml:space="preserve">تُنسخ وحدات الباقة من </w:t>
      </w:r>
      <w:r>
        <w:rPr>
          <w:rFonts w:ascii="Courier New" w:cs="Courier New" w:eastAsia="Courier New" w:hAnsi="Courier New"/>
          <w:b w:val="false"/>
          <w:bCs w:val="false"/>
          <w:color w:val="1F2937"/>
          <w:sz w:val="18"/>
          <w:szCs w:val="18"/>
          <w:shd w:fill="F1F3F5" w:color="auto" w:val="clear"/>
          <w:rtl/>
        </w:rPr>
        <w:t xml:space="preserve">‎plat.PlanModule‎</w:t>
      </w:r>
      <w:r>
        <w:rPr>
          <w:rFonts w:ascii="Arial" w:cs="Arial" w:eastAsia="Arial" w:hAnsi="Arial"/>
          <w:b w:val="false"/>
          <w:bCs w:val="false"/>
          <w:sz w:val="21"/>
          <w:szCs w:val="21"/>
          <w:rtl/>
        </w:rPr>
        <w:t xml:space="preserve"> إلى </w:t>
      </w:r>
      <w:r>
        <w:rPr>
          <w:rFonts w:ascii="Courier New" w:cs="Courier New" w:eastAsia="Courier New" w:hAnsi="Courier New"/>
          <w:b w:val="false"/>
          <w:bCs w:val="false"/>
          <w:color w:val="1F2937"/>
          <w:sz w:val="18"/>
          <w:szCs w:val="18"/>
          <w:shd w:fill="F1F3F5" w:color="auto" w:val="clear"/>
          <w:rtl/>
        </w:rPr>
        <w:t xml:space="preserve">‎plat.TenantModule‎</w:t>
      </w:r>
      <w:r>
        <w:rPr>
          <w:rFonts w:ascii="Arial" w:cs="Arial" w:eastAsia="Arial" w:hAnsi="Arial"/>
          <w:b w:val="false"/>
          <w:bCs w:val="false"/>
          <w:sz w:val="21"/>
          <w:szCs w:val="21"/>
          <w:rtl/>
        </w:rPr>
        <w:t xml:space="preserve"> في المرحلة أ، و</w:t>
      </w:r>
      <w:r>
        <w:rPr>
          <w:rFonts w:ascii="Courier New" w:cs="Courier New" w:eastAsia="Courier New" w:hAnsi="Courier New"/>
          <w:b w:val="false"/>
          <w:bCs w:val="false"/>
          <w:color w:val="1F2937"/>
          <w:sz w:val="18"/>
          <w:szCs w:val="18"/>
          <w:shd w:fill="F1F3F5" w:color="auto" w:val="clear"/>
          <w:rtl/>
        </w:rPr>
        <w:t xml:space="preserve">‎EnabledBy‎</w:t>
      </w:r>
      <w:r>
        <w:rPr>
          <w:rFonts w:ascii="Arial" w:cs="Arial" w:eastAsia="Arial" w:hAnsi="Arial"/>
          <w:b w:val="false"/>
          <w:bCs w:val="false"/>
          <w:sz w:val="21"/>
          <w:szCs w:val="21"/>
          <w:rtl/>
        </w:rPr>
        <w:t xml:space="preserve"> فارغ (docs/21-data-dictionary.md:163). وحدة CORE دائمًا (db/generated/tsql/001_tables.sql:141).</w:t>
      </w:r>
    </w:p>
    <w:p>
      <w:pPr>
        <w:pStyle w:val="ListParagraph"/>
        <w:numPr>
          <w:ilvl w:val="0"/>
          <w:numId w:val="2"/>
        </w:numPr>
        <w:bidi/>
        <w:spacing w:after="70" w:before="0" w:line="300"/>
      </w:pPr>
      <w:r>
        <w:rPr>
          <w:rFonts w:ascii="Arial" w:cs="Arial" w:eastAsia="Arial" w:hAnsi="Arial"/>
          <w:b w:val="false"/>
          <w:bCs w:val="false"/>
          <w:sz w:val="21"/>
          <w:szCs w:val="21"/>
          <w:rtl/>
        </w:rPr>
        <w:t xml:space="preserve">تغيير الوحدات لاحقًا بيد المشغّل وحده (FR-PLT-003، docs/10-detailed-analysis/10-m0-m1-platform-organization.md:105؛ الصف 1 في مصفوفة الصلاحيات، السطر 43)، مع فحص الاعتماديات (BR-PLT-003، السطر 229). يقرأ التطبيق الوحدات من </w:t>
      </w:r>
      <w:r>
        <w:rPr>
          <w:rFonts w:ascii="Courier New" w:cs="Courier New" w:eastAsia="Courier New" w:hAnsi="Courier New"/>
          <w:b w:val="false"/>
          <w:bCs w:val="false"/>
          <w:color w:val="1F2937"/>
          <w:sz w:val="18"/>
          <w:szCs w:val="18"/>
          <w:shd w:fill="F1F3F5" w:color="auto" w:val="clear"/>
          <w:rtl/>
        </w:rPr>
        <w:t xml:space="preserve">‎plat.v_TenantModule‎</w:t>
      </w:r>
      <w:r>
        <w:rPr>
          <w:rFonts w:ascii="Arial" w:cs="Arial" w:eastAsia="Arial" w:hAnsi="Arial"/>
          <w:b w:val="false"/>
          <w:bCs w:val="false"/>
          <w:sz w:val="21"/>
          <w:szCs w:val="21"/>
          <w:rtl/>
        </w:rPr>
        <w:t xml:space="preserve"> (db/static/025_tenant_views.sql:22-29).</w:t>
      </w:r>
    </w:p>
    <w:p>
      <w:pPr>
        <w:pStyle w:val="ListParagraph"/>
        <w:numPr>
          <w:ilvl w:val="0"/>
          <w:numId w:val="2"/>
        </w:numPr>
        <w:bidi/>
        <w:spacing w:after="70" w:before="0" w:line="300"/>
      </w:pPr>
      <w:r>
        <w:rPr>
          <w:rFonts w:ascii="Arial" w:cs="Arial" w:eastAsia="Arial" w:hAnsi="Arial"/>
          <w:b w:val="false"/>
          <w:bCs w:val="false"/>
          <w:sz w:val="21"/>
          <w:szCs w:val="21"/>
          <w:rtl/>
        </w:rPr>
        <w:t xml:space="preserve">التعطيل يخفي الوحدة دون حذف بياناتها (FR-PLT-003). </w:t>
      </w:r>
      <w:r>
        <w:rPr>
          <w:rFonts w:ascii="Arial" w:cs="Arial" w:eastAsia="Arial" w:hAnsi="Arial"/>
          <w:color w:val="2E9E44"/>
          <w:sz w:val="21"/>
          <w:szCs w:val="21"/>
          <w:rtl/>
        </w:rPr>
        <w:t xml:space="preserve">●</w:t>
      </w:r>
    </w:p>
    <w:p>
      <w:pPr>
        <w:pStyle w:val="ListParagraph"/>
        <w:numPr>
          <w:ilvl w:val="0"/>
          <w:numId w:val="2"/>
        </w:numPr>
        <w:bidi/>
        <w:spacing w:after="70" w:before="0" w:line="300"/>
      </w:pPr>
      <w:r>
        <w:rPr>
          <w:rFonts w:ascii="Arial" w:cs="Arial" w:eastAsia="Arial" w:hAnsi="Arial"/>
          <w:b w:val="false"/>
          <w:bCs w:val="false"/>
          <w:sz w:val="21"/>
          <w:szCs w:val="21"/>
          <w:rtl/>
        </w:rPr>
        <w:t xml:space="preserve">حزم البذر لوحدة تُفعَّل لاحقًا تُشغَّل عند تفعيلها، بالمسار نفسه وبالاستئناف نفسه.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(DQ-F05-9)</w:t>
      </w:r>
    </w:p>
    <w:p>
      <w:pPr>
        <w:bidi/>
        <w:spacing w:after="60" w:before="0"/>
      </w:pPr>
    </w:p>
    <w:p>
      <w:pPr>
        <w:pStyle w:val="Heading1"/>
        <w:bidi/>
      </w:pPr>
      <w:bookmarkStart w:name="_sec10" w:id="10"/>
      <w:r>
        <w:rPr>
          <w:rFonts w:ascii="Arial" w:cs="Arial" w:eastAsia="Arial" w:hAnsi="Arial"/>
          <w:b/>
          <w:bCs/>
          <w:color w:val="1F3A5F"/>
          <w:sz w:val="32"/>
          <w:szCs w:val="32"/>
          <w:rtl/>
        </w:rPr>
        <w:t xml:space="preserve">5. الفشل والتراجع والتعويض</w:t>
      </w:r>
      <w:bookmarkEnd w:id="10"/>
    </w:p>
    <w:p>
      <w:pPr>
        <w:keepNext/>
        <w:bidi/>
        <w:spacing w:after="60" w:before="160"/>
        <w:jc w:val="center"/>
      </w:pPr>
      <w:r>
        <w:drawing>
          <wp:inline distT="0" distB="0" distL="0" distR="0">
            <wp:extent cx="6096000" cy="3952875"/>
            <wp:effectExtent t="0" r="0" b="0" l="0"/>
            <wp:docPr id="1" name="diagram-3.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6096000" cy="3952875"/>
                    </a:xfrm>
                    <a:prstGeom prst="rect">
                      <a:avLst/>
                    </a:prstGeom>
                  </pic:spPr>
                </pic:pic>
              </a:graphicData>
            </a:graphic>
          </wp:inline>
        </w:drawing>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337"/>
        <w:gridCol w:w="1337"/>
        <w:gridCol w:w="5351"/>
        <w:gridCol w:w="1839"/>
      </w:tblGrid>
      <w:tr>
        <w:trPr>
          <w:cantSplit/>
          <w:tblHeader/>
        </w:trPr>
        <w:tc>
          <w:tcPr>
            <w:tcW w:type="dxa" w:w="133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الخطوة</w:t>
            </w:r>
          </w:p>
        </w:tc>
        <w:tc>
          <w:tcPr>
            <w:tcW w:type="dxa" w:w="133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داخل معاملة القاعدة؟</w:t>
            </w:r>
          </w:p>
        </w:tc>
        <w:tc>
          <w:tcPr>
            <w:tcW w:type="dxa" w:w="535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عند الفشل</w:t>
            </w:r>
          </w:p>
        </w:tc>
        <w:tc>
          <w:tcPr>
            <w:tcW w:type="dxa" w:w="183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التعويض </w:t>
            </w:r>
            <w:r>
              <w:rPr>
                <w:rFonts w:ascii="Arial" w:cs="Arial" w:eastAsia="Arial" w:hAnsi="Arial"/>
                <w:color w:val="E0A800"/>
                <w:sz w:val="18"/>
                <w:szCs w:val="18"/>
                <w:rtl/>
              </w:rPr>
              <w:t xml:space="preserve">●</w:t>
            </w:r>
          </w:p>
        </w:tc>
      </w:tr>
      <w:tr>
        <w:trPr>
          <w:cantSplit/>
        </w:trPr>
        <w:tc>
          <w:tcPr>
            <w:tcW w:type="dxa" w:w="13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فحص الرمز والقيم</w:t>
            </w:r>
          </w:p>
        </w:tc>
        <w:tc>
          <w:tcPr>
            <w:tcW w:type="dxa" w:w="13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 داخل الإجراء</w:t>
            </w:r>
          </w:p>
        </w:tc>
        <w:tc>
          <w:tcPr>
            <w:tcW w:type="dxa" w:w="53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خطأ ولا شيء محفوظ؛ الرمز المكرر يُرفض بالقيد الفريد</w:t>
            </w:r>
          </w:p>
        </w:tc>
        <w:tc>
          <w:tcPr>
            <w:tcW w:type="dxa" w:w="183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يصحح المشغّل</w:t>
            </w:r>
          </w:p>
        </w:tc>
      </w:tr>
      <w:tr>
        <w:trPr>
          <w:cantSplit/>
        </w:trPr>
        <w:tc>
          <w:tcPr>
            <w:tcW w:type="dxa" w:w="13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صفوف المرحلة أ</w:t>
            </w:r>
          </w:p>
        </w:tc>
        <w:tc>
          <w:tcPr>
            <w:tcW w:type="dxa" w:w="13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 معاملة واحدة</w:t>
            </w:r>
          </w:p>
        </w:tc>
        <w:tc>
          <w:tcPr>
            <w:tcW w:type="dxa" w:w="53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تراجع كامل</w:t>
            </w:r>
          </w:p>
        </w:tc>
        <w:tc>
          <w:tcPr>
            <w:tcW w:type="dxa" w:w="183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حاجة</w:t>
            </w:r>
          </w:p>
        </w:tc>
      </w:tr>
      <w:tr>
        <w:trPr>
          <w:cantSplit/>
        </w:trPr>
        <w:tc>
          <w:tcPr>
            <w:tcW w:type="dxa" w:w="13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لف المفاتيح في المخزن</w:t>
            </w:r>
          </w:p>
        </w:tc>
        <w:tc>
          <w:tcPr>
            <w:tcW w:type="dxa" w:w="13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نداء خارجي، والصفوف داخل المعاملة</w:t>
            </w:r>
          </w:p>
        </w:tc>
        <w:tc>
          <w:tcPr>
            <w:tcW w:type="dxa" w:w="53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تفشل حزمة المفاتيح وتُعاد</w:t>
            </w:r>
          </w:p>
        </w:tc>
        <w:tc>
          <w:tcPr>
            <w:tcW w:type="dxa" w:w="183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المفتاح الملفوف غير المحفوظ يُهمل؛ إن أنشأ المخزن كائنًا لكل مشترك يُحذف (DOC-S02)</w:t>
            </w:r>
          </w:p>
        </w:tc>
      </w:tr>
      <w:tr>
        <w:trPr>
          <w:cantSplit/>
        </w:trPr>
        <w:tc>
          <w:tcPr>
            <w:tcW w:type="dxa" w:w="13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حزمة بذر</w:t>
            </w:r>
          </w:p>
        </w:tc>
        <w:tc>
          <w:tcPr>
            <w:tcW w:type="dxa" w:w="13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 معاملة لكل حزمة</w:t>
            </w:r>
          </w:p>
        </w:tc>
        <w:tc>
          <w:tcPr>
            <w:tcW w:type="dxa" w:w="53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تراجع الحزمة، </w:t>
            </w:r>
            <w:r>
              <w:rPr>
                <w:rFonts w:ascii="Courier New" w:cs="Courier New" w:eastAsia="Courier New" w:hAnsi="Courier New"/>
                <w:b w:val="false"/>
                <w:bCs w:val="false"/>
                <w:color w:val="1F2937"/>
                <w:sz w:val="16"/>
                <w:szCs w:val="16"/>
                <w:shd w:fill="F1F3F5" w:color="auto" w:val="clear"/>
                <w:rtl/>
              </w:rPr>
              <w:t xml:space="preserve">‎SeedRun‎</w:t>
            </w:r>
            <w:r>
              <w:rPr>
                <w:rFonts w:ascii="Arial" w:cs="Arial" w:eastAsia="Arial" w:hAnsi="Arial"/>
                <w:b w:val="false"/>
                <w:bCs w:val="false"/>
                <w:sz w:val="18"/>
                <w:szCs w:val="18"/>
                <w:rtl/>
              </w:rPr>
              <w:t xml:space="preserve"> بحالة FAILED، و</w:t>
            </w:r>
            <w:r>
              <w:rPr>
                <w:rFonts w:ascii="Courier New" w:cs="Courier New" w:eastAsia="Courier New" w:hAnsi="Courier New"/>
                <w:b w:val="false"/>
                <w:bCs w:val="false"/>
                <w:color w:val="1F2937"/>
                <w:sz w:val="16"/>
                <w:szCs w:val="16"/>
                <w:shd w:fill="F1F3F5" w:color="auto" w:val="clear"/>
                <w:rtl/>
              </w:rPr>
              <w:t xml:space="preserve">‎JobRun‎</w:t>
            </w:r>
            <w:r>
              <w:rPr>
                <w:rFonts w:ascii="Arial" w:cs="Arial" w:eastAsia="Arial" w:hAnsi="Arial"/>
                <w:b w:val="false"/>
                <w:bCs w:val="false"/>
                <w:sz w:val="18"/>
                <w:szCs w:val="18"/>
                <w:rtl/>
              </w:rPr>
              <w:t xml:space="preserve"> بإعادة محاولة خلال ساعة (FR-PLT-044)</w:t>
            </w:r>
          </w:p>
        </w:tc>
        <w:tc>
          <w:tcPr>
            <w:tcW w:type="dxa" w:w="183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إعادة التشغيل لا تكرر شيئًا بفضل </w:t>
            </w:r>
            <w:r>
              <w:rPr>
                <w:rFonts w:ascii="Courier New" w:cs="Courier New" w:eastAsia="Courier New" w:hAnsi="Courier New"/>
                <w:b w:val="false"/>
                <w:bCs w:val="false"/>
                <w:color w:val="1F2937"/>
                <w:sz w:val="16"/>
                <w:szCs w:val="16"/>
                <w:shd w:fill="F1F3F5" w:color="auto" w:val="clear"/>
                <w:rtl/>
              </w:rPr>
              <w:t xml:space="preserve">‎SeedKey‎</w:t>
            </w:r>
          </w:p>
        </w:tc>
      </w:tr>
      <w:tr>
        <w:trPr>
          <w:cantSplit/>
        </w:trPr>
        <w:tc>
          <w:tcPr>
            <w:tcW w:type="dxa" w:w="13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إسناد TA ورمز الدعوة</w:t>
            </w:r>
          </w:p>
        </w:tc>
        <w:tc>
          <w:tcPr>
            <w:tcW w:type="dxa" w:w="13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 معاملة واحدة</w:t>
            </w:r>
          </w:p>
        </w:tc>
        <w:tc>
          <w:tcPr>
            <w:tcW w:type="dxa" w:w="53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تراجع وإعادة</w:t>
            </w:r>
          </w:p>
        </w:tc>
        <w:tc>
          <w:tcPr>
            <w:tcW w:type="dxa" w:w="183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حاجة</w:t>
            </w:r>
          </w:p>
        </w:tc>
      </w:tr>
      <w:tr>
        <w:trPr>
          <w:cantSplit/>
        </w:trPr>
        <w:tc>
          <w:tcPr>
            <w:tcW w:type="dxa" w:w="13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إرسال البريد</w:t>
            </w:r>
          </w:p>
        </w:tc>
        <w:tc>
          <w:tcPr>
            <w:tcW w:type="dxa" w:w="13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c>
          <w:tcPr>
            <w:tcW w:type="dxa" w:w="53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‎SendStatus = FAILED‎</w:t>
            </w:r>
            <w:r>
              <w:rPr>
                <w:rFonts w:ascii="Arial" w:cs="Arial" w:eastAsia="Arial" w:hAnsi="Arial"/>
                <w:b w:val="false"/>
                <w:bCs w:val="false"/>
                <w:sz w:val="18"/>
                <w:szCs w:val="18"/>
                <w:rtl/>
              </w:rPr>
              <w:t xml:space="preserve"> وسطر تدقيق (docs/21-data-dictionary.md:441)</w:t>
            </w:r>
          </w:p>
        </w:tc>
        <w:tc>
          <w:tcPr>
            <w:tcW w:type="dxa" w:w="183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رمز جديد ويُلغى القديم بـ</w:t>
            </w:r>
            <w:r>
              <w:rPr>
                <w:rFonts w:ascii="Courier New" w:cs="Courier New" w:eastAsia="Courier New" w:hAnsi="Courier New"/>
                <w:b w:val="false"/>
                <w:bCs w:val="false"/>
                <w:color w:val="1F2937"/>
                <w:sz w:val="16"/>
                <w:szCs w:val="16"/>
                <w:shd w:fill="F1F3F5" w:color="auto" w:val="clear"/>
                <w:rtl/>
              </w:rPr>
              <w:t xml:space="preserve">‎RevokedAt‎</w:t>
            </w:r>
          </w:p>
        </w:tc>
      </w:tr>
      <w:tr>
        <w:trPr>
          <w:cantSplit/>
        </w:trPr>
        <w:tc>
          <w:tcPr>
            <w:tcW w:type="dxa" w:w="13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DNS وTLS</w:t>
            </w:r>
          </w:p>
        </w:tc>
        <w:tc>
          <w:tcPr>
            <w:tcW w:type="dxa" w:w="13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c>
          <w:tcPr>
            <w:tcW w:type="dxa" w:w="53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 الشهادة الشاملة لا خطوة</w:t>
            </w:r>
          </w:p>
        </w:tc>
        <w:tc>
          <w:tcPr>
            <w:tcW w:type="dxa" w:w="183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حاجة</w:t>
            </w:r>
          </w:p>
        </w:tc>
      </w:tr>
      <w:tr>
        <w:trPr>
          <w:cantSplit/>
        </w:trPr>
        <w:tc>
          <w:tcPr>
            <w:tcW w:type="dxa" w:w="13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لم يُقبل الرابط خلال 48 ساعة</w:t>
            </w:r>
          </w:p>
        </w:tc>
        <w:tc>
          <w:tcPr>
            <w:tcW w:type="dxa" w:w="13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53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الرمز ينتهي</w:t>
            </w:r>
          </w:p>
        </w:tc>
        <w:tc>
          <w:tcPr>
            <w:tcW w:type="dxa" w:w="183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يعيد المشغّل إصدار الدعوة</w:t>
            </w:r>
          </w:p>
        </w:tc>
      </w:tr>
      <w:tr>
        <w:trPr>
          <w:cantSplit/>
        </w:trPr>
        <w:tc>
          <w:tcPr>
            <w:tcW w:type="dxa" w:w="13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إلغاء التهيئة</w:t>
            </w:r>
          </w:p>
        </w:tc>
        <w:tc>
          <w:tcPr>
            <w:tcW w:type="dxa" w:w="13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53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يقرر المشغّل الإلغاء</w:t>
            </w:r>
          </w:p>
        </w:tc>
        <w:tc>
          <w:tcPr>
            <w:tcW w:type="dxa" w:w="183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انتقال TRIAL إلى CLOSED بسبب، ولا تصدير لأن لا بيانات أعمال؛ الرمز يبقى محجوزًا (DQ-F05-4)</w:t>
            </w:r>
          </w:p>
        </w:tc>
      </w:tr>
    </w:tbl>
    <w:p>
      <w:pPr>
        <w:bidi/>
        <w:spacing w:after="120" w:before="0"/>
      </w:pPr>
    </w:p>
    <w:p>
      <w:pPr>
        <w:bidi/>
        <w:spacing w:after="110" w:before="0" w:line="312"/>
      </w:pPr>
      <w:r>
        <w:rPr>
          <w:rFonts w:ascii="Arial" w:cs="Arial" w:eastAsia="Arial" w:hAnsi="Arial"/>
          <w:b w:val="false"/>
          <w:bCs w:val="false"/>
          <w:sz w:val="21"/>
          <w:szCs w:val="21"/>
          <w:rtl/>
        </w:rPr>
        <w:t xml:space="preserve">لماذا لا يُحذف المشترك الملغى: </w:t>
      </w:r>
      <w:r>
        <w:rPr>
          <w:rFonts w:ascii="Courier New" w:cs="Courier New" w:eastAsia="Courier New" w:hAnsi="Courier New"/>
          <w:b w:val="false"/>
          <w:bCs w:val="false"/>
          <w:color w:val="1F2937"/>
          <w:sz w:val="18"/>
          <w:szCs w:val="18"/>
          <w:shd w:fill="F1F3F5" w:color="auto" w:val="clear"/>
          <w:rtl/>
        </w:rPr>
        <w:t xml:space="preserve">‎tp_platform‎</w:t>
      </w:r>
      <w:r>
        <w:rPr>
          <w:rFonts w:ascii="Arial" w:cs="Arial" w:eastAsia="Arial" w:hAnsi="Arial"/>
          <w:b w:val="false"/>
          <w:bCs w:val="false"/>
          <w:sz w:val="21"/>
          <w:szCs w:val="21"/>
          <w:rtl/>
        </w:rPr>
        <w:t xml:space="preserve"> لا يملك أي حذف (docs/20-database-design.md:268)، وسجل التدقيق للإضافة فقط (db/static/020_roles_and_grants.sql:65). الحذف الفعلي يمر بمسار الإتلاف في §6.5.</w:t>
      </w:r>
    </w:p>
    <w:p>
      <w:pPr>
        <w:pStyle w:val="Heading1"/>
        <w:bidi/>
      </w:pPr>
      <w:bookmarkStart w:name="_sec11" w:id="11"/>
      <w:r>
        <w:rPr>
          <w:rFonts w:ascii="Arial" w:cs="Arial" w:eastAsia="Arial" w:hAnsi="Arial"/>
          <w:b/>
          <w:bCs/>
          <w:color w:val="1F3A5F"/>
          <w:sz w:val="32"/>
          <w:szCs w:val="32"/>
          <w:rtl/>
        </w:rPr>
        <w:t xml:space="preserve">6. دورة حياة المشترك</w:t>
      </w:r>
      <w:bookmarkEnd w:id="11"/>
    </w:p>
    <w:p>
      <w:pPr>
        <w:pStyle w:val="Heading2"/>
        <w:bidi/>
      </w:pPr>
      <w:bookmarkStart w:name="_sec12" w:id="12"/>
      <w:r>
        <w:rPr>
          <w:rFonts w:ascii="Arial" w:cs="Arial" w:eastAsia="Arial" w:hAnsi="Arial"/>
          <w:b/>
          <w:bCs/>
          <w:color w:val="2B5C8A"/>
          <w:sz w:val="26"/>
          <w:szCs w:val="26"/>
          <w:rtl/>
        </w:rPr>
        <w:t xml:space="preserve">6.1 مخطط الحالات</w:t>
      </w:r>
      <w:bookmarkEnd w:id="12"/>
    </w:p>
    <w:p>
      <w:pPr>
        <w:keepNext/>
        <w:bidi/>
        <w:spacing w:after="60" w:before="160"/>
        <w:jc w:val="center"/>
      </w:pPr>
      <w:r>
        <w:drawing>
          <wp:inline distT="0" distB="0" distL="0" distR="0">
            <wp:extent cx="6096000" cy="6686550"/>
            <wp:effectExtent t="0" r="0" b="0" l="0"/>
            <wp:docPr id="1" name="diagram-4.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6096000" cy="6686550"/>
                    </a:xfrm>
                    <a:prstGeom prst="rect">
                      <a:avLst/>
                    </a:prstGeom>
                  </pic:spPr>
                </pic:pic>
              </a:graphicData>
            </a:graphic>
          </wp:inline>
        </w:drawing>
      </w:r>
    </w:p>
    <w:p>
      <w:pPr>
        <w:bidi/>
        <w:spacing w:after="110" w:before="0" w:line="312"/>
      </w:pPr>
      <w:r>
        <w:rPr>
          <w:rFonts w:ascii="Arial" w:cs="Arial" w:eastAsia="Arial" w:hAnsi="Arial"/>
          <w:b w:val="false"/>
          <w:bCs w:val="false"/>
          <w:sz w:val="21"/>
          <w:szCs w:val="21"/>
          <w:rtl/>
        </w:rPr>
        <w:t xml:space="preserve">المصدر: BR-PLT-002 وFR-PLT-002 (docs/10-detailed-analysis/10-m0-m1-platform-organization.md:228، :104) ومخطط السطور 455-465. السهمان المعلّمان «مقترح» غير موجودين في المصدر (DQ-F05-4 وDQ-F05-6).</w:t>
      </w:r>
    </w:p>
    <w:p>
      <w:pPr>
        <w:pStyle w:val="Heading2"/>
        <w:bidi/>
      </w:pPr>
      <w:bookmarkStart w:name="_sec13" w:id="13"/>
      <w:r>
        <w:rPr>
          <w:rFonts w:ascii="Arial" w:cs="Arial" w:eastAsia="Arial" w:hAnsi="Arial"/>
          <w:b/>
          <w:bCs/>
          <w:color w:val="2B5C8A"/>
          <w:sz w:val="26"/>
          <w:szCs w:val="26"/>
          <w:rtl/>
        </w:rPr>
        <w:t xml:space="preserve">6.2 جدول الانتقالات</w:t>
      </w:r>
      <w:bookmarkEnd w:id="13"/>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325"/>
        <w:gridCol w:w="955"/>
        <w:gridCol w:w="4419"/>
        <w:gridCol w:w="3165"/>
      </w:tblGrid>
      <w:tr>
        <w:trPr>
          <w:cantSplit/>
          <w:tblHeader/>
        </w:trPr>
        <w:tc>
          <w:tcPr>
            <w:tcW w:type="dxa" w:w="132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من ← إلى</w:t>
            </w:r>
          </w:p>
        </w:tc>
        <w:tc>
          <w:tcPr>
            <w:tcW w:type="dxa" w:w="95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الفاعل</w:t>
            </w:r>
          </w:p>
        </w:tc>
        <w:tc>
          <w:tcPr>
            <w:tcW w:type="dxa" w:w="441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الشرط والأعمدة</w:t>
            </w:r>
          </w:p>
        </w:tc>
        <w:tc>
          <w:tcPr>
            <w:tcW w:type="dxa" w:w="316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الأثر</w:t>
            </w:r>
          </w:p>
        </w:tc>
      </w:tr>
      <w:tr>
        <w:trPr>
          <w:cantSplit/>
        </w:trPr>
        <w:tc>
          <w:tcPr>
            <w:tcW w:type="dxa" w:w="13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جديد ← TRIAL</w:t>
            </w:r>
          </w:p>
        </w:tc>
        <w:tc>
          <w:tcPr>
            <w:tcW w:type="dxa" w:w="9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المشغّل (§4.2)</w:t>
            </w:r>
          </w:p>
        </w:tc>
        <w:tc>
          <w:tcPr>
            <w:tcW w:type="dxa" w:w="44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‎TrialEndsOn‎</w:t>
            </w:r>
            <w:r>
              <w:rPr>
                <w:rFonts w:ascii="Arial" w:cs="Arial" w:eastAsia="Arial" w:hAnsi="Arial"/>
                <w:b w:val="false"/>
                <w:bCs w:val="false"/>
                <w:sz w:val="18"/>
                <w:szCs w:val="18"/>
                <w:rtl/>
              </w:rPr>
              <w:t xml:space="preserve"> إلزامي (db/generated/tsql/001_tables.sql:67)</w:t>
            </w:r>
          </w:p>
        </w:tc>
        <w:tc>
          <w:tcPr>
            <w:tcW w:type="dxa" w:w="31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بدء التهيئة</w:t>
            </w:r>
          </w:p>
        </w:tc>
      </w:tr>
      <w:tr>
        <w:trPr>
          <w:cantSplit/>
        </w:trPr>
        <w:tc>
          <w:tcPr>
            <w:tcW w:type="dxa" w:w="13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TRIAL ← ACTIVE</w:t>
            </w:r>
          </w:p>
        </w:tc>
        <w:tc>
          <w:tcPr>
            <w:tcW w:type="dxa" w:w="9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المشغّل</w:t>
            </w:r>
          </w:p>
        </w:tc>
        <w:tc>
          <w:tcPr>
            <w:tcW w:type="dxa" w:w="44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يُضبط </w:t>
            </w:r>
            <w:r>
              <w:rPr>
                <w:rFonts w:ascii="Courier New" w:cs="Courier New" w:eastAsia="Courier New" w:hAnsi="Courier New"/>
                <w:b w:val="false"/>
                <w:bCs w:val="false"/>
                <w:color w:val="1F2937"/>
                <w:sz w:val="16"/>
                <w:szCs w:val="16"/>
                <w:shd w:fill="F1F3F5" w:color="auto" w:val="clear"/>
                <w:rtl/>
              </w:rPr>
              <w:t xml:space="preserve">‎ActivatedAt‎</w:t>
            </w:r>
            <w:r>
              <w:rPr>
                <w:rFonts w:ascii="Arial" w:cs="Arial" w:eastAsia="Arial" w:hAnsi="Arial"/>
                <w:b w:val="false"/>
                <w:bCs w:val="false"/>
                <w:sz w:val="18"/>
                <w:szCs w:val="18"/>
                <w:rtl/>
              </w:rPr>
              <w:t xml:space="preserve"> مرة واحدة؛ بعده لا يتغير الرمز (docs/21-data-dictionary.md:90)</w:t>
            </w:r>
          </w:p>
        </w:tc>
        <w:tc>
          <w:tcPr>
            <w:tcW w:type="dxa" w:w="31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أثر على الربط</w:t>
            </w:r>
          </w:p>
        </w:tc>
      </w:tr>
      <w:tr>
        <w:trPr>
          <w:cantSplit/>
        </w:trPr>
        <w:tc>
          <w:tcPr>
            <w:tcW w:type="dxa" w:w="13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TRIAL ← SUSPENDED</w:t>
            </w:r>
          </w:p>
        </w:tc>
        <w:tc>
          <w:tcPr>
            <w:tcW w:type="dxa" w:w="9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مهمة يومية</w:t>
            </w:r>
          </w:p>
        </w:tc>
        <w:tc>
          <w:tcPr>
            <w:tcW w:type="dxa" w:w="44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‎TrialEndsOn‎</w:t>
            </w:r>
            <w:r>
              <w:rPr>
                <w:rFonts w:ascii="Arial" w:cs="Arial" w:eastAsia="Arial" w:hAnsi="Arial"/>
                <w:b w:val="false"/>
                <w:bCs w:val="false"/>
                <w:sz w:val="18"/>
                <w:szCs w:val="18"/>
                <w:rtl/>
              </w:rPr>
              <w:t xml:space="preserve"> قبل تاريخ اليوم بتوقيت المشترك؛ </w:t>
            </w:r>
            <w:r>
              <w:rPr>
                <w:rFonts w:ascii="Courier New" w:cs="Courier New" w:eastAsia="Courier New" w:hAnsi="Courier New"/>
                <w:b w:val="false"/>
                <w:bCs w:val="false"/>
                <w:color w:val="1F2937"/>
                <w:sz w:val="16"/>
                <w:szCs w:val="16"/>
                <w:shd w:fill="F1F3F5" w:color="auto" w:val="clear"/>
                <w:rtl/>
              </w:rPr>
              <w:t xml:space="preserve">‎SuspendedReason‎</w:t>
            </w:r>
            <w:r>
              <w:rPr>
                <w:rFonts w:ascii="Arial" w:cs="Arial" w:eastAsia="Arial" w:hAnsi="Arial"/>
                <w:b w:val="false"/>
                <w:bCs w:val="false"/>
                <w:sz w:val="18"/>
                <w:szCs w:val="18"/>
                <w:rtl/>
              </w:rPr>
              <w:t xml:space="preserve"> إلزامي (db/generated/tsql/001_tables.sql:68)</w:t>
            </w:r>
          </w:p>
        </w:tc>
        <w:tc>
          <w:tcPr>
            <w:tcW w:type="dxa" w:w="31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سحب كل الربوط (db/static/030_session_context.sql:285-296)</w:t>
            </w:r>
          </w:p>
        </w:tc>
      </w:tr>
      <w:tr>
        <w:trPr>
          <w:cantSplit/>
        </w:trPr>
        <w:tc>
          <w:tcPr>
            <w:tcW w:type="dxa" w:w="13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ACTIVE ← SUSPENDED</w:t>
            </w:r>
          </w:p>
        </w:tc>
        <w:tc>
          <w:tcPr>
            <w:tcW w:type="dxa" w:w="9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المشغّل</w:t>
            </w:r>
          </w:p>
        </w:tc>
        <w:tc>
          <w:tcPr>
            <w:tcW w:type="dxa" w:w="44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سبب إلزامي</w:t>
            </w:r>
          </w:p>
        </w:tc>
        <w:tc>
          <w:tcPr>
            <w:tcW w:type="dxa" w:w="31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سحب الربوط</w:t>
            </w:r>
          </w:p>
        </w:tc>
      </w:tr>
      <w:tr>
        <w:trPr>
          <w:cantSplit/>
        </w:trPr>
        <w:tc>
          <w:tcPr>
            <w:tcW w:type="dxa" w:w="13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SUSPENDED ← ACTIVE</w:t>
            </w:r>
          </w:p>
        </w:tc>
        <w:tc>
          <w:tcPr>
            <w:tcW w:type="dxa" w:w="9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المشغّل</w:t>
            </w:r>
          </w:p>
        </w:tc>
        <w:tc>
          <w:tcPr>
            <w:tcW w:type="dxa" w:w="44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يُفرغ </w:t>
            </w:r>
            <w:r>
              <w:rPr>
                <w:rFonts w:ascii="Courier New" w:cs="Courier New" w:eastAsia="Courier New" w:hAnsi="Courier New"/>
                <w:b w:val="false"/>
                <w:bCs w:val="false"/>
                <w:color w:val="1F2937"/>
                <w:sz w:val="16"/>
                <w:szCs w:val="16"/>
                <w:shd w:fill="F1F3F5" w:color="auto" w:val="clear"/>
                <w:rtl/>
              </w:rPr>
              <w:t xml:space="preserve">‎SuspendedReason‎</w:t>
            </w:r>
            <w:r>
              <w:rPr>
                <w:rFonts w:ascii="Arial" w:cs="Arial" w:eastAsia="Arial" w:hAnsi="Arial"/>
                <w:b w:val="false"/>
                <w:bCs w:val="false"/>
                <w:sz w:val="18"/>
                <w:szCs w:val="18"/>
                <w:rtl/>
              </w:rPr>
              <w:t xml:space="preserve"> ويبقى في التدقيق </w:t>
            </w:r>
            <w:r>
              <w:rPr>
                <w:rFonts w:ascii="Arial" w:cs="Arial" w:eastAsia="Arial" w:hAnsi="Arial"/>
                <w:color w:val="E0A800"/>
                <w:sz w:val="18"/>
                <w:szCs w:val="18"/>
                <w:rtl/>
              </w:rPr>
              <w:t xml:space="preserve">●</w:t>
            </w:r>
          </w:p>
        </w:tc>
        <w:tc>
          <w:tcPr>
            <w:tcW w:type="dxa" w:w="31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الربط يعود بالطلب التالي</w:t>
            </w:r>
          </w:p>
        </w:tc>
      </w:tr>
      <w:tr>
        <w:trPr>
          <w:cantSplit/>
        </w:trPr>
        <w:tc>
          <w:tcPr>
            <w:tcW w:type="dxa" w:w="13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SUSPENDED ← TRIAL </w:t>
            </w:r>
            <w:r>
              <w:rPr>
                <w:rFonts w:ascii="Arial" w:cs="Arial" w:eastAsia="Arial" w:hAnsi="Arial"/>
                <w:color w:val="E0A800"/>
                <w:sz w:val="18"/>
                <w:szCs w:val="18"/>
                <w:rtl/>
              </w:rPr>
              <w:t xml:space="preserve">●</w:t>
            </w:r>
          </w:p>
        </w:tc>
        <w:tc>
          <w:tcPr>
            <w:tcW w:type="dxa" w:w="9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المشغّل</w:t>
            </w:r>
          </w:p>
        </w:tc>
        <w:tc>
          <w:tcPr>
            <w:tcW w:type="dxa" w:w="44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‎TrialEndsOn‎</w:t>
            </w:r>
            <w:r>
              <w:rPr>
                <w:rFonts w:ascii="Arial" w:cs="Arial" w:eastAsia="Arial" w:hAnsi="Arial"/>
                <w:b w:val="false"/>
                <w:bCs w:val="false"/>
                <w:sz w:val="18"/>
                <w:szCs w:val="18"/>
                <w:rtl/>
              </w:rPr>
              <w:t xml:space="preserve"> جديد</w:t>
            </w:r>
          </w:p>
        </w:tc>
        <w:tc>
          <w:tcPr>
            <w:tcW w:type="dxa" w:w="31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الربط يعود</w:t>
            </w:r>
          </w:p>
        </w:tc>
      </w:tr>
      <w:tr>
        <w:trPr>
          <w:cantSplit/>
        </w:trPr>
        <w:tc>
          <w:tcPr>
            <w:tcW w:type="dxa" w:w="13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TRIAL أو ACTIVE أو SUSPENDED ← CLOSED</w:t>
            </w:r>
          </w:p>
        </w:tc>
        <w:tc>
          <w:tcPr>
            <w:tcW w:type="dxa" w:w="9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المشغّل</w:t>
            </w:r>
          </w:p>
        </w:tc>
        <w:tc>
          <w:tcPr>
            <w:tcW w:type="dxa" w:w="44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يُضبط </w:t>
            </w:r>
            <w:r>
              <w:rPr>
                <w:rFonts w:ascii="Courier New" w:cs="Courier New" w:eastAsia="Courier New" w:hAnsi="Courier New"/>
                <w:b w:val="false"/>
                <w:bCs w:val="false"/>
                <w:color w:val="1F2937"/>
                <w:sz w:val="16"/>
                <w:szCs w:val="16"/>
                <w:shd w:fill="F1F3F5" w:color="auto" w:val="clear"/>
                <w:rtl/>
              </w:rPr>
              <w:t xml:space="preserve">‎ClosedAt‎</w:t>
            </w:r>
            <w:r>
              <w:rPr>
                <w:rFonts w:ascii="Arial" w:cs="Arial" w:eastAsia="Arial" w:hAnsi="Arial"/>
                <w:b w:val="false"/>
                <w:bCs w:val="false"/>
                <w:sz w:val="18"/>
                <w:szCs w:val="18"/>
                <w:rtl/>
              </w:rPr>
              <w:t xml:space="preserve"> (db/generated/tsql/001_tables.sql:69)</w:t>
            </w:r>
          </w:p>
        </w:tc>
        <w:tc>
          <w:tcPr>
            <w:tcW w:type="dxa" w:w="31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سحب الربوط وبدء نافذة التصدير</w:t>
            </w:r>
          </w:p>
        </w:tc>
      </w:tr>
      <w:tr>
        <w:trPr>
          <w:cantSplit/>
        </w:trPr>
        <w:tc>
          <w:tcPr>
            <w:tcW w:type="dxa" w:w="13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CLOSED ← ARCHIVED_READ_ONLY</w:t>
            </w:r>
          </w:p>
        </w:tc>
        <w:tc>
          <w:tcPr>
            <w:tcW w:type="dxa" w:w="9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مهمة يومية</w:t>
            </w:r>
          </w:p>
        </w:tc>
        <w:tc>
          <w:tcPr>
            <w:tcW w:type="dxa" w:w="44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‎ArchivedAt‎</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‎ClosedAt‎</w:t>
            </w:r>
            <w:r>
              <w:rPr>
                <w:rFonts w:ascii="Arial" w:cs="Arial" w:eastAsia="Arial" w:hAnsi="Arial"/>
                <w:b w:val="false"/>
                <w:bCs w:val="false"/>
                <w:sz w:val="18"/>
                <w:szCs w:val="18"/>
                <w:rtl/>
              </w:rPr>
              <w:t xml:space="preserve"> + 30 يومًا (docs/21-data-dictionary.md:92؛ db/generated/tsql/001_tables.sql:70-71)</w:t>
            </w:r>
          </w:p>
        </w:tc>
        <w:tc>
          <w:tcPr>
            <w:tcW w:type="dxa" w:w="31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وصول لمستخدمي المشترك (DOC-F04 §7.4)</w:t>
            </w:r>
          </w:p>
        </w:tc>
      </w:tr>
      <w:tr>
        <w:trPr>
          <w:cantSplit/>
        </w:trPr>
        <w:tc>
          <w:tcPr>
            <w:tcW w:type="dxa" w:w="13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CLOSED ← ACTIVE</w:t>
            </w:r>
          </w:p>
        </w:tc>
        <w:tc>
          <w:tcPr>
            <w:tcW w:type="dxa" w:w="9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مرفوض</w:t>
            </w:r>
          </w:p>
        </w:tc>
        <w:tc>
          <w:tcPr>
            <w:tcW w:type="dxa" w:w="44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FR-PLT-002 (docs/10-detailed-analysis/10-m0-m1-platform-organization.md:104)</w:t>
            </w:r>
          </w:p>
        </w:tc>
        <w:tc>
          <w:tcPr>
            <w:tcW w:type="dxa" w:w="31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3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ARCHIVED_READ_ONLY ← حذف</w:t>
            </w:r>
          </w:p>
        </w:tc>
        <w:tc>
          <w:tcPr>
            <w:tcW w:type="dxa" w:w="9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المشغّل بموافقة المشترك الخطية</w:t>
            </w:r>
          </w:p>
        </w:tc>
        <w:tc>
          <w:tcPr>
            <w:tcW w:type="dxa" w:w="44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بعد مدة الاحتفاظ (FR-PLT-040، السطر 142)</w:t>
            </w:r>
          </w:p>
        </w:tc>
        <w:tc>
          <w:tcPr>
            <w:tcW w:type="dxa" w:w="31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§6.5</w:t>
            </w:r>
          </w:p>
        </w:tc>
      </w:tr>
    </w:tbl>
    <w:p>
      <w:pPr>
        <w:bidi/>
        <w:spacing w:after="120" w:before="0"/>
      </w:pPr>
    </w:p>
    <w:p>
      <w:pPr>
        <w:bidi/>
        <w:spacing w:after="110" w:before="0" w:line="312"/>
      </w:pPr>
      <w:r>
        <w:rPr>
          <w:rFonts w:ascii="Arial" w:cs="Arial" w:eastAsia="Arial" w:hAnsi="Arial"/>
          <w:b w:val="false"/>
          <w:bCs w:val="false"/>
          <w:sz w:val="21"/>
          <w:szCs w:val="21"/>
          <w:rtl/>
        </w:rPr>
        <w:t xml:space="preserve">قواعد كل انتقال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w:t>
      </w:r>
    </w:p>
    <w:p>
      <w:pPr>
        <w:pStyle w:val="ListParagraph"/>
        <w:numPr>
          <w:ilvl w:val="0"/>
          <w:numId w:val="2"/>
        </w:numPr>
        <w:bidi/>
        <w:spacing w:after="70" w:before="0" w:line="300"/>
      </w:pPr>
      <w:r>
        <w:rPr>
          <w:rFonts w:ascii="Arial" w:cs="Arial" w:eastAsia="Arial" w:hAnsi="Arial"/>
          <w:b w:val="false"/>
          <w:bCs w:val="false"/>
          <w:sz w:val="21"/>
          <w:szCs w:val="21"/>
          <w:rtl/>
        </w:rPr>
        <w:t xml:space="preserve">يمر كل انتقال بإجراء واحد </w:t>
      </w:r>
      <w:r>
        <w:rPr>
          <w:rFonts w:ascii="Courier New" w:cs="Courier New" w:eastAsia="Courier New" w:hAnsi="Courier New"/>
          <w:b w:val="false"/>
          <w:bCs w:val="false"/>
          <w:color w:val="1F2937"/>
          <w:sz w:val="18"/>
          <w:szCs w:val="18"/>
          <w:shd w:fill="F1F3F5" w:color="auto" w:val="clear"/>
          <w:rtl/>
        </w:rPr>
        <w:t xml:space="preserve">‎plat.usp_SetTenantStatus(@TenantId, @NewStatus, @Reason)‎</w:t>
      </w:r>
      <w:r>
        <w:rPr>
          <w:rFonts w:ascii="Arial" w:cs="Arial" w:eastAsia="Arial" w:hAnsi="Arial"/>
          <w:b w:val="false"/>
          <w:bCs w:val="false"/>
          <w:sz w:val="21"/>
          <w:szCs w:val="21"/>
          <w:rtl/>
        </w:rPr>
        <w:t xml:space="preserve">. يفحص أن الانتقال مسموح، ويضبط الأعمدة، ويكتب التدقيق وحدث </w:t>
      </w:r>
      <w:r>
        <w:rPr>
          <w:rFonts w:ascii="Courier New" w:cs="Courier New" w:eastAsia="Courier New" w:hAnsi="Courier New"/>
          <w:b w:val="false"/>
          <w:bCs w:val="false"/>
          <w:color w:val="1F2937"/>
          <w:sz w:val="18"/>
          <w:szCs w:val="18"/>
          <w:shd w:fill="F1F3F5" w:color="auto" w:val="clear"/>
          <w:rtl/>
        </w:rPr>
        <w:t xml:space="preserve">‎tenant.status_changed‎</w:t>
      </w:r>
      <w:r>
        <w:rPr>
          <w:rFonts w:ascii="Arial" w:cs="Arial" w:eastAsia="Arial" w:hAnsi="Arial"/>
          <w:b w:val="false"/>
          <w:bCs w:val="false"/>
          <w:sz w:val="21"/>
          <w:szCs w:val="21"/>
          <w:rtl/>
        </w:rPr>
        <w:t xml:space="preserve"> في معاملة واحدة (FR-PLT-002).</w:t>
      </w:r>
    </w:p>
    <w:p>
      <w:pPr>
        <w:pStyle w:val="ListParagraph"/>
        <w:numPr>
          <w:ilvl w:val="0"/>
          <w:numId w:val="2"/>
        </w:numPr>
        <w:bidi/>
        <w:spacing w:after="70" w:before="0" w:line="300"/>
      </w:pPr>
      <w:r>
        <w:rPr>
          <w:rFonts w:ascii="Arial" w:cs="Arial" w:eastAsia="Arial" w:hAnsi="Arial"/>
          <w:b w:val="false"/>
          <w:bCs w:val="false"/>
          <w:sz w:val="21"/>
          <w:szCs w:val="21"/>
          <w:rtl/>
        </w:rPr>
        <w:t xml:space="preserve">اليوم يستطيع </w:t>
      </w:r>
      <w:r>
        <w:rPr>
          <w:rFonts w:ascii="Courier New" w:cs="Courier New" w:eastAsia="Courier New" w:hAnsi="Courier New"/>
          <w:b w:val="false"/>
          <w:bCs w:val="false"/>
          <w:color w:val="1F2937"/>
          <w:sz w:val="18"/>
          <w:szCs w:val="18"/>
          <w:shd w:fill="F1F3F5" w:color="auto" w:val="clear"/>
          <w:rtl/>
        </w:rPr>
        <w:t xml:space="preserve">‎tp_platform‎</w:t>
      </w:r>
      <w:r>
        <w:rPr>
          <w:rFonts w:ascii="Arial" w:cs="Arial" w:eastAsia="Arial" w:hAnsi="Arial"/>
          <w:b w:val="false"/>
          <w:bCs w:val="false"/>
          <w:sz w:val="21"/>
          <w:szCs w:val="21"/>
          <w:rtl/>
        </w:rPr>
        <w:t xml:space="preserve"> تحديث </w:t>
      </w:r>
      <w:r>
        <w:rPr>
          <w:rFonts w:ascii="Courier New" w:cs="Courier New" w:eastAsia="Courier New" w:hAnsi="Courier New"/>
          <w:b w:val="false"/>
          <w:bCs w:val="false"/>
          <w:color w:val="1F2937"/>
          <w:sz w:val="18"/>
          <w:szCs w:val="18"/>
          <w:shd w:fill="F1F3F5" w:color="auto" w:val="clear"/>
          <w:rtl/>
        </w:rPr>
        <w:t xml:space="preserve">‎plat.Tenant‎</w:t>
      </w:r>
      <w:r>
        <w:rPr>
          <w:rFonts w:ascii="Arial" w:cs="Arial" w:eastAsia="Arial" w:hAnsi="Arial"/>
          <w:b w:val="false"/>
          <w:bCs w:val="false"/>
          <w:sz w:val="21"/>
          <w:szCs w:val="21"/>
          <w:rtl/>
        </w:rPr>
        <w:t xml:space="preserve"> مباشرة (db/generated/tsql/007_table_grants.sql:14). يُقترح </w:t>
      </w:r>
      <w:r>
        <w:rPr>
          <w:rFonts w:ascii="Courier New" w:cs="Courier New" w:eastAsia="Courier New" w:hAnsi="Courier New"/>
          <w:b w:val="false"/>
          <w:bCs w:val="false"/>
          <w:color w:val="1F2937"/>
          <w:sz w:val="18"/>
          <w:szCs w:val="18"/>
          <w:shd w:fill="F1F3F5" w:color="auto" w:val="clear"/>
          <w:rtl/>
        </w:rPr>
        <w:t xml:space="preserve">‎DENY UPDATE‎</w:t>
      </w:r>
      <w:r>
        <w:rPr>
          <w:rFonts w:ascii="Arial" w:cs="Arial" w:eastAsia="Arial" w:hAnsi="Arial"/>
          <w:b w:val="false"/>
          <w:bCs w:val="false"/>
          <w:sz w:val="21"/>
          <w:szCs w:val="21"/>
          <w:rtl/>
        </w:rPr>
        <w:t xml:space="preserve"> على أعمدة </w:t>
      </w:r>
      <w:r>
        <w:rPr>
          <w:rFonts w:ascii="Courier New" w:cs="Courier New" w:eastAsia="Courier New" w:hAnsi="Courier New"/>
          <w:b w:val="false"/>
          <w:bCs w:val="false"/>
          <w:color w:val="1F2937"/>
          <w:sz w:val="18"/>
          <w:szCs w:val="18"/>
          <w:shd w:fill="F1F3F5" w:color="auto" w:val="clear"/>
          <w:rtl/>
        </w:rPr>
        <w:t xml:space="preserve">‎Status‎</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‎ClosedAt‎</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‎ArchivedAt‎</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‎ActivatedAt‎</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‎Code‎</w:t>
      </w:r>
      <w:r>
        <w:rPr>
          <w:rFonts w:ascii="Arial" w:cs="Arial" w:eastAsia="Arial" w:hAnsi="Arial"/>
          <w:b w:val="false"/>
          <w:bCs w:val="false"/>
          <w:sz w:val="21"/>
          <w:szCs w:val="21"/>
          <w:rtl/>
        </w:rPr>
        <w:t xml:space="preserve"> لـ</w:t>
      </w:r>
      <w:r>
        <w:rPr>
          <w:rFonts w:ascii="Courier New" w:cs="Courier New" w:eastAsia="Courier New" w:hAnsi="Courier New"/>
          <w:b w:val="false"/>
          <w:bCs w:val="false"/>
          <w:color w:val="1F2937"/>
          <w:sz w:val="18"/>
          <w:szCs w:val="18"/>
          <w:shd w:fill="F1F3F5" w:color="auto" w:val="clear"/>
          <w:rtl/>
        </w:rPr>
        <w:t xml:space="preserve">‎tp_platform‎</w:t>
      </w:r>
      <w:r>
        <w:rPr>
          <w:rFonts w:ascii="Arial" w:cs="Arial" w:eastAsia="Arial" w:hAnsi="Arial"/>
          <w:b w:val="false"/>
          <w:bCs w:val="false"/>
          <w:sz w:val="21"/>
          <w:szCs w:val="21"/>
          <w:rtl/>
        </w:rPr>
        <w:t xml:space="preserve">، ويوضع في ملف يُنشر بعد 007 وفق قاعدة الترتيب (db/static/020_roles_and_grants.sql:70-71؛ DOC-S08). (DQ-F05-5)</w:t>
      </w:r>
    </w:p>
    <w:p>
      <w:pPr>
        <w:pStyle w:val="ListParagraph"/>
        <w:numPr>
          <w:ilvl w:val="0"/>
          <w:numId w:val="2"/>
        </w:numPr>
        <w:bidi/>
        <w:spacing w:after="70" w:before="0" w:line="300"/>
      </w:pPr>
      <w:r>
        <w:rPr>
          <w:rFonts w:ascii="Arial" w:cs="Arial" w:eastAsia="Arial" w:hAnsi="Arial"/>
          <w:b w:val="false"/>
          <w:bCs w:val="false"/>
          <w:sz w:val="21"/>
          <w:szCs w:val="21"/>
          <w:rtl/>
        </w:rPr>
        <w:t xml:space="preserve">عند التعليق والإغلاق تُنهى الجلسات المفتوحة بسبب </w:t>
      </w:r>
      <w:r>
        <w:rPr>
          <w:rFonts w:ascii="Courier New" w:cs="Courier New" w:eastAsia="Courier New" w:hAnsi="Courier New"/>
          <w:b w:val="false"/>
          <w:bCs w:val="false"/>
          <w:color w:val="1F2937"/>
          <w:sz w:val="18"/>
          <w:szCs w:val="18"/>
          <w:shd w:fill="F1F3F5" w:color="auto" w:val="clear"/>
          <w:rtl/>
        </w:rPr>
        <w:t xml:space="preserve">‎TENANT_SUSPENDED‎</w:t>
      </w:r>
      <w:r>
        <w:rPr>
          <w:rFonts w:ascii="Arial" w:cs="Arial" w:eastAsia="Arial" w:hAnsi="Arial"/>
          <w:b w:val="false"/>
          <w:bCs w:val="false"/>
          <w:sz w:val="21"/>
          <w:szCs w:val="21"/>
          <w:rtl/>
        </w:rPr>
        <w:t xml:space="preserve"> (docs/21-data-dictionary.md:396)، عدا ما تسمح به مصفوفة DOC-F04 §7.4. القادح يحذف الربط فقط اليوم.</w:t>
      </w:r>
    </w:p>
    <w:p>
      <w:pPr>
        <w:bidi/>
        <w:spacing w:after="60" w:before="0"/>
      </w:pPr>
    </w:p>
    <w:p>
      <w:pPr>
        <w:pStyle w:val="Heading2"/>
        <w:bidi/>
      </w:pPr>
      <w:bookmarkStart w:name="_sec14" w:id="14"/>
      <w:r>
        <w:rPr>
          <w:rFonts w:ascii="Arial" w:cs="Arial" w:eastAsia="Arial" w:hAnsi="Arial"/>
          <w:b/>
          <w:bCs/>
          <w:color w:val="2B5C8A"/>
          <w:sz w:val="26"/>
          <w:szCs w:val="26"/>
          <w:rtl/>
        </w:rPr>
        <w:t xml:space="preserve">6.3 المؤقتات والمهام </w:t>
      </w:r>
      <w:r>
        <w:rPr>
          <w:rFonts w:ascii="Arial" w:cs="Arial" w:eastAsia="Arial" w:hAnsi="Arial"/>
          <w:color w:val="E0A800"/>
          <w:sz w:val="26"/>
          <w:szCs w:val="26"/>
          <w:rtl/>
        </w:rPr>
        <w:t xml:space="preserve">●</w:t>
      </w:r>
      <w:bookmarkEnd w:id="14"/>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828"/>
        <w:gridCol w:w="982"/>
        <w:gridCol w:w="1614"/>
        <w:gridCol w:w="2422"/>
        <w:gridCol w:w="2018"/>
      </w:tblGrid>
      <w:tr>
        <w:trPr>
          <w:cantSplit/>
          <w:tblHeader/>
        </w:trPr>
        <w:tc>
          <w:tcPr>
            <w:tcW w:type="dxa" w:w="282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المهمة</w:t>
            </w:r>
          </w:p>
        </w:tc>
        <w:tc>
          <w:tcPr>
            <w:tcW w:type="dxa" w:w="98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الموعد</w:t>
            </w:r>
          </w:p>
        </w:tc>
        <w:tc>
          <w:tcPr>
            <w:tcW w:type="dxa" w:w="161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الشرط</w:t>
            </w:r>
          </w:p>
        </w:tc>
        <w:tc>
          <w:tcPr>
            <w:tcW w:type="dxa" w:w="242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الفعل</w:t>
            </w:r>
          </w:p>
        </w:tc>
        <w:tc>
          <w:tcPr>
            <w:tcW w:type="dxa" w:w="201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مفتاح عدم التكرار</w:t>
            </w:r>
          </w:p>
        </w:tc>
      </w:tr>
      <w:tr>
        <w:trPr>
          <w:cantSplit/>
        </w:trPr>
        <w:tc>
          <w:tcPr>
            <w:tcW w:type="dxa" w:w="28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JOB-PLT-TRIAL-REMIND</w:t>
            </w:r>
          </w:p>
        </w:tc>
        <w:tc>
          <w:tcPr>
            <w:tcW w:type="dxa" w:w="9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يوميًا</w:t>
            </w:r>
          </w:p>
        </w:tc>
        <w:tc>
          <w:tcPr>
            <w:tcW w:type="dxa" w:w="16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TRIAL و</w:t>
            </w:r>
            <w:r>
              <w:rPr>
                <w:rFonts w:ascii="Courier New" w:cs="Courier New" w:eastAsia="Courier New" w:hAnsi="Courier New"/>
                <w:b w:val="false"/>
                <w:bCs w:val="false"/>
                <w:color w:val="1F2937"/>
                <w:sz w:val="16"/>
                <w:szCs w:val="16"/>
                <w:shd w:fill="F1F3F5" w:color="auto" w:val="clear"/>
                <w:rtl/>
              </w:rPr>
              <w:t xml:space="preserve">‎TrialEndsOn‎</w:t>
            </w:r>
            <w:r>
              <w:rPr>
                <w:rFonts w:ascii="Arial" w:cs="Arial" w:eastAsia="Arial" w:hAnsi="Arial"/>
                <w:b w:val="false"/>
                <w:bCs w:val="false"/>
                <w:sz w:val="18"/>
                <w:szCs w:val="18"/>
                <w:rtl/>
              </w:rPr>
              <w:t xml:space="preserve"> بعد 7 أو 3 أو 1 أيام</w:t>
            </w:r>
          </w:p>
        </w:tc>
        <w:tc>
          <w:tcPr>
            <w:tcW w:type="dxa" w:w="24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تنبيه مدير الحساب والمشغّل (BR-PLT-002)</w:t>
            </w:r>
          </w:p>
        </w:tc>
        <w:tc>
          <w:tcPr>
            <w:tcW w:type="dxa" w:w="20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(المشترك، عدد الأيام)</w:t>
            </w:r>
          </w:p>
        </w:tc>
      </w:tr>
      <w:tr>
        <w:trPr>
          <w:cantSplit/>
        </w:trPr>
        <w:tc>
          <w:tcPr>
            <w:tcW w:type="dxa" w:w="28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JOB-PLT-TRIAL-EXPIRE</w:t>
            </w:r>
          </w:p>
        </w:tc>
        <w:tc>
          <w:tcPr>
            <w:tcW w:type="dxa" w:w="9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يوميًا</w:t>
            </w:r>
          </w:p>
        </w:tc>
        <w:tc>
          <w:tcPr>
            <w:tcW w:type="dxa" w:w="16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TRIAL و</w:t>
            </w:r>
            <w:r>
              <w:rPr>
                <w:rFonts w:ascii="Courier New" w:cs="Courier New" w:eastAsia="Courier New" w:hAnsi="Courier New"/>
                <w:b w:val="false"/>
                <w:bCs w:val="false"/>
                <w:color w:val="1F2937"/>
                <w:sz w:val="16"/>
                <w:szCs w:val="16"/>
                <w:shd w:fill="F1F3F5" w:color="auto" w:val="clear"/>
                <w:rtl/>
              </w:rPr>
              <w:t xml:space="preserve">‎TrialEndsOn‎</w:t>
            </w:r>
            <w:r>
              <w:rPr>
                <w:rFonts w:ascii="Arial" w:cs="Arial" w:eastAsia="Arial" w:hAnsi="Arial"/>
                <w:b w:val="false"/>
                <w:bCs w:val="false"/>
                <w:sz w:val="18"/>
                <w:szCs w:val="18"/>
                <w:rtl/>
              </w:rPr>
              <w:t xml:space="preserve"> قبل اليوم بتوقيت المشترك</w:t>
            </w:r>
          </w:p>
        </w:tc>
        <w:tc>
          <w:tcPr>
            <w:tcW w:type="dxa" w:w="24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انتقال إلى SUSPENDED بسبب </w:t>
            </w:r>
            <w:r>
              <w:rPr>
                <w:rFonts w:ascii="Courier New" w:cs="Courier New" w:eastAsia="Courier New" w:hAnsi="Courier New"/>
                <w:b w:val="false"/>
                <w:bCs w:val="false"/>
                <w:color w:val="1F2937"/>
                <w:sz w:val="16"/>
                <w:szCs w:val="16"/>
                <w:shd w:fill="F1F3F5" w:color="auto" w:val="clear"/>
                <w:rtl/>
              </w:rPr>
              <w:t xml:space="preserve">‎TRIAL_EXPIRED‎</w:t>
            </w:r>
          </w:p>
        </w:tc>
        <w:tc>
          <w:tcPr>
            <w:tcW w:type="dxa" w:w="20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(المشترك، </w:t>
            </w:r>
            <w:r>
              <w:rPr>
                <w:rFonts w:ascii="Courier New" w:cs="Courier New" w:eastAsia="Courier New" w:hAnsi="Courier New"/>
                <w:b w:val="false"/>
                <w:bCs w:val="false"/>
                <w:color w:val="1F2937"/>
                <w:sz w:val="16"/>
                <w:szCs w:val="16"/>
                <w:shd w:fill="F1F3F5" w:color="auto" w:val="clear"/>
                <w:rtl/>
              </w:rPr>
              <w:t xml:space="preserve">‎TrialEndsOn‎</w:t>
            </w:r>
            <w:r>
              <w:rPr>
                <w:rFonts w:ascii="Arial" w:cs="Arial" w:eastAsia="Arial" w:hAnsi="Arial"/>
                <w:b w:val="false"/>
                <w:bCs w:val="false"/>
                <w:sz w:val="18"/>
                <w:szCs w:val="18"/>
                <w:rtl/>
              </w:rPr>
              <w:t xml:space="preserve">)</w:t>
            </w:r>
          </w:p>
        </w:tc>
      </w:tr>
      <w:tr>
        <w:trPr>
          <w:cantSplit/>
        </w:trPr>
        <w:tc>
          <w:tcPr>
            <w:tcW w:type="dxa" w:w="28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JOB-PLT-ARCHIVE</w:t>
            </w:r>
          </w:p>
        </w:tc>
        <w:tc>
          <w:tcPr>
            <w:tcW w:type="dxa" w:w="9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يوميًا</w:t>
            </w:r>
          </w:p>
        </w:tc>
        <w:tc>
          <w:tcPr>
            <w:tcW w:type="dxa" w:w="16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CLOSED و</w:t>
            </w:r>
            <w:r>
              <w:rPr>
                <w:rFonts w:ascii="Courier New" w:cs="Courier New" w:eastAsia="Courier New" w:hAnsi="Courier New"/>
                <w:b w:val="false"/>
                <w:bCs w:val="false"/>
                <w:color w:val="1F2937"/>
                <w:sz w:val="16"/>
                <w:szCs w:val="16"/>
                <w:shd w:fill="F1F3F5" w:color="auto" w:val="clear"/>
                <w:rtl/>
              </w:rPr>
              <w:t xml:space="preserve">‎ClosedAt‎</w:t>
            </w:r>
            <w:r>
              <w:rPr>
                <w:rFonts w:ascii="Arial" w:cs="Arial" w:eastAsia="Arial" w:hAnsi="Arial"/>
                <w:b w:val="false"/>
                <w:bCs w:val="false"/>
                <w:sz w:val="18"/>
                <w:szCs w:val="18"/>
                <w:rtl/>
              </w:rPr>
              <w:t xml:space="preserve"> + 30 يومًا انقضت</w:t>
            </w:r>
          </w:p>
        </w:tc>
        <w:tc>
          <w:tcPr>
            <w:tcW w:type="dxa" w:w="24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انتقال إلى ARCHIVED_READ_ONLY</w:t>
            </w:r>
          </w:p>
        </w:tc>
        <w:tc>
          <w:tcPr>
            <w:tcW w:type="dxa" w:w="20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المشترك</w:t>
            </w:r>
          </w:p>
        </w:tc>
      </w:tr>
      <w:tr>
        <w:trPr>
          <w:cantSplit/>
        </w:trPr>
        <w:tc>
          <w:tcPr>
            <w:tcW w:type="dxa" w:w="28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JOB-PLT-EXPORT-EXPIRE</w:t>
            </w:r>
          </w:p>
        </w:tc>
        <w:tc>
          <w:tcPr>
            <w:tcW w:type="dxa" w:w="9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يوميًا</w:t>
            </w:r>
          </w:p>
        </w:tc>
        <w:tc>
          <w:tcPr>
            <w:tcW w:type="dxa" w:w="16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حزمة READY انتهت مهلتها</w:t>
            </w:r>
          </w:p>
        </w:tc>
        <w:tc>
          <w:tcPr>
            <w:tcW w:type="dxa" w:w="24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READY إلى EXPIRED وحذف الملف</w:t>
            </w:r>
          </w:p>
        </w:tc>
        <w:tc>
          <w:tcPr>
            <w:tcW w:type="dxa" w:w="20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‎DataExportJobId‎</w:t>
            </w:r>
          </w:p>
        </w:tc>
      </w:tr>
    </w:tbl>
    <w:p>
      <w:pPr>
        <w:bidi/>
        <w:spacing w:after="120" w:before="0"/>
      </w:pPr>
    </w:p>
    <w:p>
      <w:pPr>
        <w:pStyle w:val="ListParagraph"/>
        <w:numPr>
          <w:ilvl w:val="0"/>
          <w:numId w:val="2"/>
        </w:numPr>
        <w:bidi/>
        <w:spacing w:after="70" w:before="0" w:line="300"/>
      </w:pPr>
      <w:r>
        <w:rPr>
          <w:rFonts w:ascii="Arial" w:cs="Arial" w:eastAsia="Arial" w:hAnsi="Arial"/>
          <w:b w:val="false"/>
          <w:bCs w:val="false"/>
          <w:sz w:val="21"/>
          <w:szCs w:val="21"/>
          <w:rtl/>
        </w:rPr>
        <w:t xml:space="preserve">تتبع هذه المهام نمط مهام </w:t>
      </w:r>
      <w:r>
        <w:rPr>
          <w:rFonts w:ascii="Courier New" w:cs="Courier New" w:eastAsia="Courier New" w:hAnsi="Courier New"/>
          <w:b w:val="false"/>
          <w:bCs w:val="false"/>
          <w:color w:val="1F2937"/>
          <w:sz w:val="18"/>
          <w:szCs w:val="18"/>
          <w:shd w:fill="F1F3F5" w:color="auto" w:val="clear"/>
          <w:rtl/>
        </w:rPr>
        <w:t xml:space="preserve">‎13‎</w:t>
      </w:r>
      <w:r>
        <w:rPr>
          <w:rFonts w:ascii="Arial" w:cs="Arial" w:eastAsia="Arial" w:hAnsi="Arial"/>
          <w:b w:val="false"/>
          <w:bCs w:val="false"/>
          <w:sz w:val="21"/>
          <w:szCs w:val="21"/>
          <w:rtl/>
        </w:rPr>
        <w:t xml:space="preserve"> (متكررة الأمان، تعوّض التوقف، docs/10-detailed-analysis/13-m6-workflow-engine-notifications.md:633).</w:t>
      </w:r>
    </w:p>
    <w:p>
      <w:pPr>
        <w:pStyle w:val="ListParagraph"/>
        <w:numPr>
          <w:ilvl w:val="0"/>
          <w:numId w:val="2"/>
        </w:numPr>
        <w:bidi/>
        <w:spacing w:after="70" w:before="0" w:line="300"/>
      </w:pPr>
      <w:r>
        <w:rPr>
          <w:rFonts w:ascii="Arial" w:cs="Arial" w:eastAsia="Arial" w:hAnsi="Arial"/>
          <w:b w:val="false"/>
          <w:bCs w:val="false"/>
          <w:sz w:val="21"/>
          <w:szCs w:val="21"/>
          <w:rtl/>
        </w:rPr>
        <w:t xml:space="preserve">تعمل مهام الانتقال على مستوى المنصة، فتستدعي </w:t>
      </w:r>
      <w:r>
        <w:rPr>
          <w:rFonts w:ascii="Courier New" w:cs="Courier New" w:eastAsia="Courier New" w:hAnsi="Courier New"/>
          <w:b w:val="false"/>
          <w:bCs w:val="false"/>
          <w:color w:val="1F2937"/>
          <w:sz w:val="18"/>
          <w:szCs w:val="18"/>
          <w:shd w:fill="F1F3F5" w:color="auto" w:val="clear"/>
          <w:rtl/>
        </w:rPr>
        <w:t xml:space="preserve">‎plat.usp_SetTenantStatus‎</w:t>
      </w:r>
      <w:r>
        <w:rPr>
          <w:rFonts w:ascii="Arial" w:cs="Arial" w:eastAsia="Arial" w:hAnsi="Arial"/>
          <w:b w:val="false"/>
          <w:bCs w:val="false"/>
          <w:sz w:val="21"/>
          <w:szCs w:val="21"/>
          <w:rtl/>
        </w:rPr>
        <w:t xml:space="preserve"> بصلاحية محصورة في الانتقالين الآليين. وتُسجَّل في </w:t>
      </w:r>
      <w:r>
        <w:rPr>
          <w:rFonts w:ascii="Courier New" w:cs="Courier New" w:eastAsia="Courier New" w:hAnsi="Courier New"/>
          <w:b w:val="false"/>
          <w:bCs w:val="false"/>
          <w:color w:val="1F2937"/>
          <w:sz w:val="18"/>
          <w:szCs w:val="18"/>
          <w:shd w:fill="F1F3F5" w:color="auto" w:val="clear"/>
          <w:rtl/>
        </w:rPr>
        <w:t xml:space="preserve">‎aud.AuditLog‎</w:t>
      </w:r>
      <w:r>
        <w:rPr>
          <w:rFonts w:ascii="Arial" w:cs="Arial" w:eastAsia="Arial" w:hAnsi="Arial"/>
          <w:b w:val="false"/>
          <w:bCs w:val="false"/>
          <w:sz w:val="21"/>
          <w:szCs w:val="21"/>
          <w:rtl/>
        </w:rPr>
        <w:t xml:space="preserve"> لأن </w:t>
      </w:r>
      <w:r>
        <w:rPr>
          <w:rFonts w:ascii="Courier New" w:cs="Courier New" w:eastAsia="Courier New" w:hAnsi="Courier New"/>
          <w:b w:val="false"/>
          <w:bCs w:val="false"/>
          <w:color w:val="1F2937"/>
          <w:sz w:val="18"/>
          <w:szCs w:val="18"/>
          <w:shd w:fill="F1F3F5" w:color="auto" w:val="clear"/>
          <w:rtl/>
        </w:rPr>
        <w:t xml:space="preserve">‎cfg.JobRun‎</w:t>
      </w:r>
      <w:r>
        <w:rPr>
          <w:rFonts w:ascii="Arial" w:cs="Arial" w:eastAsia="Arial" w:hAnsi="Arial"/>
          <w:b w:val="false"/>
          <w:bCs w:val="false"/>
          <w:sz w:val="21"/>
          <w:szCs w:val="21"/>
          <w:rtl/>
        </w:rPr>
        <w:t xml:space="preserve"> جدول مشترك. (DQ-F05-6)</w:t>
      </w:r>
    </w:p>
    <w:p>
      <w:pPr>
        <w:pStyle w:val="ListParagraph"/>
        <w:numPr>
          <w:ilvl w:val="0"/>
          <w:numId w:val="2"/>
        </w:numPr>
        <w:bidi/>
        <w:spacing w:after="70" w:before="0" w:line="300"/>
      </w:pPr>
      <w:r>
        <w:rPr>
          <w:rFonts w:ascii="Arial" w:cs="Arial" w:eastAsia="Arial" w:hAnsi="Arial"/>
          <w:b w:val="false"/>
          <w:bCs w:val="false"/>
          <w:sz w:val="21"/>
          <w:szCs w:val="21"/>
          <w:rtl/>
        </w:rPr>
        <w:t xml:space="preserve">المثال في BR-PLT-002: تجربة بدأت 2026-10-10 تنتهي 2026-11-09؛ مشترك أُغلق 2026-12-01 يصير ARCHIVED_READ_ONLY في 2026-12-31 (docs/10-detailed-analysis/10-m0-m1-platform-organization.md:228).</w:t>
      </w:r>
    </w:p>
    <w:p>
      <w:pPr>
        <w:bidi/>
        <w:spacing w:after="60" w:before="0"/>
      </w:pPr>
    </w:p>
    <w:p>
      <w:pPr>
        <w:pStyle w:val="Heading2"/>
        <w:bidi/>
      </w:pPr>
      <w:bookmarkStart w:name="_sec15" w:id="15"/>
      <w:r>
        <w:rPr>
          <w:rFonts w:ascii="Arial" w:cs="Arial" w:eastAsia="Arial" w:hAnsi="Arial"/>
          <w:b/>
          <w:bCs/>
          <w:color w:val="2B5C8A"/>
          <w:sz w:val="26"/>
          <w:szCs w:val="26"/>
          <w:rtl/>
        </w:rPr>
        <w:t xml:space="preserve">6.4 نافذة التصدير بعد الإغلاق</w:t>
      </w:r>
      <w:bookmarkEnd w:id="15"/>
    </w:p>
    <w:p>
      <w:pPr>
        <w:pStyle w:val="ListParagraph"/>
        <w:numPr>
          <w:ilvl w:val="0"/>
          <w:numId w:val="2"/>
        </w:numPr>
        <w:bidi/>
        <w:spacing w:after="70" w:before="0" w:line="300"/>
      </w:pPr>
      <w:r>
        <w:rPr>
          <w:rFonts w:ascii="Arial" w:cs="Arial" w:eastAsia="Arial" w:hAnsi="Arial"/>
          <w:b w:val="false"/>
          <w:bCs w:val="false"/>
          <w:sz w:val="21"/>
          <w:szCs w:val="21"/>
          <w:rtl/>
        </w:rPr>
        <w:t xml:space="preserve">المدة 30 يومًا من </w:t>
      </w:r>
      <w:r>
        <w:rPr>
          <w:rFonts w:ascii="Courier New" w:cs="Courier New" w:eastAsia="Courier New" w:hAnsi="Courier New"/>
          <w:b w:val="false"/>
          <w:bCs w:val="false"/>
          <w:color w:val="1F2937"/>
          <w:sz w:val="18"/>
          <w:szCs w:val="18"/>
          <w:shd w:fill="F1F3F5" w:color="auto" w:val="clear"/>
          <w:rtl/>
        </w:rPr>
        <w:t xml:space="preserve">‎ClosedAt‎</w:t>
      </w:r>
      <w:r>
        <w:rPr>
          <w:rFonts w:ascii="Arial" w:cs="Arial" w:eastAsia="Arial" w:hAnsi="Arial"/>
          <w:b w:val="false"/>
          <w:bCs w:val="false"/>
          <w:sz w:val="21"/>
          <w:szCs w:val="21"/>
          <w:rtl/>
        </w:rPr>
        <w:t xml:space="preserve">، والتصدير وحده مسموح فيها (BR-PLT-002). </w:t>
      </w:r>
      <w:r>
        <w:rPr>
          <w:rFonts w:ascii="Arial" w:cs="Arial" w:eastAsia="Arial" w:hAnsi="Arial"/>
          <w:color w:val="2E9E44"/>
          <w:sz w:val="21"/>
          <w:szCs w:val="21"/>
          <w:rtl/>
        </w:rPr>
        <w:t xml:space="preserve">●</w:t>
      </w:r>
    </w:p>
    <w:p>
      <w:pPr>
        <w:pStyle w:val="ListParagraph"/>
        <w:numPr>
          <w:ilvl w:val="0"/>
          <w:numId w:val="2"/>
        </w:numPr>
        <w:bidi/>
        <w:spacing w:after="70" w:before="0" w:line="300"/>
      </w:pPr>
      <w:r>
        <w:rPr>
          <w:rFonts w:ascii="Arial" w:cs="Arial" w:eastAsia="Arial" w:hAnsi="Arial"/>
          <w:b w:val="false"/>
          <w:bCs w:val="false"/>
          <w:sz w:val="21"/>
          <w:szCs w:val="21"/>
          <w:rtl/>
        </w:rPr>
        <w:t xml:space="preserve">الطلب في </w:t>
      </w:r>
      <w:r>
        <w:rPr>
          <w:rFonts w:ascii="Courier New" w:cs="Courier New" w:eastAsia="Courier New" w:hAnsi="Courier New"/>
          <w:b w:val="false"/>
          <w:bCs w:val="false"/>
          <w:color w:val="1F2937"/>
          <w:sz w:val="18"/>
          <w:szCs w:val="18"/>
          <w:shd w:fill="F1F3F5" w:color="auto" w:val="clear"/>
          <w:rtl/>
        </w:rPr>
        <w:t xml:space="preserve">‎cfg.DataExportJob‎</w:t>
      </w:r>
      <w:r>
        <w:rPr>
          <w:rFonts w:ascii="Arial" w:cs="Arial" w:eastAsia="Arial" w:hAnsi="Arial"/>
          <w:b w:val="false"/>
          <w:bCs w:val="false"/>
          <w:sz w:val="21"/>
          <w:szCs w:val="21"/>
          <w:rtl/>
        </w:rPr>
        <w:t xml:space="preserve">، والبيانات المقيّدة تحتاج موافقة حامل صلاحية الكشف، والحزمة الجاهزة تنتهي بعد 7 أيام (docs/21-data-dictionary.md:847-877، :865). </w:t>
      </w:r>
      <w:r>
        <w:rPr>
          <w:rFonts w:ascii="Arial" w:cs="Arial" w:eastAsia="Arial" w:hAnsi="Arial"/>
          <w:color w:val="2E9E44"/>
          <w:sz w:val="21"/>
          <w:szCs w:val="21"/>
          <w:rtl/>
        </w:rPr>
        <w:t xml:space="preserve">●</w:t>
      </w:r>
    </w:p>
    <w:p>
      <w:pPr>
        <w:pStyle w:val="ListParagraph"/>
        <w:numPr>
          <w:ilvl w:val="0"/>
          <w:numId w:val="2"/>
        </w:numPr>
        <w:bidi/>
        <w:spacing w:after="70" w:before="0" w:line="300"/>
      </w:pPr>
      <w:r>
        <w:rPr>
          <w:rFonts w:ascii="Segoe UI Emoji" w:cs="Segoe UI Emoji" w:eastAsia="Segoe UI Emoji" w:hAnsi="Segoe UI Emoji"/>
          <w:sz w:val="21"/>
          <w:szCs w:val="21"/>
          <w:rtl/>
        </w:rPr>
        <w:t xml:space="preserve">✅</w:t>
      </w:r>
      <w:r>
        <w:rPr>
          <w:rFonts w:ascii="Arial" w:cs="Arial" w:eastAsia="Arial" w:hAnsi="Arial"/>
          <w:b w:val="false"/>
          <w:bCs w:val="false"/>
          <w:sz w:val="21"/>
          <w:szCs w:val="21"/>
          <w:rtl/>
        </w:rPr>
        <w:t xml:space="preserve"> منفّذ (2026-10-13، docs/adr/0008-data-export-in-read-only-states.md): التصدير في SUSPENDED وفي CLOSED خلال النافذة يمر بإجراءات بصفة </w:t>
      </w:r>
      <w:r>
        <w:rPr>
          <w:rFonts w:ascii="Courier New" w:cs="Courier New" w:eastAsia="Courier New" w:hAnsi="Courier New"/>
          <w:b w:val="false"/>
          <w:bCs w:val="false"/>
          <w:color w:val="1F2937"/>
          <w:sz w:val="18"/>
          <w:szCs w:val="18"/>
          <w:shd w:fill="F1F3F5" w:color="auto" w:val="clear"/>
          <w:rtl/>
        </w:rPr>
        <w:t xml:space="preserve">‎tp_auth_exec‎</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‎cfg.usp_RequestDataExport‎</w:t>
      </w:r>
      <w:r>
        <w:rPr>
          <w:rFonts w:ascii="Arial" w:cs="Arial" w:eastAsia="Arial" w:hAnsi="Arial"/>
          <w:b w:val="false"/>
          <w:bCs w:val="false"/>
          <w:sz w:val="21"/>
          <w:szCs w:val="21"/>
          <w:rtl/>
        </w:rPr>
        <w:t xml:space="preserve"> لمدير الحساب، ومهمة JOB-PLT-EXPORT الجديدة بحساب الخدمة)، لأن الكتابة المباشرة مرفوضة فيهما (db/static/010_rls.sql:35-41).</w:t>
      </w:r>
    </w:p>
    <w:p>
      <w:pPr>
        <w:pStyle w:val="ListParagraph"/>
        <w:numPr>
          <w:ilvl w:val="0"/>
          <w:numId w:val="2"/>
        </w:numPr>
        <w:bidi/>
        <w:spacing w:after="70" w:before="0" w:line="300"/>
      </w:pPr>
      <w:r>
        <w:rPr>
          <w:rFonts w:ascii="Segoe UI Emoji" w:cs="Segoe UI Emoji" w:eastAsia="Segoe UI Emoji" w:hAnsi="Segoe UI Emoji"/>
          <w:sz w:val="21"/>
          <w:szCs w:val="21"/>
          <w:rtl/>
        </w:rPr>
        <w:t xml:space="preserve">✅</w:t>
      </w:r>
      <w:r>
        <w:rPr>
          <w:rFonts w:ascii="Arial" w:cs="Arial" w:eastAsia="Arial" w:hAnsi="Arial"/>
          <w:b w:val="false"/>
          <w:bCs w:val="false"/>
          <w:sz w:val="21"/>
          <w:szCs w:val="21"/>
          <w:rtl/>
        </w:rPr>
        <w:t xml:space="preserve"> منفّذ كما اقتُرح: يُرفض طلب تصدير جديد بعد انقضاء النافذة (50034)، وتنتهي الحزمة الجاهزة بانتهاء النافذة أو بعد 7 أيام، أيهما أسبق (الاختبار X4).</w:t>
      </w:r>
    </w:p>
    <w:p>
      <w:pPr>
        <w:pStyle w:val="ListParagraph"/>
        <w:numPr>
          <w:ilvl w:val="0"/>
          <w:numId w:val="2"/>
        </w:numPr>
        <w:bidi/>
        <w:spacing w:after="70" w:before="0" w:line="300"/>
      </w:pPr>
      <w:r>
        <w:rPr>
          <w:rFonts w:ascii="Arial" w:cs="Arial" w:eastAsia="Arial" w:hAnsi="Arial"/>
          <w:b w:val="false"/>
          <w:bCs w:val="false"/>
          <w:sz w:val="21"/>
          <w:szCs w:val="21"/>
          <w:rtl/>
        </w:rPr>
        <w:t xml:space="preserve">FR-PLT-039 (التصدير) مقرر لـ S5 بأولوية Should (السطر 141)، بينما الإغلاق جزء من دورة الحياة في S0. المقترح: لا يُغلق مشترك حقيقي قبل بناء التصدير. (DQ-F05-7)</w:t>
      </w:r>
    </w:p>
    <w:p>
      <w:pPr>
        <w:bidi/>
        <w:spacing w:after="60" w:before="0"/>
      </w:pPr>
    </w:p>
    <w:p>
      <w:pPr>
        <w:pStyle w:val="Heading2"/>
        <w:bidi/>
      </w:pPr>
      <w:bookmarkStart w:name="_sec16" w:id="16"/>
      <w:r>
        <w:rPr>
          <w:rFonts w:ascii="Arial" w:cs="Arial" w:eastAsia="Arial" w:hAnsi="Arial"/>
          <w:b/>
          <w:bCs/>
          <w:color w:val="2B5C8A"/>
          <w:sz w:val="26"/>
          <w:szCs w:val="26"/>
          <w:rtl/>
        </w:rPr>
        <w:t xml:space="preserve">6.5 الإتلاف وحذف البيانات</w:t>
      </w:r>
      <w:bookmarkEnd w:id="16"/>
    </w:p>
    <w:p>
      <w:pPr>
        <w:pStyle w:val="ListParagraph"/>
        <w:numPr>
          <w:ilvl w:val="0"/>
          <w:numId w:val="2"/>
        </w:numPr>
        <w:bidi/>
        <w:spacing w:after="70" w:before="0" w:line="300"/>
      </w:pPr>
      <w:r>
        <w:rPr>
          <w:rFonts w:ascii="Arial" w:cs="Arial" w:eastAsia="Arial" w:hAnsi="Arial"/>
          <w:b w:val="false"/>
          <w:bCs w:val="false"/>
          <w:sz w:val="21"/>
          <w:szCs w:val="21"/>
          <w:rtl/>
        </w:rPr>
        <w:t xml:space="preserve">لا إتلاف آلي. يُقترح الإتلاف بسير FR-PLT-040 بعد مدة الاحتفاظ النظامية، بموافقة المشغّل وموافقة المشترك الخطية (BR-PLT-002، BR-PLT-016 في docs/10-detailed-analysis/10-m0-m1-platform-organization.md:242). المدد المقترحة 10 و10 و5 سنوات ويحسمها مختص. </w:t>
      </w:r>
      <w:r>
        <w:rPr>
          <w:rFonts w:ascii="Arial" w:cs="Arial" w:eastAsia="Arial" w:hAnsi="Arial"/>
          <w:color w:val="2E9E44"/>
          <w:sz w:val="21"/>
          <w:szCs w:val="21"/>
          <w:rtl/>
        </w:rPr>
        <w:t xml:space="preserve">●</w:t>
      </w:r>
    </w:p>
    <w:p>
      <w:pPr>
        <w:pStyle w:val="ListParagraph"/>
        <w:numPr>
          <w:ilvl w:val="0"/>
          <w:numId w:val="2"/>
        </w:numPr>
        <w:bidi/>
        <w:spacing w:after="70" w:before="0" w:line="300"/>
      </w:pPr>
      <w:r>
        <w:rPr>
          <w:rFonts w:ascii="Arial" w:cs="Arial" w:eastAsia="Arial" w:hAnsi="Arial"/>
          <w:b w:val="false"/>
          <w:bCs w:val="false"/>
          <w:sz w:val="21"/>
          <w:szCs w:val="21"/>
          <w:rtl/>
        </w:rPr>
        <w:t xml:space="preserve">لا يوجد اليوم مسار حذف: لا منح حذف لـ</w:t>
      </w:r>
      <w:r>
        <w:rPr>
          <w:rFonts w:ascii="Courier New" w:cs="Courier New" w:eastAsia="Courier New" w:hAnsi="Courier New"/>
          <w:b w:val="false"/>
          <w:bCs w:val="false"/>
          <w:color w:val="1F2937"/>
          <w:sz w:val="18"/>
          <w:szCs w:val="18"/>
          <w:shd w:fill="F1F3F5" w:color="auto" w:val="clear"/>
          <w:rtl/>
        </w:rPr>
        <w:t xml:space="preserve">‎tp_platform‎</w:t>
      </w:r>
      <w:r>
        <w:rPr>
          <w:rFonts w:ascii="Arial" w:cs="Arial" w:eastAsia="Arial" w:hAnsi="Arial"/>
          <w:b w:val="false"/>
          <w:bCs w:val="false"/>
          <w:sz w:val="21"/>
          <w:szCs w:val="21"/>
          <w:rtl/>
        </w:rPr>
        <w:t xml:space="preserve">، ولا حذف على أغلب جداول المشترك حتى لـ</w:t>
      </w:r>
      <w:r>
        <w:rPr>
          <w:rFonts w:ascii="Courier New" w:cs="Courier New" w:eastAsia="Courier New" w:hAnsi="Courier New"/>
          <w:b w:val="false"/>
          <w:bCs w:val="false"/>
          <w:color w:val="1F2937"/>
          <w:sz w:val="18"/>
          <w:szCs w:val="18"/>
          <w:shd w:fill="F1F3F5" w:color="auto" w:val="clear"/>
          <w:rtl/>
        </w:rPr>
        <w:t xml:space="preserve">‎tp_app‎</w:t>
      </w:r>
      <w:r>
        <w:rPr>
          <w:rFonts w:ascii="Arial" w:cs="Arial" w:eastAsia="Arial" w:hAnsi="Arial"/>
          <w:b w:val="false"/>
          <w:bCs w:val="false"/>
          <w:sz w:val="21"/>
          <w:szCs w:val="21"/>
          <w:rtl/>
        </w:rPr>
        <w:t xml:space="preserve"> (db/generated/tsql/005_delete_grants.sql:6-7). </w:t>
      </w:r>
      <w:r>
        <w:rPr>
          <w:rFonts w:ascii="Arial" w:cs="Arial" w:eastAsia="Arial" w:hAnsi="Arial"/>
          <w:color w:val="2E9E44"/>
          <w:sz w:val="21"/>
          <w:szCs w:val="21"/>
          <w:rtl/>
        </w:rPr>
        <w:t xml:space="preserve">●</w:t>
      </w:r>
    </w:p>
    <w:p>
      <w:pPr>
        <w:pStyle w:val="ListParagraph"/>
        <w:numPr>
          <w:ilvl w:val="0"/>
          <w:numId w:val="2"/>
        </w:numPr>
        <w:bidi/>
        <w:spacing w:after="70" w:before="0" w:line="300"/>
      </w:pPr>
      <w:r>
        <w:rPr>
          <w:rFonts w:ascii="Arial" w:cs="Arial" w:eastAsia="Arial" w:hAnsi="Arial"/>
          <w:b w:val="false"/>
          <w:bCs w:val="false"/>
          <w:sz w:val="21"/>
          <w:szCs w:val="21"/>
          <w:rtl/>
        </w:rPr>
        <w:t xml:space="preserve">المقترح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(DQ-F05-8):</w:t>
      </w:r>
    </w:p>
    <w:p>
      <w:pPr>
        <w:pStyle w:val="ListParagraph"/>
        <w:numPr>
          <w:ilvl w:val="1"/>
          <w:numId w:val="3"/>
        </w:numPr>
        <w:bidi/>
        <w:spacing w:after="70" w:before="0" w:line="300"/>
      </w:pPr>
      <w:r>
        <w:rPr>
          <w:rFonts w:ascii="Arial" w:cs="Arial" w:eastAsia="Arial" w:hAnsi="Arial"/>
          <w:b w:val="false"/>
          <w:bCs w:val="false"/>
          <w:sz w:val="21"/>
          <w:szCs w:val="21"/>
          <w:rtl/>
        </w:rPr>
        <w:t xml:space="preserve">إجراء إتلاف مُراجَع يُشغَّل بحساب الترحيل بموافقة شخصين (DOC-S08)، يحذف صفوف المشترك بترتيب التبعيات.</w:t>
      </w:r>
    </w:p>
    <w:p>
      <w:pPr>
        <w:pStyle w:val="ListParagraph"/>
        <w:numPr>
          <w:ilvl w:val="1"/>
          <w:numId w:val="3"/>
        </w:numPr>
        <w:bidi/>
        <w:spacing w:after="70" w:before="0" w:line="300"/>
      </w:pPr>
      <w:r>
        <w:rPr>
          <w:rFonts w:ascii="Arial" w:cs="Arial" w:eastAsia="Arial" w:hAnsi="Arial"/>
          <w:b w:val="false"/>
          <w:bCs w:val="false"/>
          <w:sz w:val="21"/>
          <w:szCs w:val="21"/>
          <w:rtl/>
        </w:rPr>
        <w:t xml:space="preserve">يبقى صف </w:t>
      </w:r>
      <w:r>
        <w:rPr>
          <w:rFonts w:ascii="Courier New" w:cs="Courier New" w:eastAsia="Courier New" w:hAnsi="Courier New"/>
          <w:b w:val="false"/>
          <w:bCs w:val="false"/>
          <w:color w:val="1F2937"/>
          <w:sz w:val="18"/>
          <w:szCs w:val="18"/>
          <w:shd w:fill="F1F3F5" w:color="auto" w:val="clear"/>
          <w:rtl/>
        </w:rPr>
        <w:t xml:space="preserve">‎plat.Tenant‎</w:t>
      </w:r>
      <w:r>
        <w:rPr>
          <w:rFonts w:ascii="Arial" w:cs="Arial" w:eastAsia="Arial" w:hAnsi="Arial"/>
          <w:b w:val="false"/>
          <w:bCs w:val="false"/>
          <w:sz w:val="21"/>
          <w:szCs w:val="21"/>
          <w:rtl/>
        </w:rPr>
        <w:t xml:space="preserve"> وسطور </w:t>
      </w:r>
      <w:r>
        <w:rPr>
          <w:rFonts w:ascii="Courier New" w:cs="Courier New" w:eastAsia="Courier New" w:hAnsi="Courier New"/>
          <w:b w:val="false"/>
          <w:bCs w:val="false"/>
          <w:color w:val="1F2937"/>
          <w:sz w:val="18"/>
          <w:szCs w:val="18"/>
          <w:shd w:fill="F1F3F5" w:color="auto" w:val="clear"/>
          <w:rtl/>
        </w:rPr>
        <w:t xml:space="preserve">‎aud.AuditLog‎</w:t>
      </w:r>
      <w:r>
        <w:rPr>
          <w:rFonts w:ascii="Arial" w:cs="Arial" w:eastAsia="Arial" w:hAnsi="Arial"/>
          <w:b w:val="false"/>
          <w:bCs w:val="false"/>
          <w:sz w:val="21"/>
          <w:szCs w:val="21"/>
          <w:rtl/>
        </w:rPr>
        <w:t xml:space="preserve"> حتى تنقضي مدة احتفاظ التدقيق، لأن التدقيق يشير إلى المشترك.</w:t>
      </w:r>
    </w:p>
    <w:p>
      <w:pPr>
        <w:pStyle w:val="ListParagraph"/>
        <w:numPr>
          <w:ilvl w:val="1"/>
          <w:numId w:val="3"/>
        </w:numPr>
        <w:bidi/>
        <w:spacing w:after="70" w:before="0" w:line="300"/>
      </w:pPr>
      <w:r>
        <w:rPr>
          <w:rFonts w:ascii="Arial" w:cs="Arial" w:eastAsia="Arial" w:hAnsi="Arial"/>
          <w:b w:val="false"/>
          <w:bCs w:val="false"/>
          <w:sz w:val="21"/>
          <w:szCs w:val="21"/>
          <w:rtl/>
        </w:rPr>
        <w:t xml:space="preserve">تُلغى مفاتيح المشترك (</w:t>
      </w:r>
      <w:r>
        <w:rPr>
          <w:rFonts w:ascii="Courier New" w:cs="Courier New" w:eastAsia="Courier New" w:hAnsi="Courier New"/>
          <w:b w:val="false"/>
          <w:bCs w:val="false"/>
          <w:color w:val="1F2937"/>
          <w:sz w:val="18"/>
          <w:szCs w:val="18"/>
          <w:shd w:fill="F1F3F5" w:color="auto" w:val="clear"/>
          <w:rtl/>
        </w:rPr>
        <w:t xml:space="preserve">‎sec.TenantKey‎</w:t>
      </w:r>
      <w:r>
        <w:rPr>
          <w:rFonts w:ascii="Arial" w:cs="Arial" w:eastAsia="Arial" w:hAnsi="Arial"/>
          <w:b w:val="false"/>
          <w:bCs w:val="false"/>
          <w:sz w:val="21"/>
          <w:szCs w:val="21"/>
          <w:rtl/>
        </w:rPr>
        <w:t xml:space="preserve"> بحالة REVOKED) ويُتلف غلافها في المخزن، فتصير الأعمدة المشفّرة غير مقروءة حتى في النسخ الاحتياطية (BR-PLT-015). باقي البيانات يبقى في النسخ حتى تنتهي مدتها (DOC-S09).</w:t>
      </w:r>
    </w:p>
    <w:p>
      <w:pPr>
        <w:pStyle w:val="ListParagraph"/>
        <w:numPr>
          <w:ilvl w:val="1"/>
          <w:numId w:val="3"/>
        </w:numPr>
        <w:bidi/>
        <w:spacing w:after="70" w:before="0" w:line="300"/>
      </w:pPr>
      <w:r>
        <w:rPr>
          <w:rFonts w:ascii="Arial" w:cs="Arial" w:eastAsia="Arial" w:hAnsi="Arial"/>
          <w:b w:val="false"/>
          <w:bCs w:val="false"/>
          <w:sz w:val="21"/>
          <w:szCs w:val="21"/>
          <w:rtl/>
        </w:rPr>
        <w:t xml:space="preserve">يُسجَّل حدث إتلاف للمنصة بعدد الصفوف لكل جدول، دون أي بيانات.</w:t>
      </w:r>
    </w:p>
    <w:p>
      <w:pPr>
        <w:bidi/>
        <w:spacing w:after="60" w:before="0"/>
      </w:pPr>
    </w:p>
    <w:p>
      <w:pPr>
        <w:pStyle w:val="Heading1"/>
        <w:bidi/>
      </w:pPr>
      <w:bookmarkStart w:name="_sec17" w:id="17"/>
      <w:r>
        <w:rPr>
          <w:rFonts w:ascii="Arial" w:cs="Arial" w:eastAsia="Arial" w:hAnsi="Arial"/>
          <w:b/>
          <w:bCs/>
          <w:color w:val="1F3A5F"/>
          <w:sz w:val="32"/>
          <w:szCs w:val="32"/>
          <w:rtl/>
        </w:rPr>
        <w:t xml:space="preserve">7. شرط خروج S0: تهيئة آلية قابلة للقياس </w:t>
      </w:r>
      <w:r>
        <w:rPr>
          <w:rFonts w:ascii="Arial" w:cs="Arial" w:eastAsia="Arial" w:hAnsi="Arial"/>
          <w:color w:val="E0A800"/>
          <w:sz w:val="32"/>
          <w:szCs w:val="32"/>
          <w:rtl/>
        </w:rPr>
        <w:t xml:space="preserve">●</w:t>
      </w:r>
      <w:bookmarkEnd w:id="17"/>
    </w:p>
    <w:p>
      <w:pPr>
        <w:bidi/>
        <w:spacing w:after="110" w:before="0" w:line="312"/>
      </w:pPr>
      <w:r>
        <w:rPr>
          <w:rFonts w:ascii="Arial" w:cs="Arial" w:eastAsia="Arial" w:hAnsi="Arial"/>
          <w:b w:val="false"/>
          <w:bCs w:val="false"/>
          <w:sz w:val="21"/>
          <w:szCs w:val="21"/>
          <w:rtl/>
        </w:rPr>
        <w:t xml:space="preserve">مدخل مقترح لسجل القبول (DOC-B02):</w:t>
      </w:r>
    </w:p>
    <w:p>
      <w:pPr>
        <w:pStyle w:val="ListParagraph"/>
        <w:numPr>
          <w:ilvl w:val="0"/>
          <w:numId w:val="2"/>
        </w:numPr>
        <w:bidi/>
        <w:spacing w:after="70" w:before="0" w:line="300"/>
      </w:pPr>
      <w:r>
        <w:rPr>
          <w:rFonts w:ascii="Arial" w:cs="Arial" w:eastAsia="Arial" w:hAnsi="Arial"/>
          <w:b/>
          <w:bCs/>
          <w:sz w:val="21"/>
          <w:szCs w:val="21"/>
          <w:rtl/>
        </w:rPr>
        <w:t xml:space="preserve">Given</w:t>
      </w:r>
      <w:r>
        <w:rPr>
          <w:rFonts w:ascii="Arial" w:cs="Arial" w:eastAsia="Arial" w:hAnsi="Arial"/>
          <w:b w:val="false"/>
          <w:bCs w:val="false"/>
          <w:sz w:val="21"/>
          <w:szCs w:val="21"/>
          <w:rtl/>
        </w:rPr>
        <w:t xml:space="preserve"> قاعدة منشورة من جديد بالبذور العالمية فقط، ومشترك قائم A.</w:t>
      </w:r>
    </w:p>
    <w:p>
      <w:pPr>
        <w:pStyle w:val="ListParagraph"/>
        <w:numPr>
          <w:ilvl w:val="0"/>
          <w:numId w:val="2"/>
        </w:numPr>
        <w:bidi/>
        <w:spacing w:after="70" w:before="0" w:line="300"/>
      </w:pPr>
      <w:r>
        <w:rPr>
          <w:rFonts w:ascii="Arial" w:cs="Arial" w:eastAsia="Arial" w:hAnsi="Arial"/>
          <w:b/>
          <w:bCs/>
          <w:sz w:val="21"/>
          <w:szCs w:val="21"/>
          <w:rtl/>
        </w:rPr>
        <w:t xml:space="preserve">When</w:t>
      </w:r>
      <w:r>
        <w:rPr>
          <w:rFonts w:ascii="Arial" w:cs="Arial" w:eastAsia="Arial" w:hAnsi="Arial"/>
          <w:b w:val="false"/>
          <w:bCs w:val="false"/>
          <w:sz w:val="21"/>
          <w:szCs w:val="21"/>
          <w:rtl/>
        </w:rPr>
        <w:t xml:space="preserve"> يعتمد مشغّل OPERATOR_ADMIN نموذج مشترك جديد B، ثم يُقطع العامل أثناء حزمة البذر الثالثة ثم يعود.</w:t>
      </w:r>
    </w:p>
    <w:p>
      <w:pPr>
        <w:pStyle w:val="ListParagraph"/>
        <w:numPr>
          <w:ilvl w:val="0"/>
          <w:numId w:val="2"/>
        </w:numPr>
        <w:bidi/>
        <w:spacing w:after="70" w:before="0" w:line="300"/>
      </w:pPr>
      <w:r>
        <w:rPr>
          <w:rFonts w:ascii="Arial" w:cs="Arial" w:eastAsia="Arial" w:hAnsi="Arial"/>
          <w:b/>
          <w:bCs/>
          <w:sz w:val="21"/>
          <w:szCs w:val="21"/>
          <w:rtl/>
        </w:rPr>
        <w:t xml:space="preserve">Then</w:t>
      </w:r>
      <w:r>
        <w:rPr>
          <w:rFonts w:ascii="Arial" w:cs="Arial" w:eastAsia="Arial" w:hAnsi="Arial"/>
          <w:b w:val="false"/>
          <w:bCs w:val="false"/>
          <w:sz w:val="21"/>
          <w:szCs w:val="21"/>
          <w:rtl/>
        </w:rPr>
        <w:t xml:space="preserve"> دون أي خطوة SQL يدوية:</w:t>
      </w:r>
    </w:p>
    <w:p>
      <w:pPr>
        <w:pStyle w:val="ListParagraph"/>
        <w:numPr>
          <w:ilvl w:val="1"/>
          <w:numId w:val="2"/>
        </w:numPr>
        <w:bidi/>
        <w:spacing w:after="70" w:before="0" w:line="300"/>
      </w:pPr>
      <w:r>
        <w:rPr>
          <w:rFonts w:ascii="Arial" w:cs="Arial" w:eastAsia="Arial" w:hAnsi="Arial"/>
          <w:b w:val="false"/>
          <w:bCs w:val="false"/>
          <w:sz w:val="21"/>
          <w:szCs w:val="21"/>
          <w:rtl/>
        </w:rPr>
        <w:t xml:space="preserve">B بحالة TRIAL و</w:t>
      </w:r>
      <w:r>
        <w:rPr>
          <w:rFonts w:ascii="Courier New" w:cs="Courier New" w:eastAsia="Courier New" w:hAnsi="Courier New"/>
          <w:b w:val="false"/>
          <w:bCs w:val="false"/>
          <w:color w:val="1F2937"/>
          <w:sz w:val="18"/>
          <w:szCs w:val="18"/>
          <w:shd w:fill="F1F3F5" w:color="auto" w:val="clear"/>
          <w:rtl/>
        </w:rPr>
        <w:t xml:space="preserve">‎TrialEndsOn‎</w:t>
      </w:r>
      <w:r>
        <w:rPr>
          <w:rFonts w:ascii="Arial" w:cs="Arial" w:eastAsia="Arial" w:hAnsi="Arial"/>
          <w:b w:val="false"/>
          <w:bCs w:val="false"/>
          <w:sz w:val="21"/>
          <w:szCs w:val="21"/>
          <w:rtl/>
        </w:rPr>
        <w:t xml:space="preserve"> بعد 30 يومًا، ووحداته تساوي وحدات الباقة ومعها CORE.</w:t>
      </w:r>
    </w:p>
    <w:p>
      <w:pPr>
        <w:pStyle w:val="ListParagraph"/>
        <w:numPr>
          <w:ilvl w:val="1"/>
          <w:numId w:val="2"/>
        </w:numPr>
        <w:bidi/>
        <w:spacing w:after="70" w:before="0" w:line="300"/>
      </w:pPr>
      <w:r>
        <w:rPr>
          <w:rFonts w:ascii="Arial" w:cs="Arial" w:eastAsia="Arial" w:hAnsi="Arial"/>
          <w:b w:val="false"/>
          <w:bCs w:val="false"/>
          <w:sz w:val="21"/>
          <w:szCs w:val="21"/>
          <w:rtl/>
        </w:rPr>
        <w:t xml:space="preserve">حساب الخدمة ACTIVE، وكل الحزم المطلوبة SUCCEEDED في </w:t>
      </w:r>
      <w:r>
        <w:rPr>
          <w:rFonts w:ascii="Courier New" w:cs="Courier New" w:eastAsia="Courier New" w:hAnsi="Courier New"/>
          <w:b w:val="false"/>
          <w:bCs w:val="false"/>
          <w:color w:val="1F2937"/>
          <w:sz w:val="18"/>
          <w:szCs w:val="18"/>
          <w:shd w:fill="F1F3F5" w:color="auto" w:val="clear"/>
          <w:rtl/>
        </w:rPr>
        <w:t xml:space="preserve">‎cfg.SeedRun‎</w:t>
      </w:r>
      <w:r>
        <w:rPr>
          <w:rFonts w:ascii="Arial" w:cs="Arial" w:eastAsia="Arial" w:hAnsi="Arial"/>
          <w:b w:val="false"/>
          <w:bCs w:val="false"/>
          <w:sz w:val="21"/>
          <w:szCs w:val="21"/>
          <w:rtl/>
        </w:rPr>
        <w:t xml:space="preserve">، والحزمة المقطوعة أُكملت دون تكرار.</w:t>
      </w:r>
    </w:p>
    <w:p>
      <w:pPr>
        <w:pStyle w:val="ListParagraph"/>
        <w:numPr>
          <w:ilvl w:val="1"/>
          <w:numId w:val="2"/>
        </w:numPr>
        <w:bidi/>
        <w:spacing w:after="70" w:before="0" w:line="300"/>
      </w:pPr>
      <w:r>
        <w:rPr>
          <w:rFonts w:ascii="Arial" w:cs="Arial" w:eastAsia="Arial" w:hAnsi="Arial"/>
          <w:b w:val="false"/>
          <w:bCs w:val="false"/>
          <w:sz w:val="21"/>
          <w:szCs w:val="21"/>
          <w:rtl/>
        </w:rPr>
        <w:t xml:space="preserve">المدير الأول INVITED ومعه دور TA ورمز INVITATION بحالة SENT.</w:t>
      </w:r>
    </w:p>
    <w:p>
      <w:pPr>
        <w:pStyle w:val="ListParagraph"/>
        <w:numPr>
          <w:ilvl w:val="1"/>
          <w:numId w:val="2"/>
        </w:numPr>
        <w:bidi/>
        <w:spacing w:after="70" w:before="0" w:line="300"/>
      </w:pPr>
      <w:r>
        <w:rPr>
          <w:rFonts w:ascii="Arial" w:cs="Arial" w:eastAsia="Arial" w:hAnsi="Arial"/>
          <w:b w:val="false"/>
          <w:bCs w:val="false"/>
          <w:sz w:val="21"/>
          <w:szCs w:val="21"/>
          <w:rtl/>
        </w:rPr>
        <w:t xml:space="preserve">تشغيل التهيئة مرة ثانية لا يضيف صفًّا.</w:t>
      </w:r>
    </w:p>
    <w:p>
      <w:pPr>
        <w:pStyle w:val="ListParagraph"/>
        <w:numPr>
          <w:ilvl w:val="1"/>
          <w:numId w:val="2"/>
        </w:numPr>
        <w:bidi/>
        <w:spacing w:after="70" w:before="0" w:line="300"/>
      </w:pPr>
      <w:r>
        <w:rPr>
          <w:rFonts w:ascii="Arial" w:cs="Arial" w:eastAsia="Arial" w:hAnsi="Arial"/>
          <w:b w:val="false"/>
          <w:bCs w:val="false"/>
          <w:sz w:val="21"/>
          <w:szCs w:val="21"/>
          <w:rtl/>
        </w:rPr>
        <w:t xml:space="preserve">اختبارات العزل بين A وB تنجح، وسجل التدقيق يحمل أحداث التسجيل والبذر والدعوة.</w:t>
      </w:r>
    </w:p>
    <w:p>
      <w:pPr>
        <w:bidi/>
        <w:spacing w:after="60" w:before="0"/>
      </w:pPr>
    </w:p>
    <w:p>
      <w:pPr>
        <w:pStyle w:val="Heading1"/>
        <w:bidi/>
      </w:pPr>
      <w:bookmarkStart w:name="_sec18" w:id="18"/>
      <w:r>
        <w:rPr>
          <w:rFonts w:ascii="Arial" w:cs="Arial" w:eastAsia="Arial" w:hAnsi="Arial"/>
          <w:b/>
          <w:bCs/>
          <w:color w:val="1F3A5F"/>
          <w:sz w:val="32"/>
          <w:szCs w:val="32"/>
          <w:rtl/>
        </w:rPr>
        <w:t xml:space="preserve">8. القرارات المطلوبة</w:t>
      </w:r>
      <w:bookmarkEnd w:id="18"/>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409"/>
        <w:gridCol w:w="1722"/>
        <w:gridCol w:w="3759"/>
        <w:gridCol w:w="1409"/>
        <w:gridCol w:w="1565"/>
      </w:tblGrid>
      <w:tr>
        <w:trPr>
          <w:cantSplit/>
          <w:tblHeader/>
        </w:trPr>
        <w:tc>
          <w:tcPr>
            <w:tcW w:type="dxa" w:w="140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172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375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140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من يقرر</w:t>
            </w:r>
          </w:p>
        </w:tc>
        <w:tc>
          <w:tcPr>
            <w:tcW w:type="dxa" w:w="156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DQ-F05-1</w:t>
            </w:r>
          </w:p>
        </w:tc>
        <w:tc>
          <w:tcPr>
            <w:tcW w:type="dxa" w:w="17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معاملة واحدة للتهيئة كلها أم مراحل؟</w:t>
            </w:r>
          </w:p>
        </w:tc>
        <w:tc>
          <w:tcPr>
            <w:tcW w:type="dxa" w:w="37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مراحل §4.1: التسجيل في معاملة، وكل حزمة في معاملة، مع استئناف آمن</w:t>
            </w:r>
          </w:p>
        </w:tc>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الحلول مع مهندس المنصة</w:t>
            </w:r>
          </w:p>
        </w:tc>
        <w:tc>
          <w:tcPr>
            <w:tcW w:type="dxa" w:w="15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إجراء التهيئة وخروج S0</w:t>
            </w:r>
          </w:p>
        </w:tc>
      </w:tr>
      <w:tr>
        <w:trPr>
          <w:cantSplit/>
        </w:trPr>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DQ-F05-2</w:t>
            </w:r>
          </w:p>
        </w:tc>
        <w:tc>
          <w:tcPr>
            <w:tcW w:type="dxa" w:w="17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يعتمد التهيئة؟</w:t>
            </w:r>
          </w:p>
        </w:tc>
        <w:tc>
          <w:tcPr>
            <w:tcW w:type="dxa" w:w="37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مشغّل OPERATOR_ADMIN واحد بعد إعادة مصادقة MFA، مع تدقيق؛ لا موافقة ثانية في S0</w:t>
            </w:r>
          </w:p>
        </w:tc>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مدير المنتج</w:t>
            </w:r>
          </w:p>
        </w:tc>
        <w:tc>
          <w:tcPr>
            <w:tcW w:type="dxa" w:w="15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شاشة المشغّل</w:t>
            </w:r>
          </w:p>
        </w:tc>
      </w:tr>
      <w:tr>
        <w:trPr>
          <w:cantSplit/>
        </w:trPr>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DQ-F05-3</w:t>
            </w:r>
          </w:p>
        </w:tc>
        <w:tc>
          <w:tcPr>
            <w:tcW w:type="dxa" w:w="17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DNS وTLS لكل مشترك أم شامل؟</w:t>
            </w:r>
          </w:p>
        </w:tc>
        <w:tc>
          <w:tcPr>
            <w:tcW w:type="dxa" w:w="37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 DNS شامل وشهادة شاملة، فلا خطوة خارجية لكل مشترك</w:t>
            </w:r>
          </w:p>
        </w:tc>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مهندس البنية التحتية (DOC-S05)</w:t>
            </w:r>
          </w:p>
        </w:tc>
        <w:tc>
          <w:tcPr>
            <w:tcW w:type="dxa" w:w="15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§4.4</w:t>
            </w:r>
          </w:p>
        </w:tc>
      </w:tr>
      <w:tr>
        <w:trPr>
          <w:cantSplit/>
        </w:trPr>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DQ-F05-4</w:t>
            </w:r>
          </w:p>
        </w:tc>
        <w:tc>
          <w:tcPr>
            <w:tcW w:type="dxa" w:w="17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ماذا يحدث لتهيئة ملغاة؟</w:t>
            </w:r>
          </w:p>
        </w:tc>
        <w:tc>
          <w:tcPr>
            <w:tcW w:type="dxa" w:w="37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انتقال TRIAL إلى CLOSED بسبب، ويبقى الرمز محجوزًا، ولا حذف</w:t>
            </w:r>
          </w:p>
        </w:tc>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مدير المنتج</w:t>
            </w:r>
          </w:p>
        </w:tc>
        <w:tc>
          <w:tcPr>
            <w:tcW w:type="dxa" w:w="15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r>
      <w:tr>
        <w:trPr>
          <w:cantSplit/>
        </w:trPr>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DQ-F05-5</w:t>
            </w:r>
          </w:p>
        </w:tc>
        <w:tc>
          <w:tcPr>
            <w:tcW w:type="dxa" w:w="17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كيف تُفرض انتقالات الحالة؟</w:t>
            </w:r>
          </w:p>
        </w:tc>
        <w:tc>
          <w:tcPr>
            <w:tcW w:type="dxa" w:w="37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إجراء واحد </w:t>
            </w:r>
            <w:r>
              <w:rPr>
                <w:rFonts w:ascii="Courier New" w:cs="Courier New" w:eastAsia="Courier New" w:hAnsi="Courier New"/>
                <w:b w:val="false"/>
                <w:bCs w:val="false"/>
                <w:color w:val="1F2937"/>
                <w:sz w:val="16"/>
                <w:szCs w:val="16"/>
                <w:shd w:fill="F1F3F5" w:color="auto" w:val="clear"/>
                <w:rtl/>
              </w:rPr>
              <w:t xml:space="preserve">‎plat.usp_SetTenantStatus‎</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‎DENY UPDATE‎</w:t>
            </w:r>
            <w:r>
              <w:rPr>
                <w:rFonts w:ascii="Arial" w:cs="Arial" w:eastAsia="Arial" w:hAnsi="Arial"/>
                <w:b w:val="false"/>
                <w:bCs w:val="false"/>
                <w:sz w:val="18"/>
                <w:szCs w:val="18"/>
                <w:rtl/>
              </w:rPr>
              <w:t xml:space="preserve"> على أعمدة الحالة لـ</w:t>
            </w:r>
            <w:r>
              <w:rPr>
                <w:rFonts w:ascii="Courier New" w:cs="Courier New" w:eastAsia="Courier New" w:hAnsi="Courier New"/>
                <w:b w:val="false"/>
                <w:bCs w:val="false"/>
                <w:color w:val="1F2937"/>
                <w:sz w:val="16"/>
                <w:szCs w:val="16"/>
                <w:shd w:fill="F1F3F5" w:color="auto" w:val="clear"/>
                <w:rtl/>
              </w:rPr>
              <w:t xml:space="preserve">‎tp_platform‎</w:t>
            </w:r>
            <w:r>
              <w:rPr>
                <w:rFonts w:ascii="Arial" w:cs="Arial" w:eastAsia="Arial" w:hAnsi="Arial"/>
                <w:b w:val="false"/>
                <w:bCs w:val="false"/>
                <w:sz w:val="18"/>
                <w:szCs w:val="18"/>
                <w:rtl/>
              </w:rPr>
              <w:t xml:space="preserve"> بعد 007</w:t>
            </w:r>
          </w:p>
        </w:tc>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قاعدة البيانات</w:t>
            </w:r>
          </w:p>
        </w:tc>
        <w:tc>
          <w:tcPr>
            <w:tcW w:type="dxa" w:w="15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§6.2</w:t>
            </w:r>
          </w:p>
        </w:tc>
      </w:tr>
      <w:tr>
        <w:trPr>
          <w:cantSplit/>
        </w:trPr>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DQ-F05-6</w:t>
            </w:r>
          </w:p>
        </w:tc>
        <w:tc>
          <w:tcPr>
            <w:tcW w:type="dxa" w:w="17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تمديد التجربة بعد انتهائها، ومن ينفّذ المؤقتات؟</w:t>
            </w:r>
          </w:p>
        </w:tc>
        <w:tc>
          <w:tcPr>
            <w:tcW w:type="dxa" w:w="37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يُسمح بـ SUSPENDED إلى TRIAL بتاريخ جديد؛ المؤقتات مهام منصة يومية تستدعي الإجراء نفسه وتُسجَّل في التدقيق</w:t>
            </w:r>
          </w:p>
        </w:tc>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مدير المنتج مع مهندس الخلفية</w:t>
            </w:r>
          </w:p>
        </w:tc>
        <w:tc>
          <w:tcPr>
            <w:tcW w:type="dxa" w:w="15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§6.1 و§6.3</w:t>
            </w:r>
          </w:p>
        </w:tc>
      </w:tr>
      <w:tr>
        <w:trPr>
          <w:cantSplit/>
        </w:trPr>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DQ-F05-7</w:t>
            </w:r>
          </w:p>
        </w:tc>
        <w:tc>
          <w:tcPr>
            <w:tcW w:type="dxa" w:w="17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يُغلق مشترك حقيقي قبل بناء التصدير FR-PLT-039؟</w:t>
            </w:r>
          </w:p>
        </w:tc>
        <w:tc>
          <w:tcPr>
            <w:tcW w:type="dxa" w:w="37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لا؛ يُبنى الانتقال ويُختبر في S0، ويُمنع الإغلاق الفعلي حتى يوجد التصدير</w:t>
            </w:r>
          </w:p>
        </w:tc>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مدير المنتج</w:t>
            </w:r>
          </w:p>
        </w:tc>
        <w:tc>
          <w:tcPr>
            <w:tcW w:type="dxa" w:w="15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BR-PLT-002</w:t>
            </w:r>
          </w:p>
        </w:tc>
      </w:tr>
      <w:tr>
        <w:trPr>
          <w:cantSplit/>
        </w:trPr>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DQ-F05-8</w:t>
            </w:r>
          </w:p>
        </w:tc>
        <w:tc>
          <w:tcPr>
            <w:tcW w:type="dxa" w:w="17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كيف تُحذف بيانات مشترك مؤرشف؟</w:t>
            </w:r>
          </w:p>
        </w:tc>
        <w:tc>
          <w:tcPr>
            <w:tcW w:type="dxa" w:w="37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إجراء إتلاف مُراجَع بموافقة شخصين، مع إلغاء المفاتيح، وإبقاء صف المشترك والتدقيق حتى مدة التدقيق</w:t>
            </w:r>
          </w:p>
        </w:tc>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مسؤول حماية البيانات (DOC-S07) مع مدير قاعدة البيانات</w:t>
            </w:r>
          </w:p>
        </w:tc>
        <w:tc>
          <w:tcPr>
            <w:tcW w:type="dxa" w:w="15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FR-PLT-040 في S5</w:t>
            </w:r>
          </w:p>
        </w:tc>
      </w:tr>
      <w:tr>
        <w:trPr>
          <w:cantSplit/>
        </w:trPr>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DQ-F05-9</w:t>
            </w:r>
          </w:p>
        </w:tc>
        <w:tc>
          <w:tcPr>
            <w:tcW w:type="dxa" w:w="17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متى تُبذر حزم وحدة تُفعَّل لاحقًا؟</w:t>
            </w:r>
          </w:p>
        </w:tc>
        <w:tc>
          <w:tcPr>
            <w:tcW w:type="dxa" w:w="37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عند تفعيلها، بالمسار نفسه</w:t>
            </w:r>
          </w:p>
        </w:tc>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مهندس المنصة</w:t>
            </w:r>
          </w:p>
        </w:tc>
        <w:tc>
          <w:tcPr>
            <w:tcW w:type="dxa" w:w="15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FR-PLT-003</w:t>
            </w:r>
          </w:p>
        </w:tc>
      </w:tr>
      <w:tr>
        <w:trPr>
          <w:cantSplit/>
        </w:trPr>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DQ-F05-10</w:t>
            </w:r>
          </w:p>
        </w:tc>
        <w:tc>
          <w:tcPr>
            <w:tcW w:type="dxa" w:w="17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أين يُسجَّل تشغيل البذر العالمي؟</w:t>
            </w:r>
          </w:p>
        </w:tc>
        <w:tc>
          <w:tcPr>
            <w:tcW w:type="dxa" w:w="37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جدول منصة جديد، كما في DQ-B05-1 (</w:t>
            </w:r>
            <w:r>
              <w:rPr>
                <w:rFonts w:ascii="Courier New" w:cs="Courier New" w:eastAsia="Courier New" w:hAnsi="Courier New"/>
                <w:b w:val="false"/>
                <w:bCs w:val="false"/>
                <w:color w:val="1F2937"/>
                <w:sz w:val="16"/>
                <w:szCs w:val="16"/>
                <w:shd w:fill="F1F3F5" w:color="auto" w:val="clear"/>
                <w:rtl/>
              </w:rPr>
              <w:t xml:space="preserve">‎cfg.PlatformSeedRun‎</w:t>
            </w:r>
            <w:r>
              <w:rPr>
                <w:rFonts w:ascii="Arial" w:cs="Arial" w:eastAsia="Arial" w:hAnsi="Arial"/>
                <w:b w:val="false"/>
                <w:bCs w:val="false"/>
                <w:sz w:val="18"/>
                <w:szCs w:val="18"/>
                <w:rtl/>
              </w:rPr>
              <w:t xml:space="preserve">)، لأن </w:t>
            </w:r>
            <w:r>
              <w:rPr>
                <w:rFonts w:ascii="Courier New" w:cs="Courier New" w:eastAsia="Courier New" w:hAnsi="Courier New"/>
                <w:b w:val="false"/>
                <w:bCs w:val="false"/>
                <w:color w:val="1F2937"/>
                <w:sz w:val="16"/>
                <w:szCs w:val="16"/>
                <w:shd w:fill="F1F3F5" w:color="auto" w:val="clear"/>
                <w:rtl/>
              </w:rPr>
              <w:t xml:space="preserve">‎cfg.SeedRun‎</w:t>
            </w:r>
            <w:r>
              <w:rPr>
                <w:rFonts w:ascii="Arial" w:cs="Arial" w:eastAsia="Arial" w:hAnsi="Arial"/>
                <w:b w:val="false"/>
                <w:bCs w:val="false"/>
                <w:sz w:val="18"/>
                <w:szCs w:val="18"/>
                <w:rtl/>
              </w:rPr>
              <w:t xml:space="preserve"> يشترط مشتركًا</w:t>
            </w:r>
          </w:p>
        </w:tc>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قاعدة البيانات (DOC-B05)</w:t>
            </w:r>
          </w:p>
        </w:tc>
        <w:tc>
          <w:tcPr>
            <w:tcW w:type="dxa" w:w="15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البذور العالمية</w:t>
            </w:r>
          </w:p>
        </w:tc>
      </w:tr>
    </w:tbl>
    <w:p>
      <w:pPr>
        <w:bidi/>
        <w:spacing w:after="120" w:before="0"/>
      </w:pPr>
    </w:p>
    <w:p>
      <w:pPr>
        <w:pStyle w:val="Heading1"/>
        <w:bidi/>
      </w:pPr>
      <w:bookmarkStart w:name="_sec19" w:id="19"/>
      <w:r>
        <w:rPr>
          <w:rFonts w:ascii="Arial" w:cs="Arial" w:eastAsia="Arial" w:hAnsi="Arial"/>
          <w:b/>
          <w:bCs/>
          <w:color w:val="1F3A5F"/>
          <w:sz w:val="32"/>
          <w:szCs w:val="32"/>
          <w:rtl/>
        </w:rPr>
        <w:t xml:space="preserve">9. تعارضات وفجوات في المصادر</w:t>
      </w:r>
      <w:bookmarkEnd w:id="19"/>
    </w:p>
    <w:p>
      <w:pPr>
        <w:pStyle w:val="ListParagraph"/>
        <w:numPr>
          <w:ilvl w:val="0"/>
          <w:numId w:val="4"/>
        </w:numPr>
        <w:bidi/>
        <w:spacing w:after="70" w:before="0" w:line="300"/>
      </w:pPr>
      <w:r>
        <w:rPr>
          <w:rFonts w:ascii="Arial" w:cs="Arial" w:eastAsia="Arial" w:hAnsi="Arial"/>
          <w:b w:val="false"/>
          <w:bCs w:val="false"/>
          <w:sz w:val="21"/>
          <w:szCs w:val="21"/>
          <w:rtl/>
        </w:rPr>
        <w:t xml:space="preserve">docs/20-database-design.md:475 تريد التهيئة «داخل معاملة واحدة» بإجراء ينفّذه </w:t>
      </w:r>
      <w:r>
        <w:rPr>
          <w:rFonts w:ascii="Courier New" w:cs="Courier New" w:eastAsia="Courier New" w:hAnsi="Courier New"/>
          <w:b w:val="false"/>
          <w:bCs w:val="false"/>
          <w:color w:val="1F2937"/>
          <w:sz w:val="18"/>
          <w:szCs w:val="18"/>
          <w:shd w:fill="F1F3F5" w:color="auto" w:val="clear"/>
          <w:rtl/>
        </w:rPr>
        <w:t xml:space="preserve">‎tp_platform‎</w:t>
      </w:r>
      <w:r>
        <w:rPr>
          <w:rFonts w:ascii="Arial" w:cs="Arial" w:eastAsia="Arial" w:hAnsi="Arial"/>
          <w:b w:val="false"/>
          <w:bCs w:val="false"/>
          <w:sz w:val="21"/>
          <w:szCs w:val="21"/>
          <w:rtl/>
        </w:rPr>
        <w:t xml:space="preserve">، وFR-PLT-008 يجعل البذر حزمًا في التطبيق عبر </w:t>
      </w:r>
      <w:r>
        <w:rPr>
          <w:rFonts w:ascii="Courier New" w:cs="Courier New" w:eastAsia="Courier New" w:hAnsi="Courier New"/>
          <w:b w:val="false"/>
          <w:bCs w:val="false"/>
          <w:color w:val="1F2937"/>
          <w:sz w:val="18"/>
          <w:szCs w:val="18"/>
          <w:shd w:fill="F1F3F5" w:color="auto" w:val="clear"/>
          <w:rtl/>
        </w:rPr>
        <w:t xml:space="preserve">‎ITenantSeeder‎</w:t>
      </w:r>
      <w:r>
        <w:rPr>
          <w:rFonts w:ascii="Arial" w:cs="Arial" w:eastAsia="Arial" w:hAnsi="Arial"/>
          <w:b w:val="false"/>
          <w:bCs w:val="false"/>
          <w:sz w:val="21"/>
          <w:szCs w:val="21"/>
          <w:rtl/>
        </w:rPr>
        <w:t xml:space="preserve"> (docs/10-detailed-analysis/10-m0-m1-platform-organization.md:110)، و</w:t>
      </w:r>
      <w:r>
        <w:rPr>
          <w:rFonts w:ascii="Courier New" w:cs="Courier New" w:eastAsia="Courier New" w:hAnsi="Courier New"/>
          <w:b w:val="false"/>
          <w:bCs w:val="false"/>
          <w:color w:val="1F2937"/>
          <w:sz w:val="18"/>
          <w:szCs w:val="18"/>
          <w:shd w:fill="F1F3F5" w:color="auto" w:val="clear"/>
          <w:rtl/>
        </w:rPr>
        <w:t xml:space="preserve">‎tp_platform‎</w:t>
      </w:r>
      <w:r>
        <w:rPr>
          <w:rFonts w:ascii="Arial" w:cs="Arial" w:eastAsia="Arial" w:hAnsi="Arial"/>
          <w:b w:val="false"/>
          <w:bCs w:val="false"/>
          <w:sz w:val="21"/>
          <w:szCs w:val="21"/>
          <w:rtl/>
        </w:rPr>
        <w:t xml:space="preserve"> لا منح له على جداول المشترك (docs/20-database-design.md:117).</w:t>
      </w:r>
    </w:p>
    <w:p>
      <w:pPr>
        <w:pStyle w:val="ListParagraph"/>
        <w:numPr>
          <w:ilvl w:val="0"/>
          <w:numId w:val="4"/>
        </w:numPr>
        <w:bidi/>
        <w:spacing w:after="70" w:before="0" w:line="300"/>
      </w:pPr>
      <w:r>
        <w:rPr>
          <w:rFonts w:ascii="Arial" w:cs="Arial" w:eastAsia="Arial" w:hAnsi="Arial"/>
          <w:b w:val="false"/>
          <w:bCs w:val="false"/>
          <w:sz w:val="21"/>
          <w:szCs w:val="21"/>
          <w:rtl/>
        </w:rPr>
        <w:t xml:space="preserve">docs/20-database-design.md:474 تقول إن </w:t>
      </w:r>
      <w:r>
        <w:rPr>
          <w:rFonts w:ascii="Courier New" w:cs="Courier New" w:eastAsia="Courier New" w:hAnsi="Courier New"/>
          <w:b w:val="false"/>
          <w:bCs w:val="false"/>
          <w:color w:val="1F2937"/>
          <w:sz w:val="18"/>
          <w:szCs w:val="18"/>
          <w:shd w:fill="F1F3F5" w:color="auto" w:val="clear"/>
          <w:rtl/>
        </w:rPr>
        <w:t xml:space="preserve">‎cfg.SeedRun‎</w:t>
      </w:r>
      <w:r>
        <w:rPr>
          <w:rFonts w:ascii="Arial" w:cs="Arial" w:eastAsia="Arial" w:hAnsi="Arial"/>
          <w:b w:val="false"/>
          <w:bCs w:val="false"/>
          <w:sz w:val="21"/>
          <w:szCs w:val="21"/>
          <w:rtl/>
        </w:rPr>
        <w:t xml:space="preserve"> يسجل البذر العالمي، والجدول يشترط </w:t>
      </w:r>
      <w:r>
        <w:rPr>
          <w:rFonts w:ascii="Courier New" w:cs="Courier New" w:eastAsia="Courier New" w:hAnsi="Courier New"/>
          <w:b w:val="false"/>
          <w:bCs w:val="false"/>
          <w:color w:val="1F2937"/>
          <w:sz w:val="18"/>
          <w:szCs w:val="18"/>
          <w:shd w:fill="F1F3F5" w:color="auto" w:val="clear"/>
          <w:rtl/>
        </w:rPr>
        <w:t xml:space="preserve">‎TenantId‎</w:t>
      </w:r>
      <w:r>
        <w:rPr>
          <w:rFonts w:ascii="Arial" w:cs="Arial" w:eastAsia="Arial" w:hAnsi="Arial"/>
          <w:b w:val="false"/>
          <w:bCs w:val="false"/>
          <w:sz w:val="21"/>
          <w:szCs w:val="21"/>
          <w:rtl/>
        </w:rPr>
        <w:t xml:space="preserve"> (db/generated/tsql/001_tables.sql:934).</w:t>
      </w:r>
    </w:p>
    <w:p>
      <w:pPr>
        <w:pStyle w:val="ListParagraph"/>
        <w:numPr>
          <w:ilvl w:val="0"/>
          <w:numId w:val="4"/>
        </w:numPr>
        <w:bidi/>
        <w:spacing w:after="70" w:before="0" w:line="300"/>
      </w:pPr>
      <w:r>
        <w:rPr>
          <w:rFonts w:ascii="Arial" w:cs="Arial" w:eastAsia="Arial" w:hAnsi="Arial"/>
          <w:b w:val="false"/>
          <w:bCs w:val="false"/>
          <w:sz w:val="21"/>
          <w:szCs w:val="21"/>
          <w:rtl/>
        </w:rPr>
        <w:t xml:space="preserve">المخطط في docs/10-detailed-analysis/10-m0-m1-platform-organization.md:409-411 يدعو المدير قبل البذر، ودور TA الذي يُسند إليه يأتي من البذر.</w:t>
      </w:r>
    </w:p>
    <w:p>
      <w:pPr>
        <w:pStyle w:val="ListParagraph"/>
        <w:numPr>
          <w:ilvl w:val="0"/>
          <w:numId w:val="4"/>
        </w:numPr>
        <w:bidi/>
        <w:spacing w:after="70" w:before="0" w:line="300"/>
      </w:pPr>
      <w:r>
        <w:rPr>
          <w:rFonts w:ascii="Arial" w:cs="Arial" w:eastAsia="Arial" w:hAnsi="Arial"/>
          <w:b w:val="false"/>
          <w:bCs w:val="false"/>
          <w:sz w:val="21"/>
          <w:szCs w:val="21"/>
          <w:rtl/>
        </w:rPr>
        <w:t xml:space="preserve">docs/21-data-dictionary.md:90 تقول إن تجميد الرمز يُفرض «في التطبيق أو بمحفّز»، ولا محفّز في db/static.</w:t>
      </w:r>
    </w:p>
    <w:p>
      <w:pPr>
        <w:pStyle w:val="ListParagraph"/>
        <w:numPr>
          <w:ilvl w:val="0"/>
          <w:numId w:val="4"/>
        </w:numPr>
        <w:bidi/>
        <w:spacing w:after="70" w:before="0" w:line="300"/>
      </w:pPr>
      <w:r>
        <w:rPr>
          <w:rFonts w:ascii="Arial" w:cs="Arial" w:eastAsia="Arial" w:hAnsi="Arial"/>
          <w:b w:val="false"/>
          <w:bCs w:val="false"/>
          <w:sz w:val="21"/>
          <w:szCs w:val="21"/>
          <w:rtl/>
        </w:rPr>
        <w:t xml:space="preserve">BR-PLT-002 يتطلب تصديرًا مدة 30 يومًا بعد الإغلاق (السطر 228)، والتصدير FR-PLT-039 في S5 بأولوية Should (السطر 141)، والكود يرفض دخول المشترك المغلق (db/static/030_session_context.sql:67-69).</w:t>
      </w:r>
    </w:p>
    <w:p>
      <w:pPr>
        <w:pStyle w:val="ListParagraph"/>
        <w:numPr>
          <w:ilvl w:val="0"/>
          <w:numId w:val="4"/>
        </w:numPr>
        <w:bidi/>
        <w:spacing w:after="70" w:before="0" w:line="300"/>
      </w:pPr>
      <w:r>
        <w:rPr>
          <w:rFonts w:ascii="Arial" w:cs="Arial" w:eastAsia="Arial" w:hAnsi="Arial"/>
          <w:b w:val="false"/>
          <w:bCs w:val="false"/>
          <w:sz w:val="21"/>
          <w:szCs w:val="21"/>
          <w:rtl/>
        </w:rPr>
        <w:t xml:space="preserve">BR-PLT-002 يفترض أن المشترك المؤرشف بلا مدير حساب فعّال (السطر 228)، ولا انتقال يعطّل المستخدمين عند الإغلاق أو الأرشفة، والكود يقبل دخولهم في ARCHIVED_READ_ONLY (db/static/030_session_context.sql:67-69).</w:t>
      </w:r>
    </w:p>
    <w:p>
      <w:pPr>
        <w:pStyle w:val="ListParagraph"/>
        <w:numPr>
          <w:ilvl w:val="0"/>
          <w:numId w:val="4"/>
        </w:numPr>
        <w:bidi/>
        <w:spacing w:after="70" w:before="0" w:line="300"/>
      </w:pPr>
      <w:r>
        <w:rPr>
          <w:rFonts w:ascii="Arial" w:cs="Arial" w:eastAsia="Arial" w:hAnsi="Arial"/>
          <w:b w:val="false"/>
          <w:bCs w:val="false"/>
          <w:sz w:val="21"/>
          <w:szCs w:val="21"/>
          <w:rtl/>
        </w:rPr>
        <w:t xml:space="preserve">مخطط حالات المشترك (docs/10-detailed-analysis/10-m0-m1-platform-organization.md:455-465) لا يحوي TRIAL إلى CLOSED ولا تمديد التجربة بعد انتهائها، وكلاهما لازم لحالات واقعية.</w:t>
      </w:r>
    </w:p>
    <w:p>
      <w:pPr>
        <w:pStyle w:val="ListParagraph"/>
        <w:numPr>
          <w:ilvl w:val="0"/>
          <w:numId w:val="4"/>
        </w:numPr>
        <w:bidi/>
        <w:spacing w:after="70" w:before="0" w:line="300"/>
      </w:pPr>
      <w:r>
        <w:rPr>
          <w:rFonts w:ascii="Arial" w:cs="Arial" w:eastAsia="Arial" w:hAnsi="Arial"/>
          <w:b w:val="false"/>
          <w:bCs w:val="false"/>
          <w:sz w:val="21"/>
          <w:szCs w:val="21"/>
          <w:rtl/>
        </w:rPr>
        <w:t xml:space="preserve">تصادم الترقيم: O-12 في docs/20-database-design.md:540 هو «إجراءات المنصة على بيانات المشترك»، وO-12 في tools/dbgen/erd_open_items.py:80-84 هو الترقيم بلا فجوات.</w:t>
      </w:r>
    </w:p>
    <w:p>
      <w:pPr>
        <w:bidi/>
        <w:spacing w:after="60" w:before="0"/>
      </w:pPr>
    </w:p>
    <w:p>
      <w:pPr>
        <w:pStyle w:val="Heading1"/>
        <w:bidi/>
      </w:pPr>
      <w:bookmarkStart w:name="_sec20" w:id="20"/>
      <w:r>
        <w:rPr>
          <w:rFonts w:ascii="Arial" w:cs="Arial" w:eastAsia="Arial" w:hAnsi="Arial"/>
          <w:b/>
          <w:bCs/>
          <w:color w:val="1F3A5F"/>
          <w:sz w:val="32"/>
          <w:szCs w:val="32"/>
          <w:rtl/>
        </w:rPr>
        <w:t xml:space="preserve">10. التتبع</w:t>
      </w:r>
      <w:bookmarkEnd w:id="20"/>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78"/>
        <w:gridCol w:w="2303"/>
        <w:gridCol w:w="6583"/>
      </w:tblGrid>
      <w:tr>
        <w:trPr>
          <w:cantSplit/>
          <w:tblHeader/>
        </w:trPr>
        <w:tc>
          <w:tcPr>
            <w:tcW w:type="dxa" w:w="97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 في هذه الوثيقة</w:t>
            </w:r>
          </w:p>
        </w:tc>
        <w:tc>
          <w:tcPr>
            <w:tcW w:type="dxa" w:w="230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 أو القاعدة أو القرار</w:t>
            </w:r>
          </w:p>
        </w:tc>
        <w:tc>
          <w:tcPr>
            <w:tcW w:type="dxa" w:w="658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§4.2</w:t>
            </w:r>
          </w:p>
        </w:tc>
        <w:tc>
          <w:tcPr>
            <w:tcW w:type="dxa" w:w="23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FR-PLT-001، FR-PLT-046</w:t>
            </w:r>
          </w:p>
        </w:tc>
        <w:tc>
          <w:tcPr>
            <w:tcW w:type="dxa" w:w="65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docs/10-detailed-analysis/10-m0-m1-platform-organization.md:103، :148</w:t>
            </w:r>
          </w:p>
        </w:tc>
      </w:tr>
      <w:tr>
        <w:trPr>
          <w:cantSplit/>
        </w:trPr>
        <w:tc>
          <w:tcPr>
            <w:tcW w:type="dxa" w:w="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§4.1 و§4.3</w:t>
            </w:r>
          </w:p>
        </w:tc>
        <w:tc>
          <w:tcPr>
            <w:tcW w:type="dxa" w:w="23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FR-PLT-008، O-12 (20-database-design)، O-3 (20-database-design)</w:t>
            </w:r>
          </w:p>
        </w:tc>
        <w:tc>
          <w:tcPr>
            <w:tcW w:type="dxa" w:w="65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docs/10-detailed-analysis/10-m0-m1-platform-organization.md:110؛ docs/20-database-design.md:470-476، :531، :540</w:t>
            </w:r>
          </w:p>
        </w:tc>
      </w:tr>
      <w:tr>
        <w:trPr>
          <w:cantSplit/>
        </w:trPr>
        <w:tc>
          <w:tcPr>
            <w:tcW w:type="dxa" w:w="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§4.3</w:t>
            </w:r>
          </w:p>
        </w:tc>
        <w:tc>
          <w:tcPr>
            <w:tcW w:type="dxa" w:w="23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FR-PLT-013، BR-PLT-015</w:t>
            </w:r>
          </w:p>
        </w:tc>
        <w:tc>
          <w:tcPr>
            <w:tcW w:type="dxa" w:w="65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docs/10-detailed-analysis/10-m0-m1-platform-organization.md:115، :241</w:t>
            </w:r>
          </w:p>
        </w:tc>
      </w:tr>
      <w:tr>
        <w:trPr>
          <w:cantSplit/>
        </w:trPr>
        <w:tc>
          <w:tcPr>
            <w:tcW w:type="dxa" w:w="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§4.4</w:t>
            </w:r>
          </w:p>
        </w:tc>
        <w:tc>
          <w:tcPr>
            <w:tcW w:type="dxa" w:w="23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FR-PLT-046</w:t>
            </w:r>
          </w:p>
        </w:tc>
        <w:tc>
          <w:tcPr>
            <w:tcW w:type="dxa" w:w="65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docs/10-detailed-analysis/10-m0-m1-platform-organization.md:148</w:t>
            </w:r>
          </w:p>
        </w:tc>
      </w:tr>
      <w:tr>
        <w:trPr>
          <w:cantSplit/>
        </w:trPr>
        <w:tc>
          <w:tcPr>
            <w:tcW w:type="dxa" w:w="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§4.5</w:t>
            </w:r>
          </w:p>
        </w:tc>
        <w:tc>
          <w:tcPr>
            <w:tcW w:type="dxa" w:w="23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FR-PLT-003، BR-PLT-003</w:t>
            </w:r>
          </w:p>
        </w:tc>
        <w:tc>
          <w:tcPr>
            <w:tcW w:type="dxa" w:w="65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docs/10-detailed-analysis/10-m0-m1-platform-organization.md:105، :229</w:t>
            </w:r>
          </w:p>
        </w:tc>
      </w:tr>
      <w:tr>
        <w:trPr>
          <w:cantSplit/>
        </w:trPr>
        <w:tc>
          <w:tcPr>
            <w:tcW w:type="dxa" w:w="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23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FR-PLT-044، FR-PLT-013</w:t>
            </w:r>
          </w:p>
        </w:tc>
        <w:tc>
          <w:tcPr>
            <w:tcW w:type="dxa" w:w="65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docs/10-detailed-analysis/10-m0-m1-platform-organization.md:146، :115</w:t>
            </w:r>
          </w:p>
        </w:tc>
      </w:tr>
      <w:tr>
        <w:trPr>
          <w:cantSplit/>
        </w:trPr>
        <w:tc>
          <w:tcPr>
            <w:tcW w:type="dxa" w:w="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§6.1 و§6.2</w:t>
            </w:r>
          </w:p>
        </w:tc>
        <w:tc>
          <w:tcPr>
            <w:tcW w:type="dxa" w:w="23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FR-PLT-002، BR-PLT-002</w:t>
            </w:r>
          </w:p>
        </w:tc>
        <w:tc>
          <w:tcPr>
            <w:tcW w:type="dxa" w:w="65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docs/10-detailed-analysis/10-m0-m1-platform-organization.md:104، :228، :455-465</w:t>
            </w:r>
          </w:p>
        </w:tc>
      </w:tr>
      <w:tr>
        <w:trPr>
          <w:cantSplit/>
        </w:trPr>
        <w:tc>
          <w:tcPr>
            <w:tcW w:type="dxa" w:w="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§6.2</w:t>
            </w:r>
          </w:p>
        </w:tc>
        <w:tc>
          <w:tcPr>
            <w:tcW w:type="dxa" w:w="23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قيود </w:t>
            </w:r>
            <w:r>
              <w:rPr>
                <w:rFonts w:ascii="Courier New" w:cs="Courier New" w:eastAsia="Courier New" w:hAnsi="Courier New"/>
                <w:b w:val="false"/>
                <w:bCs w:val="false"/>
                <w:color w:val="1F2937"/>
                <w:sz w:val="16"/>
                <w:szCs w:val="16"/>
                <w:shd w:fill="F1F3F5" w:color="auto" w:val="clear"/>
                <w:rtl/>
              </w:rPr>
              <w:t xml:space="preserve">‎plat.Tenant‎</w:t>
            </w:r>
          </w:p>
        </w:tc>
        <w:tc>
          <w:tcPr>
            <w:tcW w:type="dxa" w:w="65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db/generated/tsql/001_tables.sql:66-72</w:t>
            </w:r>
          </w:p>
        </w:tc>
      </w:tr>
      <w:tr>
        <w:trPr>
          <w:cantSplit/>
        </w:trPr>
        <w:tc>
          <w:tcPr>
            <w:tcW w:type="dxa" w:w="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§6.4</w:t>
            </w:r>
          </w:p>
        </w:tc>
        <w:tc>
          <w:tcPr>
            <w:tcW w:type="dxa" w:w="23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FR-PLT-039، BR-PLT-016</w:t>
            </w:r>
          </w:p>
        </w:tc>
        <w:tc>
          <w:tcPr>
            <w:tcW w:type="dxa" w:w="65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docs/10-detailed-analysis/10-m0-m1-platform-organization.md:141، :242</w:t>
            </w:r>
          </w:p>
        </w:tc>
      </w:tr>
      <w:tr>
        <w:trPr>
          <w:cantSplit/>
        </w:trPr>
        <w:tc>
          <w:tcPr>
            <w:tcW w:type="dxa" w:w="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§6.5</w:t>
            </w:r>
          </w:p>
        </w:tc>
        <w:tc>
          <w:tcPr>
            <w:tcW w:type="dxa" w:w="23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FR-PLT-040، BR-PLT-015</w:t>
            </w:r>
          </w:p>
        </w:tc>
        <w:tc>
          <w:tcPr>
            <w:tcW w:type="dxa" w:w="65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docs/10-detailed-analysis/10-m0-m1-platform-organization.md:142، :241</w:t>
            </w:r>
          </w:p>
        </w:tc>
      </w:tr>
      <w:tr>
        <w:trPr>
          <w:cantSplit/>
        </w:trPr>
        <w:tc>
          <w:tcPr>
            <w:tcW w:type="dxa" w:w="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23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شرط خروج S0</w:t>
            </w:r>
          </w:p>
        </w:tc>
        <w:tc>
          <w:tcPr>
            <w:tcW w:type="dxa" w:w="65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docs/10-detailed-analysis/00-overview-and-cross-cutting.md:194</w:t>
            </w:r>
          </w:p>
        </w:tc>
      </w:tr>
      <w:tr>
        <w:trPr>
          <w:cantSplit/>
        </w:trPr>
        <w:tc>
          <w:tcPr>
            <w:tcW w:type="dxa" w:w="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مصفوفة الوصول لكل حالة</w:t>
            </w:r>
          </w:p>
        </w:tc>
        <w:tc>
          <w:tcPr>
            <w:tcW w:type="dxa" w:w="23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O-18 (erd_open_items)</w:t>
            </w:r>
          </w:p>
        </w:tc>
        <w:tc>
          <w:tcPr>
            <w:tcW w:type="dxa" w:w="65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DOC-F04 §7</w:t>
            </w:r>
          </w:p>
        </w:tc>
      </w:tr>
    </w:tbl>
    <w:p>
      <w:pPr>
        <w:bidi/>
        <w:spacing w:after="120" w:before="0"/>
      </w:pPr>
    </w:p>
    <w:sectPr>
      <w:headerReference w:type="default" r:id="rId7"/>
      <w:footerReference w:type="default" r:id="rId8"/>
      <w:pgSz w:w="11906" w:h="16838" w:orient="portrait"/>
      <w:pgMar w:top="1134" w:right="1021" w:bottom="1134" w:left="1021" w:header="500" w:footer="500" w:gutter="0"/>
      <w:pgNumType/>
      <w:bidi/>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bidi/>
      <w:jc w:val="center"/>
    </w:pPr>
    <w:r>
      <w:rPr>
        <w:rFonts w:ascii="Arial" w:cs="Arial" w:eastAsia="Arial" w:hAnsi="Arial"/>
        <w:color w:val="5B6670"/>
        <w:sz w:val="17"/>
        <w:szCs w:val="17"/>
        <w:rtl/>
      </w:rPr>
      <w:t xml:space="preserve">صفحة </w:t>
    </w:r>
    <w:r>
      <w:rPr>
        <w:rFonts w:ascii="Arial" w:cs="Arial" w:eastAsia="Arial" w:hAnsi="Arial"/>
        <w:color w:val="5B6670"/>
        <w:sz w:val="17"/>
        <w:szCs w:val="17"/>
        <w:rtl/>
      </w:rPr>
      <w:fldChar w:fldCharType="begin"/>
      <w:instrText xml:space="preserve">PAGE</w:instrText>
      <w:fldChar w:fldCharType="separate"/>
      <w:fldChar w:fldCharType="end"/>
    </w:r>
    <w:r>
      <w:rPr>
        <w:rFonts w:ascii="Arial" w:cs="Arial" w:eastAsia="Arial" w:hAnsi="Arial"/>
        <w:color w:val="5B6670"/>
        <w:sz w:val="17"/>
        <w:szCs w:val="17"/>
        <w:rtl/>
      </w:rPr>
      <w:t xml:space="preserve"> من </w:t>
    </w:r>
    <w:r>
      <w:rPr>
        <w:rFonts w:ascii="Arial" w:cs="Arial" w:eastAsia="Arial" w:hAnsi="Arial"/>
        <w:color w:val="5B6670"/>
        <w:sz w:val="17"/>
        <w:szCs w:val="17"/>
        <w:rtl/>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BFC9D6" w:sz="4" w:space="4"/>
      </w:pBdr>
      <w:bidi/>
      <w:spacing w:after="0"/>
    </w:pPr>
    <w:r>
      <w:rPr>
        <w:rFonts w:ascii="Arial" w:cs="Arial" w:eastAsia="Arial" w:hAnsi="Arial"/>
        <w:color w:val="5B6670"/>
        <w:sz w:val="17"/>
        <w:szCs w:val="17"/>
        <w:rtl/>
      </w:rPr>
      <w:t xml:space="preserve">DOC-F05 · BankFas · مستندات الجاهزية P0 · 0.1 مسودة</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74" w:hanging="284"/>
      </w:pPr>
    </w:lvl>
    <w:lvl w:ilvl="1" w15:tentative="1">
      <w:start w:val="1"/>
      <w:numFmt w:val="bullet"/>
      <w:lvlText w:val="–"/>
      <w:lvlJc w:val="left"/>
      <w:pPr>
        <w:ind w:left="1028" w:hanging="284"/>
      </w:pPr>
    </w:lvl>
    <w:lvl w:ilvl="2" w15:tentative="1">
      <w:start w:val="1"/>
      <w:numFmt w:val="bullet"/>
      <w:lvlText w:val="·"/>
      <w:lvlJc w:val="left"/>
      <w:pPr>
        <w:ind w:left="1482" w:hanging="284"/>
      </w:pPr>
    </w:lvl>
    <w:lvl w:ilvl="3" w15:tentative="1">
      <w:start w:val="1"/>
      <w:numFmt w:val="bullet"/>
      <w:lvlText w:val="·"/>
      <w:lvlJc w:val="left"/>
      <w:pPr>
        <w:ind w:left="1936" w:hanging="284"/>
      </w:pPr>
    </w:lvl>
  </w:abstractNum>
  <w:abstractNum w:abstractNumId="3"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4"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4"/>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1"/>
        <w:szCs w:val="21"/>
        <w:rtl/>
        <w:lang w:val="ar-SA" w:bidi="ar-SA"/>
      </w:rPr>
    </w:rPrDefault>
    <w:pPrDefault>
      <w:pPr>
        <w:bidi/>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next w:val="Normal"/>
    <w:qFormat/>
    <w:pPr>
      <w:bidi/>
      <w:spacing w:after="160" w:before="0"/>
    </w:pPr>
    <w:rPr>
      <w:b/>
      <w:bCs/>
      <w:color w:val="1F3A5F"/>
      <w:sz w:val="48"/>
      <w:szCs w:val="48"/>
    </w:rPr>
  </w:style>
  <w:style w:type="paragraph" w:styleId="Heading1">
    <w:name w:val="heading 1"/>
    <w:basedOn w:val="Normal"/>
    <w:next w:val="Normal"/>
    <w:qFormat/>
    <w:pPr>
      <w:keepNext/>
      <w:pBdr>
        <w:bottom w:val="single" w:color="1F3A5F" w:sz="8" w:space="3"/>
      </w:pBdr>
      <w:bidi/>
      <w:spacing w:after="140" w:before="380"/>
      <w:outlineLvl w:val="0"/>
    </w:pPr>
    <w:rPr>
      <w:b/>
      <w:bCs/>
      <w:color w:val="1F3A5F"/>
      <w:sz w:val="32"/>
      <w:szCs w:val="32"/>
    </w:rPr>
  </w:style>
  <w:style w:type="paragraph" w:styleId="Heading2">
    <w:name w:val="heading 2"/>
    <w:basedOn w:val="Normal"/>
    <w:next w:val="Normal"/>
    <w:qFormat/>
    <w:pPr>
      <w:keepNext/>
      <w:bidi/>
      <w:spacing w:after="100" w:before="260"/>
      <w:outlineLvl w:val="1"/>
    </w:pPr>
    <w:rPr>
      <w:b/>
      <w:bCs/>
      <w:color w:val="2B5C8A"/>
      <w:sz w:val="26"/>
      <w:szCs w:val="26"/>
    </w:rPr>
  </w:style>
  <w:style w:type="paragraph" w:styleId="Heading3">
    <w:name w:val="heading 3"/>
    <w:basedOn w:val="Normal"/>
    <w:next w:val="Normal"/>
    <w:qFormat/>
    <w:pPr>
      <w:keepNext/>
      <w:bidi/>
      <w:spacing w:after="80" w:before="200"/>
      <w:outlineLvl w:val="2"/>
    </w:pPr>
    <w:rPr>
      <w:b/>
      <w:bCs/>
      <w:color w:val="2B5C8A"/>
      <w:sz w:val="23"/>
      <w:szCs w:val="23"/>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3a9f1024316ed69bd2c6b7e3a67ac761781c18a4.png"/><Relationship Id="rId10" Type="http://schemas.openxmlformats.org/officeDocument/2006/relationships/image" Target="media/74ad862019af993735f4acd817054f3c9694f587.png"/><Relationship Id="rId11" Type="http://schemas.openxmlformats.org/officeDocument/2006/relationships/image" Target="media/970bb0d24a6ed7341a977d2dd36063fdbd065bb0.png"/><Relationship Id="rId12" Type="http://schemas.openxmlformats.org/officeDocument/2006/relationships/image" Target="media/6d70405e453419bedc8162733ea842163ce2aee2.png"/><Relationship Id="rId13"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DOC-F05 — تسلسل تهيئة المشترك ودورة حياته مع الفشل والتراجع</dc:title>
  <dc:creator>Claude</dc:creator>
  <dc:description>BankFas database design document</dc:description>
  <cp:lastModifiedBy>Un-named</cp:lastModifiedBy>
  <cp:revision>1</cp:revision>
  <dcterms:created xsi:type="dcterms:W3CDTF">2026-10-14T07:36:36.954Z</dcterms:created>
  <dcterms:modified xsi:type="dcterms:W3CDTF">2026-10-14T07:36:36.954Z</dcterms:modified>
</cp:coreProperties>
</file>

<file path=docProps/custom.xml><?xml version="1.0" encoding="utf-8"?>
<Properties xmlns="http://schemas.openxmlformats.org/officeDocument/2006/custom-properties" xmlns:vt="http://schemas.openxmlformats.org/officeDocument/2006/docPropsVTypes"/>
</file>