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DOC-S02 — سياسة إدارة المفاتيح والتشفير عند التخزين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التشفير عند التخزين</w:t>
        </w:r>
      </w:hyperlink>
    </w:p>
    <w:p>
      <w:pPr>
        <w:bidi/>
        <w:spacing w:after="50" w:before="0"/>
        <w:ind w:left="0"/>
      </w:pPr>
      <w:hyperlink w:history="1" w:anchor="_sec4">
        <w:r>
          <w:rPr>
            <w:rFonts w:ascii="Arial" w:cs="Arial" w:eastAsia="Arial" w:hAnsi="Arial"/>
            <w:b/>
            <w:bCs/>
            <w:color w:val="1F3A5F"/>
            <w:sz w:val="20"/>
            <w:szCs w:val="20"/>
            <w:rtl/>
          </w:rPr>
          <w:t xml:space="preserve">4. سلسلة المفاتيح</w:t>
        </w:r>
      </w:hyperlink>
    </w:p>
    <w:p>
      <w:pPr>
        <w:bidi/>
        <w:spacing w:after="50" w:before="0"/>
        <w:ind w:left="0"/>
      </w:pPr>
      <w:hyperlink w:history="1" w:anchor="_sec5">
        <w:r>
          <w:rPr>
            <w:rFonts w:ascii="Arial" w:cs="Arial" w:eastAsia="Arial" w:hAnsi="Arial"/>
            <w:b/>
            <w:bCs/>
            <w:color w:val="1F3A5F"/>
            <w:sz w:val="20"/>
            <w:szCs w:val="20"/>
            <w:rtl/>
          </w:rPr>
          <w:t xml:space="preserve">5. TDE على SQL Server 2025 فوق Ubuntu 24.04</w:t>
        </w:r>
      </w:hyperlink>
    </w:p>
    <w:p>
      <w:pPr>
        <w:bidi/>
        <w:spacing w:after="50" w:before="0"/>
        <w:ind w:left="0"/>
      </w:pPr>
      <w:hyperlink w:history="1" w:anchor="_sec8">
        <w:r>
          <w:rPr>
            <w:rFonts w:ascii="Arial" w:cs="Arial" w:eastAsia="Arial" w:hAnsi="Arial"/>
            <w:b/>
            <w:bCs/>
            <w:color w:val="1F3A5F"/>
            <w:sz w:val="20"/>
            <w:szCs w:val="20"/>
            <w:rtl/>
          </w:rPr>
          <w:t xml:space="preserve">6. تشفير النسخ الاحتياطية</w:t>
        </w:r>
      </w:hyperlink>
    </w:p>
    <w:p>
      <w:pPr>
        <w:bidi/>
        <w:spacing w:after="50" w:before="0"/>
        <w:ind w:left="0"/>
      </w:pPr>
      <w:hyperlink w:history="1" w:anchor="_sec9">
        <w:r>
          <w:rPr>
            <w:rFonts w:ascii="Arial" w:cs="Arial" w:eastAsia="Arial" w:hAnsi="Arial"/>
            <w:b/>
            <w:bCs/>
            <w:color w:val="1F3A5F"/>
            <w:sz w:val="20"/>
            <w:szCs w:val="20"/>
            <w:rtl/>
          </w:rPr>
          <w:t xml:space="preserve">7. حماية الأعمدة القائمة في النموذج</w:t>
        </w:r>
      </w:hyperlink>
    </w:p>
    <w:p>
      <w:pPr>
        <w:bidi/>
        <w:spacing w:after="50" w:before="0"/>
        <w:ind w:left="0"/>
      </w:pPr>
      <w:hyperlink w:history="1" w:anchor="_sec12">
        <w:r>
          <w:rPr>
            <w:rFonts w:ascii="Arial" w:cs="Arial" w:eastAsia="Arial" w:hAnsi="Arial"/>
            <w:b/>
            <w:bCs/>
            <w:color w:val="1F3A5F"/>
            <w:sz w:val="20"/>
            <w:szCs w:val="20"/>
            <w:rtl/>
          </w:rPr>
          <w:t xml:space="preserve">8. مخزن الملفات المشفّر</w:t>
        </w:r>
      </w:hyperlink>
    </w:p>
    <w:p>
      <w:pPr>
        <w:bidi/>
        <w:spacing w:after="50" w:before="0"/>
        <w:ind w:left="0"/>
      </w:pPr>
      <w:hyperlink w:history="1" w:anchor="_sec13">
        <w:r>
          <w:rPr>
            <w:rFonts w:ascii="Arial" w:cs="Arial" w:eastAsia="Arial" w:hAnsi="Arial"/>
            <w:b/>
            <w:bCs/>
            <w:color w:val="1F3A5F"/>
            <w:sz w:val="20"/>
            <w:szCs w:val="20"/>
            <w:rtl/>
          </w:rPr>
          <w:t xml:space="preserve">9. الحفظ المزدوج (Split custody)</w:t>
        </w:r>
      </w:hyperlink>
    </w:p>
    <w:p>
      <w:pPr>
        <w:bidi/>
        <w:spacing w:after="50" w:before="0"/>
        <w:ind w:left="0"/>
      </w:pPr>
      <w:hyperlink w:history="1" w:anchor="_sec16">
        <w:r>
          <w:rPr>
            <w:rFonts w:ascii="Arial" w:cs="Arial" w:eastAsia="Arial" w:hAnsi="Arial"/>
            <w:b/>
            <w:bCs/>
            <w:color w:val="1F3A5F"/>
            <w:sz w:val="20"/>
            <w:szCs w:val="20"/>
            <w:rtl/>
          </w:rPr>
          <w:t xml:space="preserve">10. جدول التدوير</w:t>
        </w:r>
      </w:hyperlink>
    </w:p>
    <w:p>
      <w:pPr>
        <w:bidi/>
        <w:spacing w:after="50" w:before="0"/>
        <w:ind w:left="0"/>
      </w:pPr>
      <w:hyperlink w:history="1" w:anchor="_sec17">
        <w:r>
          <w:rPr>
            <w:rFonts w:ascii="Arial" w:cs="Arial" w:eastAsia="Arial" w:hAnsi="Arial"/>
            <w:b/>
            <w:bCs/>
            <w:color w:val="1F3A5F"/>
            <w:sz w:val="20"/>
            <w:szCs w:val="20"/>
            <w:rtl/>
          </w:rPr>
          <w:t xml:space="preserve">11. الضمان والاسترداد</w:t>
        </w:r>
      </w:hyperlink>
    </w:p>
    <w:p>
      <w:pPr>
        <w:bidi/>
        <w:spacing w:after="50" w:before="0"/>
        <w:ind w:left="0"/>
      </w:pPr>
      <w:hyperlink w:history="1" w:anchor="_sec21">
        <w:r>
          <w:rPr>
            <w:rFonts w:ascii="Arial" w:cs="Arial" w:eastAsia="Arial" w:hAnsi="Arial"/>
            <w:b/>
            <w:bCs/>
            <w:color w:val="1F3A5F"/>
            <w:sz w:val="20"/>
            <w:szCs w:val="20"/>
            <w:rtl/>
          </w:rPr>
          <w:t xml:space="preserve">12. ماذا يحدث عند فقد المفتاح</w:t>
        </w:r>
      </w:hyperlink>
    </w:p>
    <w:p>
      <w:pPr>
        <w:bidi/>
        <w:spacing w:after="50" w:before="0"/>
        <w:ind w:left="0"/>
      </w:pPr>
      <w:hyperlink w:history="1" w:anchor="_sec22">
        <w:r>
          <w:rPr>
            <w:rFonts w:ascii="Arial" w:cs="Arial" w:eastAsia="Arial" w:hAnsi="Arial"/>
            <w:b/>
            <w:bCs/>
            <w:color w:val="1F3A5F"/>
            <w:sz w:val="20"/>
            <w:szCs w:val="20"/>
            <w:rtl/>
          </w:rPr>
          <w:t xml:space="preserve">13. تسجيل أحداث المفاتيح</w:t>
        </w:r>
      </w:hyperlink>
    </w:p>
    <w:p>
      <w:pPr>
        <w:bidi/>
        <w:spacing w:after="50" w:before="0"/>
        <w:ind w:left="0"/>
      </w:pPr>
      <w:hyperlink w:history="1" w:anchor="_sec23">
        <w:r>
          <w:rPr>
            <w:rFonts w:ascii="Arial" w:cs="Arial" w:eastAsia="Arial" w:hAnsi="Arial"/>
            <w:b/>
            <w:bCs/>
            <w:color w:val="1F3A5F"/>
            <w:sz w:val="20"/>
            <w:szCs w:val="20"/>
            <w:rtl/>
          </w:rPr>
          <w:t xml:space="preserve">14. التثبيت المحلي لاحقًا (FR-PLT-047)</w:t>
        </w:r>
      </w:hyperlink>
    </w:p>
    <w:p>
      <w:pPr>
        <w:bidi/>
        <w:spacing w:after="50" w:before="0"/>
        <w:ind w:left="0"/>
      </w:pPr>
      <w:hyperlink w:history="1" w:anchor="_sec24">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5">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6">
        <w:r>
          <w:rPr>
            <w:rFonts w:ascii="Arial" w:cs="Arial" w:eastAsia="Arial" w:hAnsi="Arial"/>
            <w:b/>
            <w:bCs/>
            <w:color w:val="1F3A5F"/>
            <w:sz w:val="20"/>
            <w:szCs w:val="20"/>
            <w:rtl/>
          </w:rPr>
          <w:t xml:space="preserve">17.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1"/>
        <w:bidi/>
      </w:pPr>
      <w:bookmarkStart w:name="_sec3" w:id="3"/>
      <w:r>
        <w:rPr>
          <w:rFonts w:ascii="Arial" w:cs="Arial" w:eastAsia="Arial" w:hAnsi="Arial"/>
          <w:b/>
          <w:bCs/>
          <w:color w:val="1F3A5F"/>
          <w:sz w:val="32"/>
          <w:szCs w:val="32"/>
          <w:rtl/>
        </w:rPr>
        <w:t xml:space="preserve">3. طبقات التشفير عند التخزين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1"/>
        <w:bidi/>
      </w:pPr>
      <w:bookmarkStart w:name="_sec4" w:id="4"/>
      <w:r>
        <w:rPr>
          <w:rFonts w:ascii="Arial" w:cs="Arial" w:eastAsia="Arial" w:hAnsi="Arial"/>
          <w:b/>
          <w:bCs/>
          <w:color w:val="1F3A5F"/>
          <w:sz w:val="32"/>
          <w:szCs w:val="32"/>
          <w:rtl/>
        </w:rPr>
        <w:t xml:space="preserve">4. سلسلة المفاتيح</w:t>
      </w:r>
      <w:bookmarkEnd w:id="4"/>
    </w:p>
    <w:p>
      <w:pPr>
        <w:keepNext/>
        <w:bidi/>
        <w:spacing w:after="60" w:before="160"/>
        <w:jc w:val="center"/>
      </w:pPr>
      <w:r>
        <w:drawing>
          <wp:inline distT="0" distB="0" distL="0" distR="0">
            <wp:extent cx="6096000" cy="22098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1"/>
        <w:bidi/>
      </w:pPr>
      <w:bookmarkStart w:name="_sec5" w:id="5"/>
      <w:r>
        <w:rPr>
          <w:rFonts w:ascii="Arial" w:cs="Arial" w:eastAsia="Arial" w:hAnsi="Arial"/>
          <w:b/>
          <w:bCs/>
          <w:color w:val="1F3A5F"/>
          <w:sz w:val="32"/>
          <w:szCs w:val="32"/>
          <w:rtl/>
        </w:rPr>
        <w:t xml:space="preserve">5. TDE على SQL Server 2025 فوق Ubuntu 24.04 </w:t>
      </w:r>
      <w:r>
        <w:rPr>
          <w:rFonts w:ascii="Arial" w:cs="Arial" w:eastAsia="Arial" w:hAnsi="Arial"/>
          <w:color w:val="E0A800"/>
          <w:sz w:val="32"/>
          <w:szCs w:val="32"/>
          <w:rtl/>
        </w:rPr>
        <w:t xml:space="preserve">●</w:t>
      </w:r>
      <w:bookmarkEnd w:id="5"/>
    </w:p>
    <w:p>
      <w:pPr>
        <w:pStyle w:val="Heading2"/>
        <w:bidi/>
      </w:pPr>
      <w:bookmarkStart w:name="_sec6" w:id="6"/>
      <w:r>
        <w:rPr>
          <w:rFonts w:ascii="Arial" w:cs="Arial" w:eastAsia="Arial" w:hAnsi="Arial"/>
          <w:b/>
          <w:bCs/>
          <w:color w:val="2B5C8A"/>
          <w:sz w:val="26"/>
          <w:szCs w:val="26"/>
          <w:rtl/>
        </w:rPr>
        <w:t xml:space="preserve">5.1 الإعداد الأول (مرة واحدة لكل خادم)</w:t>
      </w:r>
      <w:bookmarkEnd w:id="6"/>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3"/>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2"/>
        <w:bidi/>
      </w:pPr>
      <w:bookmarkStart w:name="_sec7" w:id="7"/>
      <w:r>
        <w:rPr>
          <w:rFonts w:ascii="Arial" w:cs="Arial" w:eastAsia="Arial" w:hAnsi="Arial"/>
          <w:b/>
          <w:bCs/>
          <w:color w:val="2B5C8A"/>
          <w:sz w:val="26"/>
          <w:szCs w:val="26"/>
          <w:rtl/>
        </w:rPr>
        <w:t xml:space="preserve">5.2 قواعد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1"/>
        <w:bidi/>
      </w:pPr>
      <w:bookmarkStart w:name="_sec8" w:id="8"/>
      <w:r>
        <w:rPr>
          <w:rFonts w:ascii="Arial" w:cs="Arial" w:eastAsia="Arial" w:hAnsi="Arial"/>
          <w:b/>
          <w:bCs/>
          <w:color w:val="1F3A5F"/>
          <w:sz w:val="32"/>
          <w:szCs w:val="32"/>
          <w:rtl/>
        </w:rPr>
        <w:t xml:space="preserve">6. تشفير النسخ الاحتياطية </w:t>
      </w:r>
      <w:r>
        <w:rPr>
          <w:rFonts w:ascii="Arial" w:cs="Arial" w:eastAsia="Arial" w:hAnsi="Arial"/>
          <w:color w:val="E0A800"/>
          <w:sz w:val="32"/>
          <w:szCs w:val="32"/>
          <w:rtl/>
        </w:rPr>
        <w:t xml:space="preserve">●</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1"/>
        <w:bidi/>
      </w:pPr>
      <w:bookmarkStart w:name="_sec9" w:id="9"/>
      <w:r>
        <w:rPr>
          <w:rFonts w:ascii="Arial" w:cs="Arial" w:eastAsia="Arial" w:hAnsi="Arial"/>
          <w:b/>
          <w:bCs/>
          <w:color w:val="1F3A5F"/>
          <w:sz w:val="32"/>
          <w:szCs w:val="32"/>
          <w:rtl/>
        </w:rPr>
        <w:t xml:space="preserve">7. حماية الأعمدة القائمة في النموذج</w:t>
      </w:r>
      <w:bookmarkEnd w:id="9"/>
    </w:p>
    <w:p>
      <w:pPr>
        <w:pStyle w:val="Heading2"/>
        <w:bidi/>
      </w:pPr>
      <w:bookmarkStart w:name="_sec10" w:id="10"/>
      <w:r>
        <w:rPr>
          <w:rFonts w:ascii="Arial" w:cs="Arial" w:eastAsia="Arial" w:hAnsi="Arial"/>
          <w:b/>
          <w:bCs/>
          <w:color w:val="2B5C8A"/>
          <w:sz w:val="26"/>
          <w:szCs w:val="26"/>
          <w:rtl/>
        </w:rPr>
        <w:t xml:space="preserve">7.1 الأعمدة المشفّرة بمفتاح المشترك</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7.2 قواعد خدمة التشفير المشتركة (FR-PLT-037)</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1"/>
        <w:bidi/>
      </w:pPr>
      <w:bookmarkStart w:name="_sec12" w:id="12"/>
      <w:r>
        <w:rPr>
          <w:rFonts w:ascii="Arial" w:cs="Arial" w:eastAsia="Arial" w:hAnsi="Arial"/>
          <w:b/>
          <w:bCs/>
          <w:color w:val="1F3A5F"/>
          <w:sz w:val="32"/>
          <w:szCs w:val="32"/>
          <w:rtl/>
        </w:rPr>
        <w:t xml:space="preserve">8. مخزن الملفات المشفّر</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1"/>
        <w:bidi/>
      </w:pPr>
      <w:bookmarkStart w:name="_sec13" w:id="13"/>
      <w:r>
        <w:rPr>
          <w:rFonts w:ascii="Arial" w:cs="Arial" w:eastAsia="Arial" w:hAnsi="Arial"/>
          <w:b/>
          <w:bCs/>
          <w:color w:val="1F3A5F"/>
          <w:sz w:val="32"/>
          <w:szCs w:val="32"/>
          <w:rtl/>
        </w:rPr>
        <w:t xml:space="preserve">9. الحفظ المزدوج (Split custody)</w:t>
      </w:r>
      <w:bookmarkEnd w:id="13"/>
    </w:p>
    <w:p>
      <w:pPr>
        <w:pStyle w:val="Heading2"/>
        <w:bidi/>
      </w:pPr>
      <w:bookmarkStart w:name="_sec14" w:id="14"/>
      <w:r>
        <w:rPr>
          <w:rFonts w:ascii="Arial" w:cs="Arial" w:eastAsia="Arial" w:hAnsi="Arial"/>
          <w:b/>
          <w:bCs/>
          <w:color w:val="2B5C8A"/>
          <w:sz w:val="26"/>
          <w:szCs w:val="26"/>
          <w:rtl/>
        </w:rPr>
        <w:t xml:space="preserve">9.1 الأدوار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9.2 القواعد </w:t>
      </w:r>
      <w:r>
        <w:rPr>
          <w:rFonts w:ascii="Arial" w:cs="Arial" w:eastAsia="Arial" w:hAnsi="Arial"/>
          <w:color w:val="E0A800"/>
          <w:sz w:val="26"/>
          <w:szCs w:val="26"/>
          <w:rtl/>
        </w:rPr>
        <w:t xml:space="preserve">●</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1"/>
        <w:bidi/>
      </w:pPr>
      <w:bookmarkStart w:name="_sec16" w:id="16"/>
      <w:r>
        <w:rPr>
          <w:rFonts w:ascii="Arial" w:cs="Arial" w:eastAsia="Arial" w:hAnsi="Arial"/>
          <w:b/>
          <w:bCs/>
          <w:color w:val="1F3A5F"/>
          <w:sz w:val="32"/>
          <w:szCs w:val="32"/>
          <w:rtl/>
        </w:rPr>
        <w:t xml:space="preserve">10. جدول التدوير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القاعدة في خدمة التدوير (بقية DR-20).</w:t>
      </w:r>
    </w:p>
    <w:p>
      <w:pPr>
        <w:bidi/>
        <w:spacing w:after="60" w:before="0"/>
      </w:pPr>
    </w:p>
    <w:p>
      <w:pPr>
        <w:pStyle w:val="Heading1"/>
        <w:bidi/>
      </w:pPr>
      <w:bookmarkStart w:name="_sec17" w:id="17"/>
      <w:r>
        <w:rPr>
          <w:rFonts w:ascii="Arial" w:cs="Arial" w:eastAsia="Arial" w:hAnsi="Arial"/>
          <w:b/>
          <w:bCs/>
          <w:color w:val="1F3A5F"/>
          <w:sz w:val="32"/>
          <w:szCs w:val="32"/>
          <w:rtl/>
        </w:rPr>
        <w:t xml:space="preserve">11. الضمان والاسترداد</w:t>
      </w:r>
      <w:bookmarkEnd w:id="17"/>
    </w:p>
    <w:p>
      <w:pPr>
        <w:pStyle w:val="Heading2"/>
        <w:bidi/>
      </w:pPr>
      <w:bookmarkStart w:name="_sec18" w:id="18"/>
      <w:r>
        <w:rPr>
          <w:rFonts w:ascii="Arial" w:cs="Arial" w:eastAsia="Arial" w:hAnsi="Arial"/>
          <w:b/>
          <w:bCs/>
          <w:color w:val="2B5C8A"/>
          <w:sz w:val="26"/>
          <w:szCs w:val="26"/>
          <w:rtl/>
        </w:rPr>
        <w:t xml:space="preserve">11.1 محتوى الضمان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11.2 التحقق </w:t>
      </w:r>
      <w:r>
        <w:rPr>
          <w:rFonts w:ascii="Arial" w:cs="Arial" w:eastAsia="Arial" w:hAnsi="Arial"/>
          <w:color w:val="E0A800"/>
          <w:sz w:val="26"/>
          <w:szCs w:val="26"/>
          <w:rtl/>
        </w:rPr>
        <w:t xml:space="preserve">●</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2"/>
        <w:bidi/>
      </w:pPr>
      <w:bookmarkStart w:name="_sec20" w:id="20"/>
      <w:r>
        <w:rPr>
          <w:rFonts w:ascii="Arial" w:cs="Arial" w:eastAsia="Arial" w:hAnsi="Arial"/>
          <w:b/>
          <w:bCs/>
          <w:color w:val="2B5C8A"/>
          <w:sz w:val="26"/>
          <w:szCs w:val="26"/>
          <w:rtl/>
        </w:rPr>
        <w:t xml:space="preserve">11.3 الاسترداد عند تعطل مخزن المفاتيح</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4"/>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4"/>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1"/>
        <w:bidi/>
      </w:pPr>
      <w:bookmarkStart w:name="_sec21" w:id="21"/>
      <w:r>
        <w:rPr>
          <w:rFonts w:ascii="Arial" w:cs="Arial" w:eastAsia="Arial" w:hAnsi="Arial"/>
          <w:b/>
          <w:bCs/>
          <w:color w:val="1F3A5F"/>
          <w:sz w:val="32"/>
          <w:szCs w:val="32"/>
          <w:rtl/>
        </w:rPr>
        <w:t xml:space="preserve">12. ماذا يحدث عند فقد المفتاح</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1"/>
        <w:bidi/>
      </w:pPr>
      <w:bookmarkStart w:name="_sec22" w:id="22"/>
      <w:r>
        <w:rPr>
          <w:rFonts w:ascii="Arial" w:cs="Arial" w:eastAsia="Arial" w:hAnsi="Arial"/>
          <w:b/>
          <w:bCs/>
          <w:color w:val="1F3A5F"/>
          <w:sz w:val="32"/>
          <w:szCs w:val="32"/>
          <w:rtl/>
        </w:rPr>
        <w:t xml:space="preserve">13. تسجيل أحداث المفاتيح</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1"/>
        <w:bidi/>
      </w:pPr>
      <w:bookmarkStart w:name="_sec23" w:id="23"/>
      <w:r>
        <w:rPr>
          <w:rFonts w:ascii="Arial" w:cs="Arial" w:eastAsia="Arial" w:hAnsi="Arial"/>
          <w:b/>
          <w:bCs/>
          <w:color w:val="1F3A5F"/>
          <w:sz w:val="32"/>
          <w:szCs w:val="32"/>
          <w:rtl/>
        </w:rPr>
        <w:t xml:space="preserve">14. التثبيت المحلي لاحقًا (FR-PLT-047)</w:t>
      </w:r>
      <w:bookmarkEnd w:id="23"/>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1"/>
        <w:bidi/>
      </w:pPr>
      <w:bookmarkStart w:name="_sec24" w:id="24"/>
      <w:r>
        <w:rPr>
          <w:rFonts w:ascii="Arial" w:cs="Arial" w:eastAsia="Arial" w:hAnsi="Arial"/>
          <w:b/>
          <w:bCs/>
          <w:color w:val="1F3A5F"/>
          <w:sz w:val="32"/>
          <w:szCs w:val="32"/>
          <w:rtl/>
        </w:rPr>
        <w:t xml:space="preserve">15. القرارات المطلوبة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16. تعارضات وفجوات في المصادر</w:t>
      </w:r>
      <w:bookmarkEnd w:id="2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يبقى منه منع الإشارة إلى مفتاح RETIRED أو REVOKED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1"/>
        <w:bidi/>
      </w:pPr>
      <w:bookmarkStart w:name="_sec26" w:id="26"/>
      <w:r>
        <w:rPr>
          <w:rFonts w:ascii="Arial" w:cs="Arial" w:eastAsia="Arial" w:hAnsi="Arial"/>
          <w:b/>
          <w:bCs/>
          <w:color w:val="1F3A5F"/>
          <w:sz w:val="32"/>
          <w:szCs w:val="32"/>
          <w:rtl/>
        </w:rPr>
        <w:t xml:space="preserve">17. التتبع</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602333b680ef30f5af43e09b5ea99dcb9d3e9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DOC-S02 — سياسة إدارة المفاتيح والتشفير عند التخزين</dc:title>
  <dc:creator>Claude</dc:creator>
  <dc:description>BankFas database design document</dc:description>
  <cp:lastModifiedBy>Un-named</cp:lastModifiedBy>
  <cp:revision>1</cp:revision>
  <dcterms:created xsi:type="dcterms:W3CDTF">2026-10-14T07:37:02.084Z</dcterms:created>
  <dcterms:modified xsi:type="dcterms:W3CDTF">2026-10-14T07:37:02.084Z</dcterms:modified>
</cp:coreProperties>
</file>

<file path=docProps/custom.xml><?xml version="1.0" encoding="utf-8"?>
<Properties xmlns="http://schemas.openxmlformats.org/officeDocument/2006/custom-properties" xmlns:vt="http://schemas.openxmlformats.org/officeDocument/2006/docPropsVTypes"/>
</file>