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jc w:val="right"/>
      </w:pPr>
      <w:r>
        <w:rPr>
          <w:rFonts w:ascii="Arial" w:cs="Arial" w:eastAsia="Arial" w:hAnsi="Arial"/>
          <w:b/>
          <w:bCs/>
          <w:color w:val="1F3A5F"/>
          <w:sz w:val="44"/>
          <w:szCs w:val="44"/>
          <w:rtl/>
        </w:rPr>
        <w:t xml:space="preserve">مخطط علاقات جداول قاعدة البيانات</w:t>
      </w:r>
    </w:p>
    <w:p>
      <w:pPr>
        <w:bidi/>
        <w:spacing w:after="360" w:before="0"/>
        <w:jc w:val="right"/>
      </w:pPr>
      <w:r>
        <w:rPr>
          <w:rFonts w:ascii="Arial" w:cs="Arial" w:eastAsia="Arial" w:hAnsi="Arial"/>
          <w:color w:val="5B6670"/>
          <w:sz w:val="26"/>
          <w:szCs w:val="26"/>
          <w:rtl/>
        </w:rPr>
        <w:t xml:space="preserve">مخطط ERD بتدوين Crow's Foot · SQL Server 2025</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000"/>
        <w:gridCol w:w="12038"/>
      </w:tblGrid>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الوثيقة</w:t>
            </w:r>
          </w:p>
        </w:tc>
        <w:tc>
          <w:tcPr>
            <w:tcW w:type="dxa" w:w="1203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مخطط علاقات الجداول (ERD) لكل وحدة وللنواة، مع جداول العلاقات الكاملة</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الإصدار</w:t>
            </w:r>
          </w:p>
        </w:tc>
        <w:tc>
          <w:tcPr>
            <w:tcW w:type="dxa" w:w="1203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v0.3 مسودة</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التاريخ</w:t>
            </w:r>
          </w:p>
        </w:tc>
        <w:tc>
          <w:tcPr>
            <w:tcW w:type="dxa" w:w="1203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2026-10-11</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الجداول</w:t>
            </w:r>
          </w:p>
        </w:tc>
        <w:tc>
          <w:tcPr>
            <w:tcW w:type="dxa" w:w="1203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194 جدولًا في 8 مخططًا (schema)</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المفاتيح الأجنبية</w:t>
            </w:r>
          </w:p>
        </w:tc>
        <w:tc>
          <w:tcPr>
            <w:tcW w:type="dxa" w:w="1203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763 مفتاحًا في DDL = 184 مفتاح ملكية للمشترك (TenantId → plat.Tenant، تُولَّد آليًا) + 579 علاقة، منها 533 مكتوبة في النموذج و46 مولّدة آليًا من علامتي rev وsrc</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القيود الفريدة</w:t>
            </w:r>
          </w:p>
        </w:tc>
        <w:tc>
          <w:tcPr>
            <w:tcW w:type="dxa" w:w="1203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515 قيدًا في DDL (قيود UQ والفهارس الفريدة)</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مجموعات الرسم</w:t>
            </w:r>
          </w:p>
        </w:tc>
        <w:tc>
          <w:tcPr>
            <w:tcW w:type="dxa" w:w="1203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60 مجموعةً رسم: 5 للنواة و55 للوحدات م0 إلى م7/م8، بحد 4 جداول لكل رسم</w:t>
            </w:r>
          </w:p>
        </w:tc>
      </w:tr>
      <w:tr>
        <w:tc>
          <w:tcPr>
            <w:tcW w:type="dxa" w:w="3000"/>
            <w:tcBorders>
              <w:top w:val="single" w:color="BFC9D6" w:sz="4"/>
              <w:left w:val="single" w:color="BFC9D6" w:sz="4"/>
              <w:bottom w:val="single" w:color="BFC9D6" w:sz="4"/>
              <w:right w:val="single" w:color="BFC9D6" w:sz="4"/>
            </w:tcBorders>
            <w:shd w:fill="E8EEF6"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sz w:val="16"/>
                <w:szCs w:val="16"/>
                <w:rtl/>
              </w:rPr>
              <w:t xml:space="preserve">المصدر</w:t>
            </w:r>
          </w:p>
        </w:tc>
        <w:tc>
          <w:tcPr>
            <w:tcW w:type="dxa" w:w="1203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db/model/*.model (الأعمدة والعلاقات) · db/generated/tsql (المفاتيح والقيود) · tools/dbgen/erd_manifest.py</w:t>
            </w:r>
          </w:p>
        </w:tc>
      </w:tr>
    </w:tbl>
    <w:p>
      <w:pPr>
        <w:pStyle w:val="Heading1"/>
        <w:pageBreakBefore/>
        <w:bidi/>
      </w:pPr>
      <w:r>
        <w:rPr>
          <w:rFonts w:ascii="Arial" w:cs="Arial" w:eastAsia="Arial" w:hAnsi="Arial"/>
          <w:b/>
          <w:bCs/>
          <w:color w:val="1F3A5F"/>
          <w:sz w:val="32"/>
          <w:szCs w:val="32"/>
          <w:rtl/>
        </w:rPr>
        <w:t xml:space="preserve">قراءة الرسم</w:t>
      </w:r>
    </w:p>
    <w:p>
      <w:pPr>
        <w:keepNext w:val="false"/>
        <w:bidi/>
        <w:spacing w:after="140" w:before="0" w:line="300"/>
      </w:pPr>
      <w:r>
        <w:rPr>
          <w:rFonts w:ascii="Arial" w:cs="Arial" w:eastAsia="Arial" w:hAnsi="Arial"/>
          <w:b w:val="false"/>
          <w:bCs w:val="false"/>
          <w:i w:val="false"/>
          <w:iCs w:val="false"/>
          <w:sz w:val="20"/>
          <w:szCs w:val="20"/>
          <w:rtl/>
        </w:rPr>
        <w:t xml:space="preserve">ترسم الرسوم بتدوين Crow's Foot. كل خط يربط جدول الأب بجدول الابن، واسمه أعمدة الربط بينهما.</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1219"/>
        <w:gridCol w:w="2845"/>
        <w:gridCol w:w="109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الرمز</w:t>
            </w:r>
          </w:p>
        </w:tc>
        <w:tc>
          <w:tcPr>
            <w:tcW w:type="dxa" w:w="2845"/>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الطرف</w:t>
            </w:r>
          </w:p>
        </w:tc>
        <w:tc>
          <w:tcPr>
            <w:tcW w:type="dxa" w:w="109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المعنى</w:t>
            </w:r>
          </w:p>
        </w:tc>
      </w:tr>
      <w:tr>
        <w:trPr>
          <w:cantSplit/>
        </w:trPr>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t>
            </w:r>
          </w:p>
        </w:tc>
        <w:tc>
          <w:tcPr>
            <w:tcW w:type="dxa" w:w="284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طرف الأب، إلزامي</w:t>
            </w:r>
          </w:p>
        </w:tc>
        <w:tc>
          <w:tcPr>
            <w:tcW w:type="dxa" w:w="109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كل صف ابن يجب أن يشير إلى أب واحد، فالعمود الإلزامي لا يقبل NULL.</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w:t>
            </w:r>
          </w:p>
        </w:tc>
        <w:tc>
          <w:tcPr>
            <w:tcW w:type="dxa" w:w="284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طرف الأب، اختياري</w:t>
            </w:r>
          </w:p>
        </w:tc>
        <w:tc>
          <w:tcPr>
            <w:tcW w:type="dxa" w:w="109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الابن قد لا يشير إلى أب، والعمود يقبل NULL.</w:t>
            </w:r>
          </w:p>
        </w:tc>
      </w:tr>
      <w:tr>
        <w:trPr>
          <w:cantSplit/>
        </w:trPr>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w:t>
            </w:r>
          </w:p>
        </w:tc>
        <w:tc>
          <w:tcPr>
            <w:tcW w:type="dxa" w:w="284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طرف الابن</w:t>
            </w:r>
          </w:p>
        </w:tc>
        <w:tc>
          <w:tcPr>
            <w:tcW w:type="dxa" w:w="109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الأب الواحد يمكن أن يملك صفرًا أو أكثر من الأبناء.</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PK</w:t>
            </w:r>
          </w:p>
        </w:tc>
        <w:tc>
          <w:tcPr>
            <w:tcW w:type="dxa" w:w="284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مفتاح أساسي</w:t>
            </w:r>
          </w:p>
        </w:tc>
        <w:tc>
          <w:tcPr>
            <w:tcW w:type="dxa" w:w="109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كما في DDL؛ يسبقه TenantId في المفاتيح المركّبة.</w:t>
            </w:r>
          </w:p>
        </w:tc>
      </w:tr>
      <w:tr>
        <w:trPr>
          <w:cantSplit/>
        </w:trPr>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FK</w:t>
            </w:r>
          </w:p>
        </w:tc>
        <w:tc>
          <w:tcPr>
            <w:tcW w:type="dxa" w:w="284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مفتاح أجنبي عملي</w:t>
            </w:r>
          </w:p>
        </w:tc>
        <w:tc>
          <w:tcPr>
            <w:tcW w:type="dxa" w:w="109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يشير إلى جدول آخر. عمود الملكية TenantId لا يُعدّ هنا (انظر الملاحظات).</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UK</w:t>
            </w:r>
          </w:p>
        </w:tc>
        <w:tc>
          <w:tcPr>
            <w:tcW w:type="dxa" w:w="284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عدد القيود الفريدة</w:t>
            </w:r>
          </w:p>
        </w:tc>
        <w:tc>
          <w:tcPr>
            <w:tcW w:type="dxa" w:w="109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عدد قيود UQ والفهارس الفريدة في DDL، ومنها المصفّى بشرط؛ لا يُرسم في الشكل.</w:t>
            </w:r>
          </w:p>
        </w:tc>
      </w:tr>
      <w:tr>
        <w:trPr>
          <w:cantSplit/>
        </w:trPr>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الحذف</w:t>
            </w:r>
          </w:p>
        </w:tc>
        <w:tc>
          <w:tcPr>
            <w:tcW w:type="dxa" w:w="284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حذف متسلسل / يمنع الحذف</w:t>
            </w:r>
          </w:p>
        </w:tc>
        <w:tc>
          <w:tcPr>
            <w:tcW w:type="dxa" w:w="109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حذف متسلسل: يُحذف الابن مع أبيه. يمنع الحذف: لا يُحذف الأب ما دام له أبناء.</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الرسم</w:t>
            </w:r>
          </w:p>
        </w:tc>
        <w:tc>
          <w:tcPr>
            <w:tcW w:type="dxa" w:w="284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 / لا</w:t>
            </w:r>
          </w:p>
        </w:tc>
        <w:tc>
          <w:tcPr>
            <w:tcW w:type="dxa" w:w="109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الرسم يعرض العلاقات بين جداول الرسم نفسه، ومنها العلاقة الذاتية (جدول يشير إلى نفسه). العلاقة إلى جدول في رسم آخر، وعمود الإثبات، تُذكران في جدول العلاقات ولا تُرسمان.</w:t>
            </w:r>
          </w:p>
        </w:tc>
      </w:tr>
      <w:tr>
        <w:trPr>
          <w:cantSplit/>
        </w:trPr>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نطاق الربط</w:t>
            </w:r>
          </w:p>
        </w:tc>
        <w:tc>
          <w:tcPr>
            <w:tcW w:type="dxa" w:w="2845"/>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أعمدة إضافية</w:t>
            </w:r>
          </w:p>
        </w:tc>
        <w:tc>
          <w:tcPr>
            <w:tcW w:type="dxa" w:w="109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الأعمدة التي تضاف إلى العمود نفسه ليكوّن المفتاح المركّب، مثل FacilityId وLimitId.</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النوع</w:t>
            </w:r>
          </w:p>
        </w:tc>
        <w:tc>
          <w:tcPr>
            <w:tcW w:type="dxa" w:w="2845"/>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 / إثبات</w:t>
            </w:r>
          </w:p>
        </w:tc>
        <w:tc>
          <w:tcPr>
            <w:tcW w:type="dxa" w:w="109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 علاقة وظيفية بين بيانات العمل. إثبات: تتبع المصدر أو التحقق أو التعارض أو سلسلة المراجعة.</w:t>
            </w:r>
          </w:p>
        </w:tc>
      </w:tr>
    </w:tbl>
    <w:p>
      <w:pPr>
        <w:keepNext/>
        <w:bidi/>
        <w:spacing w:after="80" w:before="200"/>
      </w:pPr>
      <w:r>
        <w:rPr>
          <w:rFonts w:ascii="Arial" w:cs="Arial" w:eastAsia="Arial" w:hAnsi="Arial"/>
          <w:b/>
          <w:bCs/>
          <w:i w:val="false"/>
          <w:iCs w:val="false"/>
          <w:sz w:val="20"/>
          <w:szCs w:val="20"/>
          <w:rtl/>
        </w:rPr>
        <w:t xml:space="preserve">ملاحظات الرسم والجداول:</w:t>
      </w:r>
    </w:p>
    <w:p>
      <w:pPr>
        <w:keepNext w:val="false"/>
        <w:bidi/>
        <w:spacing w:after="110" w:before="0" w:line="300"/>
      </w:pPr>
      <w:r>
        <w:rPr>
          <w:rFonts w:ascii="Arial" w:cs="Arial" w:eastAsia="Arial" w:hAnsi="Arial"/>
          <w:b w:val="false"/>
          <w:bCs w:val="false"/>
          <w:i w:val="false"/>
          <w:iCs w:val="false"/>
          <w:sz w:val="20"/>
          <w:szCs w:val="20"/>
          <w:rtl/>
        </w:rPr>
        <w:t xml:space="preserve">• كل جدول مملوك للمشترك يحمل عمود TenantId يشير إلى plat.Tenant، وهي 184 علاقة ملكية، لا تُرسم ولا تُعرض في جداول العلاقات. plat.Tenant هو جذر المشترك: يحمل TenantId مفتاحًا أساسيًا لا مفتاح ملكية، فلا يُعدّ في العمود.</w:t>
      </w:r>
    </w:p>
    <w:p>
      <w:pPr>
        <w:keepNext w:val="false"/>
        <w:bidi/>
        <w:spacing w:after="110" w:before="0" w:line="300"/>
      </w:pPr>
      <w:r>
        <w:rPr>
          <w:rFonts w:ascii="Arial" w:cs="Arial" w:eastAsia="Arial" w:hAnsi="Arial"/>
          <w:b w:val="false"/>
          <w:bCs w:val="false"/>
          <w:i w:val="false"/>
          <w:iCs w:val="false"/>
          <w:sz w:val="20"/>
          <w:szCs w:val="20"/>
          <w:rtl/>
        </w:rPr>
        <w:t xml:space="preserve">• أعمدة الإثبات والتتبع (ActorUserId، AssignedBy، CandidateASourceDocumentId، CandidateBSourceDocumentId، ConflictId، CreatedBy، EndedBy، GrantedBy، OnBehalfOfUserId، RevokedBy، SourceDocumentId، SupersedesId، UpdatedBy، VerifiedBy) تُعلَّم «إثبات»، وهي 75 مفتاحًا أجنبيًا، ولا تُرسم.</w:t>
      </w:r>
    </w:p>
    <w:p>
      <w:pPr>
        <w:keepNext w:val="false"/>
        <w:bidi/>
        <w:spacing w:after="110" w:before="0" w:line="300"/>
      </w:pPr>
      <w:r>
        <w:rPr>
          <w:rFonts w:ascii="Arial" w:cs="Arial" w:eastAsia="Arial" w:hAnsi="Arial"/>
          <w:b w:val="false"/>
          <w:bCs w:val="false"/>
          <w:i w:val="false"/>
          <w:iCs w:val="false"/>
          <w:sz w:val="20"/>
          <w:szCs w:val="20"/>
          <w:rtl/>
        </w:rPr>
        <w:t xml:space="preserve">• كل جدول يظهر في رسم واحد بالضبط في الملحق أ؛ وقد يظهر أيضًا في رسوم النواة.</w:t>
      </w:r>
    </w:p>
    <w:p>
      <w:pPr>
        <w:keepNext w:val="false"/>
        <w:bidi/>
        <w:spacing w:after="110" w:before="0" w:line="300"/>
      </w:pPr>
      <w:r>
        <w:rPr>
          <w:rFonts w:ascii="Arial" w:cs="Arial" w:eastAsia="Arial" w:hAnsi="Arial"/>
          <w:b w:val="false"/>
          <w:bCs w:val="false"/>
          <w:i w:val="false"/>
          <w:iCs w:val="false"/>
          <w:sz w:val="20"/>
          <w:szCs w:val="20"/>
          <w:rtl/>
        </w:rPr>
        <w:t xml:space="preserve">• الإحالات المختصرة في وصف الجداول (مثل «10» و«13» و«§6.2») تشير إلى وثائق المواصفات في مجلد docs/، وليست جزءًا من هذا الملف.</w:t>
      </w:r>
    </w:p>
    <w:p>
      <w:pPr>
        <w:keepNext w:val="false"/>
        <w:bidi/>
        <w:spacing w:after="110" w:before="0" w:line="300"/>
      </w:pPr>
      <w:r>
        <w:rPr>
          <w:rFonts w:ascii="Arial" w:cs="Arial" w:eastAsia="Arial" w:hAnsi="Arial"/>
          <w:b w:val="false"/>
          <w:bCs w:val="false"/>
          <w:i w:val="false"/>
          <w:iCs w:val="false"/>
          <w:sz w:val="20"/>
          <w:szCs w:val="20"/>
          <w:rtl/>
        </w:rPr>
        <w:t xml:space="preserve">• الأرقام تُحسب من النموذج والـDDL المولَّد، وتُقارَن بينهما قبل كتابة هذا الملف: 194 جدولًا، و763 مفتاحًا أجنبيًا، و515 قيدًا فريدًا.</w:t>
      </w:r>
    </w:p>
    <w:p>
      <w:pPr>
        <w:pStyle w:val="Heading1"/>
        <w:pageBreakBefore/>
        <w:bidi/>
      </w:pPr>
      <w:r>
        <w:rPr>
          <w:rFonts w:ascii="Arial" w:cs="Arial" w:eastAsia="Arial" w:hAnsi="Arial"/>
          <w:b/>
          <w:bCs/>
          <w:color w:val="1F3A5F"/>
          <w:sz w:val="32"/>
          <w:szCs w:val="32"/>
          <w:rtl/>
        </w:rPr>
        <w:t xml:space="preserve">1. خريطة المخططات</w:t>
      </w:r>
    </w:p>
    <w:p>
      <w:pPr>
        <w:keepNext w:val="false"/>
        <w:bidi/>
        <w:spacing w:after="120" w:before="0" w:line="300"/>
      </w:pPr>
      <w:r>
        <w:rPr>
          <w:rFonts w:ascii="Arial" w:cs="Arial" w:eastAsia="Arial" w:hAnsi="Arial"/>
          <w:b w:val="false"/>
          <w:bCs w:val="false"/>
          <w:i w:val="false"/>
          <w:iCs w:val="false"/>
          <w:sz w:val="20"/>
          <w:szCs w:val="20"/>
          <w:rtl/>
        </w:rPr>
        <w:t xml:space="preserve">كل مخطط (schema) صندوق، والعلاقة بين مخططين عدد المفاتيح الأجنبية التي تربط جداولهما. الخريطة مقسومة إلى قسمين ليبقى النص مقروءًا؛ العلاقات بين القسمين ترد في جدول الأزواج أدناه، وتُرسم الأزواج التي فيها خمسة مفاتيح فأكثر فقط.</w:t>
      </w:r>
    </w:p>
    <w:p>
      <w:pPr>
        <w:keepNext/>
        <w:bidi/>
        <w:spacing w:after="60" w:before="60"/>
        <w:jc w:val="center"/>
      </w:pPr>
      <w:r>
        <w:drawing>
          <wp:inline distT="0" distB="0" distL="0" distR="0">
            <wp:extent cx="9553575" cy="2305050"/>
            <wp:effectExtent t="0" r="0" b="0" l="0"/>
            <wp:docPr id="1" name="diagrams/erd/schema_map_1.png" descr="الشكل 1: خريطة المخططات (1/2) · الأساس: المنصة والهوية والمؤسسة والحسابات والإعدادات" title="الشكل 1: خريطة المخططات (1/2) · الأساس: المنصة والهوية والمؤسسة والحساب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53575" cy="23050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 خريطة المخططات (1/2) · الأساس: المنصة والهوية والمؤسسة والحسابات والإعدادات</w:t>
      </w:r>
    </w:p>
    <w:p>
      <w:pPr>
        <w:keepNext/>
        <w:bidi/>
        <w:spacing w:after="60" w:before="60"/>
        <w:jc w:val="center"/>
      </w:pPr>
      <w:r>
        <w:drawing>
          <wp:inline distT="0" distB="0" distL="0" distR="0">
            <wp:extent cx="9553575" cy="1562100"/>
            <wp:effectExtent t="0" r="0" b="0" l="0"/>
            <wp:docPr id="1" name="diagrams/erd/schema_map_2.png" descr="الشكل 2: خريطة المخططات (2/2) · التسهيلات والعمليات: التسعير والضمانات والالتزامات والبيانات المالية والطلبات والاعتمادات" title="الشكل 2: خريطة المخططات (2/2) · التسهيلات والعمليات: التسعير والضمانات والالتزامات والبيانات المالية والطلبات والاعتم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53575" cy="15621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 خريطة المخططات (2/2) · التسهيلات والعمليات: التسعير والضمانات والالتزامات والبيانات المالية والطلبات والاعتمادات</w:t>
      </w:r>
    </w:p>
    <w:p>
      <w:pPr>
        <w:pStyle w:val="Heading2"/>
        <w:pageBreakBefore/>
        <w:bidi/>
      </w:pPr>
      <w:r>
        <w:rPr>
          <w:rFonts w:ascii="Arial" w:cs="Arial" w:eastAsia="Arial" w:hAnsi="Arial"/>
          <w:b/>
          <w:bCs/>
          <w:color w:val="2B5C8A"/>
          <w:sz w:val="26"/>
          <w:szCs w:val="26"/>
          <w:rtl/>
        </w:rPr>
        <w:t xml:space="preserve">العلاقات بين المخططات (5 مفاتيح فأكثر)</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639"/>
        <w:gridCol w:w="5639"/>
        <w:gridCol w:w="3760"/>
      </w:tblGrid>
      <w:tr>
        <w:trPr>
          <w:cantSplit/>
          <w:tblHeader/>
        </w:trPr>
        <w:tc>
          <w:tcPr>
            <w:tcW w:type="dxa" w:w="563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 الأب</w:t>
            </w:r>
          </w:p>
        </w:tc>
        <w:tc>
          <w:tcPr>
            <w:tcW w:type="dxa" w:w="563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 الابن</w:t>
            </w:r>
          </w:p>
        </w:tc>
        <w:tc>
          <w:tcPr>
            <w:tcW w:type="dxa" w:w="376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عدد المفاتيح</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t>
            </w:r>
          </w:p>
        </w:tc>
        <w:tc>
          <w:tcPr>
            <w:tcW w:type="dxa" w:w="376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28</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t>
            </w:r>
          </w:p>
        </w:tc>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376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bl>
    <w:p>
      <w:pPr>
        <w:pStyle w:val="Heading2"/>
        <w:pageBreakBefore/>
        <w:bidi/>
      </w:pPr>
      <w:r>
        <w:rPr>
          <w:rFonts w:ascii="Arial" w:cs="Arial" w:eastAsia="Arial" w:hAnsi="Arial"/>
          <w:b/>
          <w:bCs/>
          <w:color w:val="2B5C8A"/>
          <w:sz w:val="26"/>
          <w:szCs w:val="26"/>
          <w:rtl/>
        </w:rPr>
        <w:t xml:space="preserve">المخططات والجداول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639"/>
        <w:gridCol w:w="4699"/>
        <w:gridCol w:w="4700"/>
      </w:tblGrid>
      <w:tr>
        <w:trPr>
          <w:cantSplit/>
          <w:tblHeader/>
        </w:trPr>
        <w:tc>
          <w:tcPr>
            <w:tcW w:type="dxa" w:w="563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469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عدد الجداول</w:t>
            </w:r>
          </w:p>
        </w:tc>
        <w:tc>
          <w:tcPr>
            <w:tcW w:type="dxa" w:w="47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مفتاح الملكية TenantId</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26</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26</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12</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21</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21</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14</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14</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563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w:t>
            </w:r>
          </w:p>
        </w:tc>
        <w:tc>
          <w:tcPr>
            <w:tcW w:type="dxa" w:w="469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14</w:t>
            </w:r>
          </w:p>
        </w:tc>
        <w:tc>
          <w:tcPr>
            <w:tcW w:type="dxa" w:w="47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r>
      <w:tr>
        <w:trPr>
          <w:cantSplit/>
        </w:trPr>
        <w:tc>
          <w:tcPr>
            <w:tcW w:type="dxa" w:w="563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t>
            </w:r>
          </w:p>
        </w:tc>
        <w:tc>
          <w:tcPr>
            <w:tcW w:type="dxa" w:w="469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19</w:t>
            </w:r>
          </w:p>
        </w:tc>
        <w:tc>
          <w:tcPr>
            <w:tcW w:type="dxa" w:w="47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19</w:t>
            </w:r>
          </w:p>
        </w:tc>
      </w:tr>
    </w:tbl>
    <w:p>
      <w:pPr>
        <w:pStyle w:val="Heading1"/>
        <w:pageBreakBefore/>
        <w:bidi/>
      </w:pPr>
      <w:r>
        <w:rPr>
          <w:rFonts w:ascii="Arial" w:cs="Arial" w:eastAsia="Arial" w:hAnsi="Arial"/>
          <w:b/>
          <w:bCs/>
          <w:color w:val="1F3A5F"/>
          <w:sz w:val="32"/>
          <w:szCs w:val="32"/>
          <w:rtl/>
        </w:rPr>
        <w:t xml:space="preserve">2. النواة: المشترك والهوية والصلاحيات</w:t>
      </w:r>
    </w:p>
    <w:p>
      <w:pPr>
        <w:keepNext w:val="false"/>
        <w:bidi/>
        <w:spacing w:after="120" w:before="0" w:line="300"/>
      </w:pPr>
      <w:r>
        <w:rPr>
          <w:rFonts w:ascii="Arial" w:cs="Arial" w:eastAsia="Arial" w:hAnsi="Arial"/>
          <w:b w:val="false"/>
          <w:bCs w:val="false"/>
          <w:i w:val="false"/>
          <w:iCs w:val="false"/>
          <w:sz w:val="20"/>
          <w:szCs w:val="20"/>
          <w:rtl/>
        </w:rPr>
        <w:t xml:space="preserve">تُرسم جداول النواة (17 جدولًا) في 5 رسوم متتالية، لكل رسم أربعة جداول على الأكثر. العلاقات بين رسوم النواة تظهر في جداول العلاقات.</w:t>
      </w:r>
    </w:p>
    <w:p>
      <w:pPr>
        <w:pStyle w:val="Heading2"/>
        <w:bidi/>
      </w:pPr>
      <w:r>
        <w:rPr>
          <w:rFonts w:ascii="Arial" w:cs="Arial" w:eastAsia="Arial" w:hAnsi="Arial"/>
          <w:b/>
          <w:bCs/>
          <w:color w:val="2B5C8A"/>
          <w:sz w:val="26"/>
          <w:szCs w:val="26"/>
          <w:rtl/>
        </w:rPr>
        <w:t xml:space="preserve">2.1 النواة (1/5)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9553575" cy="3314700"/>
            <wp:effectExtent t="0" r="0" b="0" l="0"/>
            <wp:docPr id="1" name="diagrams/erd/core_tenancy_1.png" descr="الشكل 3: النواة (1/5) · المشترك والهوية والصلاحيات (4 جداول)" title="الشكل 3: النواة (1/5) · المشترك والهوية والصلاحيات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53575" cy="33147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 النواة (1/5) · المشترك والهوية والصلاحيات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وصول مباشر لتطبيق المشترك (يقرأ صفّه عبر plat.v_CurrentTenant) · جذر العزل: المشترك (FR-PLT-001/002/046، BR-PLT-001/002)</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باقة: حزمة وحدات وحدود ناعمة (FR-PLT-003/004، Q-PLT-11)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الوحدات المفعّلة لكل مشترك؛ ملكية المنصة فقط: لا يكتبها تطبيق المشترك ويقرؤها عبر عرض مُحدَّد (DR-01)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TenantModuleId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وصول الدعم المؤقت يفعّله مدير حساب المشترك (FR-PLT-007، BR-PLT-017)</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SupportAccessGrantId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HomeCountryId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EnabledBy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OperatorId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GrantedBy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RevokedBy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2.2 النواة (2/5)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9134475" cy="5143500"/>
            <wp:effectExtent t="0" r="0" b="0" l="0"/>
            <wp:docPr id="1" name="diagrams/erd/core_tenancy_2.png" descr="الشكل 4: النواة (2/5) · المشترك والهوية والصلاحيات (4 جداول)" title="الشكل 4: النواة (2/5) · المشترك والهوية والصلاحيات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13447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 النواة (2/5) · المشترك والهوية والصلاحيات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يقرؤه تطبيق المشترك (tp_app) · حساب مشغّل المنصة: مخزن هوية منفصل عن AppUser (FR-PLT-006)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PlatformOperatorId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مفاتيح المشترك؛ المفتاح ملفوف بمفتاح رئيسي خارج القاعدة (FR-PLT-037، BR-PLT-015)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TenantKeyId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مستخدم بوابة المشترك (FR-PLT-010..016، BR-PLT-004..006)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AppUserId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دور يخصصه المشترك أو مبذور (FR-PLT-018)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RoleId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LineManagerUserId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MfaKeyId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MfaKeyPurpose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2.3 النواة (3/5)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9553575" cy="3781425"/>
            <wp:effectExtent t="0" r="0" b="0" l="0"/>
            <wp:docPr id="1" name="diagrams/erd/core_tenancy_3.png" descr="الشكل 5: النواة (3/5) · المشترك والهوية والصلاحيات (4 جداول)" title="الشكل 5: النواة (3/5) · المشترك والهوية والصلاحيات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53575" cy="37814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 النواة (3/5) · المشترك والهوية والصلاحيات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الصلاحيات تملكه المنصة؛ لا يضيف المشترك صلاحية (FR-PLT-017)</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PermissionId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دور-صلاحية؛ PERMISSION_LOCKED يُفرض في الخدمة (BR-PLT-019)</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RoleId, PermissionId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مستخدم-دور؛ اتحاد الصلاحيات (BR-PLT-007، FR-PLT-018)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UserId, RoleId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شركات يراها المستخدم؛ تُهمل إن كان CompanyScopeMode=ALL (FR-PLT-020)</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UserId, CompanyId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PermissionId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2.4 النواة (4/5)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7067550" cy="5143500"/>
            <wp:effectExtent t="0" r="0" b="0" l="0"/>
            <wp:docPr id="1" name="diagrams/erd/core_tenancy_4.png" descr="الشكل 6: النواة (4/5) · المشترك والهوية والصلاحيات (4 جداول)" title="الشكل 6: النواة (4/5) · المشترك والهوية والصلاحيات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06755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6: النواة (4/5) · المشترك والهوية والصلاحيات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جلسات المستخدم: خمول 30 دقيقة ومطلقة 12 ساعة (FR-PLT-014)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UserSessionId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الشركة: جذر الهيكل المؤسسي (FR-ORG-001..010، BR-ORG-001..004)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الإدارة (FR-ORG-014، BR-ORG-016، Q-ORG-09: على مستوى المشترك وشركة اختيارية)</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DepartmentId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aud.AuditLog</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للإدراج فقط؛ TenantId الفارغ = حدث منصة لا يراه أي مشترك؛ سياسة RLS خاصة (BR-PLT-001/009)</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AuditLogId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EndedBy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LegalEntityTypeId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ParentDepartmentId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HeadUserId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2.5 النواة (5/5) · المشترك والهوية والصلاحيات</w:t>
      </w:r>
    </w:p>
    <w:p>
      <w:pPr>
        <w:keepNext/>
        <w:bidi/>
        <w:spacing w:after="60" w:before="0"/>
      </w:pPr>
      <w:r>
        <w:rPr>
          <w:rFonts w:ascii="Arial" w:cs="Arial" w:eastAsia="Arial" w:hAnsi="Arial"/>
          <w:b w:val="false"/>
          <w:bCs w:val="false"/>
          <w:i w:val="false"/>
          <w:iCs w:val="false"/>
          <w:color w:val="5B6670"/>
          <w:sz w:val="16"/>
          <w:szCs w:val="16"/>
          <w:rtl/>
        </w:rPr>
        <w:t xml:space="preserve">جداول هذا الرسم من النواة؛ رسم مستقل ليبقى النص مقروءًا</w:t>
      </w:r>
    </w:p>
    <w:p>
      <w:pPr>
        <w:keepNext/>
        <w:bidi/>
        <w:spacing w:after="60" w:before="60"/>
        <w:jc w:val="center"/>
      </w:pPr>
      <w:r>
        <w:drawing>
          <wp:inline distT="0" distB="0" distL="0" distR="0">
            <wp:extent cx="2524125" cy="1066800"/>
            <wp:effectExtent t="0" r="0" b="0" l="0"/>
            <wp:docPr id="1" name="diagrams/erd/core_tenancy_5.png" descr="الشكل 7: النواة (5/5) · المشترك والهوية والصلاحيات (جدول واحد)" title="الشكل 7: النواة (5/5) · المشترك والهوية والصلاحيات (جدول واح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10668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7: النواة (5/5) · المشترك والهوية والصلاحيات (جدول واحد)</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الدولة: مرجع عالمي للقراءة فقط يديره مشغّل المنصة (FR-CAT-026، BR-CAT-018، BR-CAT-015)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CountryId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p>
      <w:pPr>
        <w:keepNext w:val="false"/>
        <w:bidi/>
        <w:spacing w:after="110" w:before="0" w:line="300"/>
      </w:pPr>
      <w:r>
        <w:rPr>
          <w:rFonts w:ascii="Arial" w:cs="Arial" w:eastAsia="Arial" w:hAnsi="Arial"/>
          <w:b w:val="false"/>
          <w:bCs w:val="false"/>
          <w:i/>
          <w:iCs/>
          <w:color w:val="5B6670"/>
          <w:sz w:val="16"/>
          <w:szCs w:val="16"/>
          <w:rtl/>
        </w:rPr>
        <w:t xml:space="preserve">لا توجد مفاتيح أجنبية عملية لجداول هذه المجموعة.</w:t>
      </w:r>
    </w:p>
    <w:p>
      <w:pPr>
        <w:pStyle w:val="Heading1"/>
        <w:bidi/>
      </w:pPr>
      <w:r>
        <w:rPr>
          <w:rFonts w:ascii="Arial" w:cs="Arial" w:eastAsia="Arial" w:hAnsi="Arial"/>
          <w:b/>
          <w:bCs/>
          <w:color w:val="1F3A5F"/>
          <w:sz w:val="32"/>
          <w:szCs w:val="32"/>
          <w:rtl/>
        </w:rPr>
        <w:t xml:space="preserve">3. رسوم الوحدات</w:t>
      </w:r>
    </w:p>
    <w:p>
      <w:pPr>
        <w:keepNext w:val="false"/>
        <w:bidi/>
        <w:spacing w:after="120" w:before="0" w:line="300"/>
      </w:pPr>
      <w:r>
        <w:rPr>
          <w:rFonts w:ascii="Arial" w:cs="Arial" w:eastAsia="Arial" w:hAnsi="Arial"/>
          <w:b w:val="false"/>
          <w:bCs w:val="false"/>
          <w:i w:val="false"/>
          <w:iCs w:val="false"/>
          <w:sz w:val="20"/>
          <w:szCs w:val="20"/>
          <w:rtl/>
        </w:rPr>
        <w:t xml:space="preserve">تغطي 55 مجموعةً رسم كل جداول النموذج، وكل جدول يظهر في مجموعة واحدة بالضبط. الجدول التالي يلخص الوحدات: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012"/>
        <w:gridCol w:w="5012"/>
        <w:gridCol w:w="5014"/>
      </w:tblGrid>
      <w:tr>
        <w:trPr>
          <w:cantSplit/>
          <w:tblHeader/>
        </w:trPr>
        <w:tc>
          <w:tcPr>
            <w:tcW w:type="dxa" w:w="501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الوحدة</w:t>
            </w:r>
          </w:p>
        </w:tc>
        <w:tc>
          <w:tcPr>
            <w:tcW w:type="dxa" w:w="501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عدد مجموعات الرسم</w:t>
            </w:r>
          </w:p>
        </w:tc>
        <w:tc>
          <w:tcPr>
            <w:tcW w:type="dxa" w:w="501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عدد الجداول</w:t>
            </w:r>
          </w:p>
        </w:tc>
      </w:tr>
      <w:tr>
        <w:trPr>
          <w:cantSplit/>
        </w:trPr>
        <w:tc>
          <w:tcPr>
            <w:tcW w:type="dxa" w:w="501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م0</w:t>
            </w:r>
          </w:p>
        </w:tc>
        <w:tc>
          <w:tcPr>
            <w:tcW w:type="dxa" w:w="501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c>
          <w:tcPr>
            <w:tcW w:type="dxa" w:w="501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38</w:t>
            </w:r>
          </w:p>
        </w:tc>
      </w:tr>
      <w:tr>
        <w:trPr>
          <w:cantSplit/>
        </w:trPr>
        <w:tc>
          <w:tcPr>
            <w:tcW w:type="dxa" w:w="501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م1</w:t>
            </w:r>
          </w:p>
        </w:tc>
        <w:tc>
          <w:tcPr>
            <w:tcW w:type="dxa" w:w="501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501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25</w:t>
            </w:r>
          </w:p>
        </w:tc>
      </w:tr>
      <w:tr>
        <w:trPr>
          <w:cantSplit/>
        </w:trPr>
        <w:tc>
          <w:tcPr>
            <w:tcW w:type="dxa" w:w="501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م2–م3</w:t>
            </w:r>
          </w:p>
        </w:tc>
        <w:tc>
          <w:tcPr>
            <w:tcW w:type="dxa" w:w="501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501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12</w:t>
            </w:r>
          </w:p>
        </w:tc>
      </w:tr>
      <w:tr>
        <w:trPr>
          <w:cantSplit/>
        </w:trPr>
        <w:tc>
          <w:tcPr>
            <w:tcW w:type="dxa" w:w="501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م4</w:t>
            </w:r>
          </w:p>
        </w:tc>
        <w:tc>
          <w:tcPr>
            <w:tcW w:type="dxa" w:w="501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501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30</w:t>
            </w:r>
          </w:p>
        </w:tc>
      </w:tr>
      <w:tr>
        <w:trPr>
          <w:cantSplit/>
        </w:trPr>
        <w:tc>
          <w:tcPr>
            <w:tcW w:type="dxa" w:w="501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م5</w:t>
            </w:r>
          </w:p>
        </w:tc>
        <w:tc>
          <w:tcPr>
            <w:tcW w:type="dxa" w:w="501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12</w:t>
            </w:r>
          </w:p>
        </w:tc>
        <w:tc>
          <w:tcPr>
            <w:tcW w:type="dxa" w:w="501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42</w:t>
            </w:r>
          </w:p>
        </w:tc>
      </w:tr>
      <w:tr>
        <w:trPr>
          <w:cantSplit/>
        </w:trPr>
        <w:tc>
          <w:tcPr>
            <w:tcW w:type="dxa" w:w="501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م6</w:t>
            </w:r>
          </w:p>
        </w:tc>
        <w:tc>
          <w:tcPr>
            <w:tcW w:type="dxa" w:w="501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501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26</w:t>
            </w:r>
          </w:p>
        </w:tc>
      </w:tr>
      <w:tr>
        <w:trPr>
          <w:cantSplit/>
        </w:trPr>
        <w:tc>
          <w:tcPr>
            <w:tcW w:type="dxa" w:w="501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م7/م8</w:t>
            </w:r>
          </w:p>
        </w:tc>
        <w:tc>
          <w:tcPr>
            <w:tcW w:type="dxa" w:w="501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501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21</w:t>
            </w:r>
          </w:p>
        </w:tc>
      </w:tr>
    </w:tbl>
    <w:p>
      <w:pPr>
        <w:pStyle w:val="Heading2"/>
        <w:bidi/>
      </w:pPr>
      <w:r>
        <w:rPr>
          <w:rFonts w:ascii="Arial" w:cs="Arial" w:eastAsia="Arial" w:hAnsi="Arial"/>
          <w:b/>
          <w:bCs/>
          <w:color w:val="2B5C8A"/>
          <w:sz w:val="26"/>
          <w:szCs w:val="26"/>
          <w:rtl/>
        </w:rPr>
        <w:t xml:space="preserve">3.1 م0 · المشترك والاشتراكات والمشغّلون (1/2)</w:t>
      </w:r>
    </w:p>
    <w:p>
      <w:pPr>
        <w:keepNext/>
        <w:bidi/>
        <w:spacing w:after="60" w:before="0"/>
      </w:pPr>
      <w:r>
        <w:rPr>
          <w:rFonts w:ascii="Arial" w:cs="Arial" w:eastAsia="Arial" w:hAnsi="Arial"/>
          <w:b w:val="false"/>
          <w:bCs w:val="false"/>
          <w:i w:val="false"/>
          <w:iCs w:val="false"/>
          <w:color w:val="5B6670"/>
          <w:sz w:val="16"/>
          <w:szCs w:val="16"/>
          <w:rtl/>
        </w:rPr>
        <w:t xml:space="preserve">Tenancy &amp; platform operators</w:t>
      </w:r>
    </w:p>
    <w:p>
      <w:pPr>
        <w:keepNext/>
        <w:bidi/>
        <w:spacing w:after="60" w:before="60"/>
        <w:jc w:val="center"/>
      </w:pPr>
      <w:r>
        <w:drawing>
          <wp:inline distT="0" distB="0" distL="0" distR="0">
            <wp:extent cx="9553575" cy="2657475"/>
            <wp:effectExtent t="0" r="0" b="0" l="0"/>
            <wp:docPr id="1" name="diagrams/erd/m0_tenancy_1.png" descr="الشكل 8: م0 · المشترك والاشتراكات والمشغّلون (1/2) (4 جداول)" title="الشكل 8: م0 · المشترك والاشتراكات والمشغّلون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553575" cy="26574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8: م0 · المشترك والاشتراكات والمشغّلون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باقة: حزمة وحدات وحدود ناعمة (FR-PLT-003/004، Q-PLT-11)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plat.PlanModule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وحدات الباقة (يحل محل Plan.IncludedModules json)</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PlanId, ModuleCode</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يقرؤه تطبيق المشترك (tp_app) · حساب مشغّل المنصة: مخزن هوية منفصل عن AppUser (FR-PLT-006)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PlatformOperatorId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plat.ReservedSubdomain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عناوين فرعية محجوزة للنظام: www · admin · api · app… (FR-PLT-046)</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ReservedSubdomainId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plat.PlanModule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 م0 · المشترك والاشتراكات والمشغّلون (2/2)</w:t>
      </w:r>
    </w:p>
    <w:p>
      <w:pPr>
        <w:keepNext/>
        <w:bidi/>
        <w:spacing w:after="60" w:before="0"/>
      </w:pPr>
      <w:r>
        <w:rPr>
          <w:rFonts w:ascii="Arial" w:cs="Arial" w:eastAsia="Arial" w:hAnsi="Arial"/>
          <w:b w:val="false"/>
          <w:bCs w:val="false"/>
          <w:i w:val="false"/>
          <w:iCs w:val="false"/>
          <w:color w:val="5B6670"/>
          <w:sz w:val="16"/>
          <w:szCs w:val="16"/>
          <w:rtl/>
        </w:rPr>
        <w:t xml:space="preserve">Tenancy &amp; platform operators</w:t>
      </w:r>
    </w:p>
    <w:p>
      <w:pPr>
        <w:keepNext/>
        <w:bidi/>
        <w:spacing w:after="60" w:before="60"/>
        <w:jc w:val="center"/>
      </w:pPr>
      <w:r>
        <w:drawing>
          <wp:inline distT="0" distB="0" distL="0" distR="0">
            <wp:extent cx="9553575" cy="1390650"/>
            <wp:effectExtent t="0" r="0" b="0" l="0"/>
            <wp:docPr id="1" name="diagrams/erd/m0_tenancy_2.png" descr="الشكل 9: م0 · المشترك والاشتراكات والمشغّلون (2/2) (3 جداول)" title="الشكل 9: م0 · المشترك والاشتراكات والمشغّلون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553575" cy="13906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9: م0 · المشترك والاشتراكات والمشغّلون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وصول الدعم المؤقت يفعّله مدير حساب المشترك (FR-PLT-007، BR-PLT-017)</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SupportAccessGrantId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وصول مباشر لتطبيق المشترك (يقرأ صفّه عبر plat.v_CurrentTenant) · جذر العزل: المشترك (FR-PLT-001/002/046، BR-PLT-001/002)</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الوحدات المفعّلة لكل مشترك؛ ملكية المنصة فقط: لا يكتبها تطبيق المشترك ويقرؤها عبر عرض مُحدَّد (DR-01)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TenantModuleId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OperatorId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GrantedBy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RevokedBy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HomeCountryId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EnabledBy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 م0 · الهوية والصلاحيات (1/2)</w:t>
      </w:r>
    </w:p>
    <w:p>
      <w:pPr>
        <w:keepNext/>
        <w:bidi/>
        <w:spacing w:after="60" w:before="0"/>
      </w:pPr>
      <w:r>
        <w:rPr>
          <w:rFonts w:ascii="Arial" w:cs="Arial" w:eastAsia="Arial" w:hAnsi="Arial"/>
          <w:b w:val="false"/>
          <w:bCs w:val="false"/>
          <w:i w:val="false"/>
          <w:iCs w:val="false"/>
          <w:color w:val="5B6670"/>
          <w:sz w:val="16"/>
          <w:szCs w:val="16"/>
          <w:rtl/>
        </w:rPr>
        <w:t xml:space="preserve">Identity &amp; authorisation</w:t>
      </w:r>
    </w:p>
    <w:p>
      <w:pPr>
        <w:keepNext/>
        <w:bidi/>
        <w:spacing w:after="60" w:before="60"/>
        <w:jc w:val="center"/>
      </w:pPr>
      <w:r>
        <w:drawing>
          <wp:inline distT="0" distB="0" distL="0" distR="0">
            <wp:extent cx="9382125" cy="5143500"/>
            <wp:effectExtent t="0" r="0" b="0" l="0"/>
            <wp:docPr id="1" name="diagrams/erd/m0_identity_1.png" descr="الشكل 10: م0 · الهوية والصلاحيات (1/2) (4 جداول)" title="الشكل 10: م0 · الهوية والصلاحي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38212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10: م0 · الهوية والصلاحيات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مستخدم بوابة المشترك (FR-PLT-010..016، BR-PLT-004..006)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AppUserId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دور يخصصه المشترك أو مبذور (FR-PLT-018)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RoleId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الصلاحيات تملكه المنصة؛ لا يضيف المشترك صلاحية (FR-PLT-017)</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PermissionId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دور-صلاحية؛ PERMISSION_LOCKED يُفرض في الخدمة (BR-PLT-019)</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RoleId, PermissionId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LineManagerUserId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MfaKeyId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MfaKeyPurpose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PermissionId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 م0 · الهوية والصلاحيات (2/2)</w:t>
      </w:r>
    </w:p>
    <w:p>
      <w:pPr>
        <w:keepNext/>
        <w:bidi/>
        <w:spacing w:after="60" w:before="0"/>
      </w:pPr>
      <w:r>
        <w:rPr>
          <w:rFonts w:ascii="Arial" w:cs="Arial" w:eastAsia="Arial" w:hAnsi="Arial"/>
          <w:b w:val="false"/>
          <w:bCs w:val="false"/>
          <w:i w:val="false"/>
          <w:iCs w:val="false"/>
          <w:color w:val="5B6670"/>
          <w:sz w:val="16"/>
          <w:szCs w:val="16"/>
          <w:rtl/>
        </w:rPr>
        <w:t xml:space="preserve">Identity &amp; authorisation</w:t>
      </w:r>
    </w:p>
    <w:p>
      <w:pPr>
        <w:keepNext/>
        <w:bidi/>
        <w:spacing w:after="60" w:before="60"/>
        <w:jc w:val="center"/>
      </w:pPr>
      <w:r>
        <w:drawing>
          <wp:inline distT="0" distB="0" distL="0" distR="0">
            <wp:extent cx="9553575" cy="1466850"/>
            <wp:effectExtent t="0" r="0" b="0" l="0"/>
            <wp:docPr id="1" name="diagrams/erd/m0_identity_2.png" descr="الشكل 11: م0 · الهوية والصلاحيات (2/2) (3 جداول)" title="الشكل 11: م0 · الهوية والصلاحي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553575" cy="14668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11: م0 · الهوية والصلاحيات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مستخدم-دور؛ اتحاد الصلاحيات (BR-PLT-007، FR-PLT-018)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UserId, RoleId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شركات يراها المستخدم؛ تُهمل إن كان CompanyScopeMode=ALL (FR-PLT-020)</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UserId, CompanyId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sec.ExternalIdentity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هوية خارجية OIDC/Entra بالمستخدم؛ جاهزية فقط (FR-PLT-015، §11)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ExternalIdentityId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sec.ExternalIdentity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3.5 م0 · الجلسات والمفاتيح والمحاولات (1/2)</w:t>
      </w:r>
    </w:p>
    <w:p>
      <w:pPr>
        <w:keepNext/>
        <w:bidi/>
        <w:spacing w:after="60" w:before="0"/>
      </w:pPr>
      <w:r>
        <w:rPr>
          <w:rFonts w:ascii="Arial" w:cs="Arial" w:eastAsia="Arial" w:hAnsi="Arial"/>
          <w:b w:val="false"/>
          <w:bCs w:val="false"/>
          <w:i w:val="false"/>
          <w:iCs w:val="false"/>
          <w:color w:val="5B6670"/>
          <w:sz w:val="16"/>
          <w:szCs w:val="16"/>
          <w:rtl/>
        </w:rPr>
        <w:t xml:space="preserve">Sessions, keys &amp; attempts</w:t>
      </w:r>
    </w:p>
    <w:p>
      <w:pPr>
        <w:keepNext/>
        <w:bidi/>
        <w:spacing w:after="60" w:before="60"/>
        <w:jc w:val="center"/>
      </w:pPr>
      <w:r>
        <w:drawing>
          <wp:inline distT="0" distB="0" distL="0" distR="0">
            <wp:extent cx="9553575" cy="1009650"/>
            <wp:effectExtent t="0" r="0" b="0" l="0"/>
            <wp:docPr id="1" name="diagrams/erd/m0_sessions_1.png" descr="الشكل 12: م0 · الجلسات والمفاتيح والمحاولات (1/2) (4 جداول)" title="الشكل 12: م0 · الجلسات والمفاتيح والمحاول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553575" cy="10096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12: م0 · الجلسات والمفاتيح والمحاولات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جلسات المستخدم: خمول 30 دقيقة ومطلقة 12 ساعة (FR-PLT-014)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UserSessionId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sec.LoginAttempt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محاولات الدخول لخنق المعدل ونوافذ القفل؛ الأثر الدائم في aud.AuditLog (BR-PLT-005)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LoginAttemptId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sec.MfaRecoveryCode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10 رموز استرداد لمرة واحدة مُجزَّأة (FR-PLT-011، BR-PLT-006؛ بديل AppUser.RecoveryCodesHash json)</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MfaRecoveryCodeId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sec.UserToken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رابط دعوة (48 ساعة) أو إعادة تعيين كلمة المرور (30 دقيقة) لمرة واحدة (FR-PLT-013)</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UserTokenId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EndedBy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sec.LoginAttempt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sec.MfaRecoveryCode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sec.UserToken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sec.UserToken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RequestedByUserId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3.6 م0 · الجلسات والمفاتيح والمحاولات (2/2)</w:t>
      </w:r>
    </w:p>
    <w:p>
      <w:pPr>
        <w:keepNext/>
        <w:bidi/>
        <w:spacing w:after="60" w:before="0"/>
      </w:pPr>
      <w:r>
        <w:rPr>
          <w:rFonts w:ascii="Arial" w:cs="Arial" w:eastAsia="Arial" w:hAnsi="Arial"/>
          <w:b w:val="false"/>
          <w:bCs w:val="false"/>
          <w:i w:val="false"/>
          <w:iCs w:val="false"/>
          <w:color w:val="5B6670"/>
          <w:sz w:val="16"/>
          <w:szCs w:val="16"/>
          <w:rtl/>
        </w:rPr>
        <w:t xml:space="preserve">Sessions, keys &amp; attempts</w:t>
      </w:r>
    </w:p>
    <w:p>
      <w:pPr>
        <w:keepNext/>
        <w:bidi/>
        <w:spacing w:after="60" w:before="60"/>
        <w:jc w:val="center"/>
      </w:pPr>
      <w:r>
        <w:drawing>
          <wp:inline distT="0" distB="0" distL="0" distR="0">
            <wp:extent cx="8429625" cy="4029075"/>
            <wp:effectExtent t="0" r="0" b="0" l="0"/>
            <wp:docPr id="1" name="diagrams/erd/m0_sessions_2.png" descr="الشكل 13: م0 · الجلسات والمفاتيح والمحاولات (2/2) (3 جداول)" title="الشكل 13: م0 · الجلسات والمفاتيح والمحاول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429625" cy="40290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13: م0 · الجلسات والمفاتيح والمحاولات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sec.UserPasswordHistory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آخر 5 كلمات مرور لمنع إعادة استعمالها (BR-PLT-004)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UserPasswordHistoryId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مفاتيح المشترك؛ المفتاح ملفوف بمفتاح رئيسي خارج القاعدة (FR-PLT-037، BR-PLT-015)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TenantKeyId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sec.KeyEvent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أحداث المفاتيح: إنشاء وتدوير وإبطال (FR-PLT-037؛ شدة عالية BR-PLT-009)</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KeyEventId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sec.UserPasswordHistory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sec.KeyEvent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TenantKeyId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3.7 م0 · التدقيق والمستندات (1/2)</w:t>
      </w:r>
    </w:p>
    <w:p>
      <w:pPr>
        <w:keepNext/>
        <w:bidi/>
        <w:spacing w:after="60" w:before="0"/>
      </w:pPr>
      <w:r>
        <w:rPr>
          <w:rFonts w:ascii="Arial" w:cs="Arial" w:eastAsia="Arial" w:hAnsi="Arial"/>
          <w:b w:val="false"/>
          <w:bCs w:val="false"/>
          <w:i w:val="false"/>
          <w:iCs w:val="false"/>
          <w:color w:val="5B6670"/>
          <w:sz w:val="16"/>
          <w:szCs w:val="16"/>
          <w:rtl/>
        </w:rPr>
        <w:t xml:space="preserve">Audit &amp; documents</w:t>
      </w:r>
    </w:p>
    <w:p>
      <w:pPr>
        <w:keepNext/>
        <w:bidi/>
        <w:spacing w:after="60" w:before="60"/>
        <w:jc w:val="center"/>
      </w:pPr>
      <w:r>
        <w:drawing>
          <wp:inline distT="0" distB="0" distL="0" distR="0">
            <wp:extent cx="9553575" cy="5095875"/>
            <wp:effectExtent t="0" r="0" b="0" l="0"/>
            <wp:docPr id="1" name="diagrams/erd/m0_audit_docs_1.png" descr="الشكل 14: م0 · التدقيق والمستندات (1/2) (4 جداول)" title="الشكل 14: م0 · التدقيق والمستند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553575" cy="50958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14: م0 · التدقيق والمستندات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aud.AuditLog</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للإدراج فقط؛ TenantId الفارغ = حدث منصة لا يراه أي مشترك؛ سياسة RLS خاصة (BR-PLT-001/009)</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AuditLogId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aud.SensitiveAccessLog</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كشف الهويات والصور والتصدير والتنزيل المقيّد؛ لكشف الشذوذ &gt;20/ساعة وR-PLT-3 (BR-PTY-009)</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SensitiveAccessLogId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المستند المنطقي: بيانات المستند وحالته؛ الملف في doc.DocumentVersion (FR-PLT-027/028، BR-PLT-011)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DocumentId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doc.DocumentLink</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مستند بأي كيان بدور وصفحة مرجعية؛ إلغاء الربط منطقي (FR-PLT-028)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DocumentLinkId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aud.SensitiveAccessLog</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ActorUserId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aud.SensitiveAccessLog</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OperatorId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cat.DocumentType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OwnerCompanyId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CurrentVersionId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DeletedBy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doc.DocumentLink</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doc.DocumentLink</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UnlinkedBy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3.8 م0 · التدقيق والمستندات (2/2)</w:t>
      </w:r>
    </w:p>
    <w:p>
      <w:pPr>
        <w:keepNext/>
        <w:bidi/>
        <w:spacing w:after="60" w:before="0"/>
      </w:pPr>
      <w:r>
        <w:rPr>
          <w:rFonts w:ascii="Arial" w:cs="Arial" w:eastAsia="Arial" w:hAnsi="Arial"/>
          <w:b w:val="false"/>
          <w:bCs w:val="false"/>
          <w:i w:val="false"/>
          <w:iCs w:val="false"/>
          <w:color w:val="5B6670"/>
          <w:sz w:val="16"/>
          <w:szCs w:val="16"/>
          <w:rtl/>
        </w:rPr>
        <w:t xml:space="preserve">Audit &amp; documents</w:t>
      </w:r>
    </w:p>
    <w:p>
      <w:pPr>
        <w:keepNext/>
        <w:bidi/>
        <w:spacing w:after="60" w:before="60"/>
        <w:jc w:val="center"/>
      </w:pPr>
      <w:r>
        <w:drawing>
          <wp:inline distT="0" distB="0" distL="0" distR="0">
            <wp:extent cx="3619500" cy="1933575"/>
            <wp:effectExtent t="0" r="0" b="0" l="0"/>
            <wp:docPr id="1" name="diagrams/erd/m0_audit_docs_2.png" descr="الشكل 15: م0 · التدقيق والمستندات (2/2) (جدول واحد)" title="الشكل 15: م0 · التدقيق والمستندات (2/2) (جدول واح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19335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15: م0 · التدقيق والمستندات (2/2) (جدول واحد)</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ثابت من الملف؛ التغيير يُنشئ إصدارًا جديدًا يفرضه التطبيق (FR-PLT-027، BR-PLT-011)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DocumentVersionId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KeyId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KeyPurpose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3.9 م0 · الإعدادات والمهام الخلفية (1/3)</w:t>
      </w:r>
    </w:p>
    <w:p>
      <w:pPr>
        <w:keepNext/>
        <w:bidi/>
        <w:spacing w:after="60" w:before="0"/>
      </w:pPr>
      <w:r>
        <w:rPr>
          <w:rFonts w:ascii="Arial" w:cs="Arial" w:eastAsia="Arial" w:hAnsi="Arial"/>
          <w:b w:val="false"/>
          <w:bCs w:val="false"/>
          <w:i w:val="false"/>
          <w:iCs w:val="false"/>
          <w:color w:val="5B6670"/>
          <w:sz w:val="16"/>
          <w:szCs w:val="16"/>
          <w:rtl/>
        </w:rPr>
        <w:t xml:space="preserve">Configuration &amp; background jobs</w:t>
      </w:r>
    </w:p>
    <w:p>
      <w:pPr>
        <w:keepNext/>
        <w:bidi/>
        <w:spacing w:after="60" w:before="60"/>
        <w:jc w:val="center"/>
      </w:pPr>
      <w:r>
        <w:drawing>
          <wp:inline distT="0" distB="0" distL="0" distR="0">
            <wp:extent cx="9553575" cy="3638550"/>
            <wp:effectExtent t="0" r="0" b="0" l="0"/>
            <wp:docPr id="1" name="diagrams/erd/m0_config_1.png" descr="الشكل 16: م0 · الإعدادات والمهام الخلفية (1/3) (4 جداول)" title="الشكل 16: م0 · الإعدادات والمهام الخلفية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553575" cy="36385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16: م0 · الإعدادات والمهام الخلفية (1/3)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طلب تصدير بيانات المشترك (FR-PLT-039، BR-PLT-016)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DataExportJobId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cfg.ExpiryAlertLog</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التنبيهات المرسَلة: حدث واحد لكل (عنصر، عتبة) ولا تكرار في اليوم نفسه (FR-PLT-038)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ExpiryAlertLogId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cfg.ExpiryAlertRule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تنبيه انتهاء لكل نوع عنصر (FR-PLT-038، BR-PLT-013)</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ExpiryAlertRuleId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cfg.JobRun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تشغيل المهام الخلفية: آخر تشغيل ومدته ونتيجته ظاهر لمدير الحساب (FR-PLT-044)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JobRunId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PackageDocumentId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cfg.ExpiryAlertLog</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ExpiryAlertRuleId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cfg.ExpiryAlertRule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3.10 م0 · الإعدادات والمهام الخلفية (2/3)</w:t>
      </w:r>
    </w:p>
    <w:p>
      <w:pPr>
        <w:keepNext/>
        <w:bidi/>
        <w:spacing w:after="60" w:before="0"/>
      </w:pPr>
      <w:r>
        <w:rPr>
          <w:rFonts w:ascii="Arial" w:cs="Arial" w:eastAsia="Arial" w:hAnsi="Arial"/>
          <w:b w:val="false"/>
          <w:bCs w:val="false"/>
          <w:i w:val="false"/>
          <w:iCs w:val="false"/>
          <w:color w:val="5B6670"/>
          <w:sz w:val="16"/>
          <w:szCs w:val="16"/>
          <w:rtl/>
        </w:rPr>
        <w:t xml:space="preserve">Configuration &amp; background jobs</w:t>
      </w:r>
    </w:p>
    <w:p>
      <w:pPr>
        <w:keepNext/>
        <w:bidi/>
        <w:spacing w:after="60" w:before="60"/>
        <w:jc w:val="center"/>
      </w:pPr>
      <w:r>
        <w:drawing>
          <wp:inline distT="0" distB="0" distL="0" distR="0">
            <wp:extent cx="6524625" cy="5143500"/>
            <wp:effectExtent t="0" r="0" b="0" l="0"/>
            <wp:docPr id="1" name="diagrams/erd/m0_config_2.png" descr="الشكل 17: م0 · الإعدادات والمهام الخلفية (2/3) (4 جداول)" title="الشكل 17: م0 · الإعدادات والمهام الخلفية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52462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17: م0 · الإعدادات والمهام الخلفية (2/3)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cfg.NonWorkingDay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يوم غير عمل؛ TenantId الفارغ = عطلة المنصة للقراءة فقط (FR-PLT-035، BR-PLT-014)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NonWorkingDayId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cfg.NumberIssue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الأرقام الصادرة؛ الملغى لا يُعاد استعماله (FR-PLT-026، BR-PLT-010)</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NumberIssueId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عدّاد لكل (تعريف، شركة اختيارية، فترة)؛ يُقفل صفه عند التخصيص داخل معاملة المستدعي (BR-PLT-010)</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NumberSequenceId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cfg.NumberSequenceDefinition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نوع الترقيم بصيغة بوسوم مثل {seq:000}-{erp}-{yy} (FR-PLT-026)</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NumberSequenceDefinitionId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cfg.NonWorkingDay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cfg.NumberIssue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SequenceId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cfg.NumberIssue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VoidedBy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DefinitionId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cfg.NumberSequenceDefinition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3.11 م0 · الإعدادات والمهام الخلفية (3/3)</w:t>
      </w:r>
    </w:p>
    <w:p>
      <w:pPr>
        <w:keepNext/>
        <w:bidi/>
        <w:spacing w:after="60" w:before="0"/>
      </w:pPr>
      <w:r>
        <w:rPr>
          <w:rFonts w:ascii="Arial" w:cs="Arial" w:eastAsia="Arial" w:hAnsi="Arial"/>
          <w:b w:val="false"/>
          <w:bCs w:val="false"/>
          <w:i w:val="false"/>
          <w:iCs w:val="false"/>
          <w:color w:val="5B6670"/>
          <w:sz w:val="16"/>
          <w:szCs w:val="16"/>
          <w:rtl/>
        </w:rPr>
        <w:t xml:space="preserve">Configuration &amp; background jobs</w:t>
      </w:r>
    </w:p>
    <w:p>
      <w:pPr>
        <w:keepNext/>
        <w:bidi/>
        <w:spacing w:after="60" w:before="60"/>
        <w:jc w:val="center"/>
      </w:pPr>
      <w:r>
        <w:drawing>
          <wp:inline distT="0" distB="0" distL="0" distR="0">
            <wp:extent cx="9553575" cy="600075"/>
            <wp:effectExtent t="0" r="0" b="0" l="0"/>
            <wp:docPr id="1" name="diagrams/erd/m0_config_3.png" descr="الشكل 18: م0 · الإعدادات والمهام الخلفية (3/3) (4 جداول)" title="الشكل 18: م0 · الإعدادات والمهام الخلفية (3/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553575" cy="6000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18: م0 · الإعدادات والمهام الخلفية (3/3)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cfg.OutboxEvent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طابور الإرسال: تسليم مرة واحدة على الأقل؛ الحمولة معرّفات بلا بيانات مقيّدة (FR-PLT-042)</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OutboxEventId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cfg.SeedRun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تشغيل البذر المُرقَّم لكل حزمة؛ تكرار التشغيل لا يكرر شيئًا (FR-PLT-008)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SeedRunId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cfg.SettingDefinition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مفتاح إعداد بحدود المنصة الدنيا والقصوى (BR-PLT-018، FR-PLT-043)</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SettingDefinitionId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cfg.TenantSetting</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إعدادات المشترك: سياسات الأمان والمهل والعتبات وwork.start/work.end (FR-PLT-043)</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TenantSettingId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p>
      <w:pPr>
        <w:keepNext w:val="false"/>
        <w:bidi/>
        <w:spacing w:after="110" w:before="0" w:line="300"/>
      </w:pPr>
      <w:r>
        <w:rPr>
          <w:rFonts w:ascii="Arial" w:cs="Arial" w:eastAsia="Arial" w:hAnsi="Arial"/>
          <w:b w:val="false"/>
          <w:bCs w:val="false"/>
          <w:i/>
          <w:iCs/>
          <w:color w:val="5B6670"/>
          <w:sz w:val="16"/>
          <w:szCs w:val="16"/>
          <w:rtl/>
        </w:rPr>
        <w:t xml:space="preserve">لا توجد مفاتيح أجنبية عملية لجداول هذه المجموعة.</w:t>
      </w:r>
    </w:p>
    <w:p>
      <w:pPr>
        <w:pStyle w:val="Heading2"/>
        <w:bidi/>
      </w:pPr>
      <w:r>
        <w:rPr>
          <w:rFonts w:ascii="Arial" w:cs="Arial" w:eastAsia="Arial" w:hAnsi="Arial"/>
          <w:b/>
          <w:bCs/>
          <w:color w:val="2B5C8A"/>
          <w:sz w:val="26"/>
          <w:szCs w:val="26"/>
          <w:rtl/>
        </w:rPr>
        <w:t xml:space="preserve">3.12 م1 · الشركات والحوكمة (1/2)</w:t>
      </w:r>
    </w:p>
    <w:p>
      <w:pPr>
        <w:keepNext/>
        <w:bidi/>
        <w:spacing w:after="60" w:before="0"/>
      </w:pPr>
      <w:r>
        <w:rPr>
          <w:rFonts w:ascii="Arial" w:cs="Arial" w:eastAsia="Arial" w:hAnsi="Arial"/>
          <w:b w:val="false"/>
          <w:bCs w:val="false"/>
          <w:i w:val="false"/>
          <w:iCs w:val="false"/>
          <w:color w:val="5B6670"/>
          <w:sz w:val="16"/>
          <w:szCs w:val="16"/>
          <w:rtl/>
        </w:rPr>
        <w:t xml:space="preserve">Company structure &amp; governance</w:t>
      </w:r>
    </w:p>
    <w:p>
      <w:pPr>
        <w:keepNext/>
        <w:bidi/>
        <w:spacing w:after="60" w:before="60"/>
        <w:jc w:val="center"/>
      </w:pPr>
      <w:r>
        <w:drawing>
          <wp:inline distT="0" distB="0" distL="0" distR="0">
            <wp:extent cx="8734425" cy="5143500"/>
            <wp:effectExtent t="0" r="0" b="0" l="0"/>
            <wp:docPr id="1" name="diagrams/erd/m1_company_1.png" descr="الشكل 19: م1 · الشركات والحوكمة (1/2) (4 جداول)" title="الشكل 19: م1 · الشركات والحوكمة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3442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19: م1 · الشركات والحوكمة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الشركة: جذر الهيكل المؤسسي (FR-ORG-001..010، BR-ORG-001..004)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org.CompanyTaxRate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نسبة ضريبة بتاريخ سريان؛ CompanyId فارغ = افتراضي المشترك (FR-ORG-007، BR-ORG-005)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CompanyTaxRateId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الإدارة (FR-ORG-014، BR-ORG-016، Q-ORG-09: على مستوى المشترك وشركة اختيارية)</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DepartmentId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حصة ملكية بتاريخ سريان؛ المالك Party فرد أو جهة (FR-ORG-015..018، BR-ORG-006..008، G-7)</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ShareholdingId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LegalEntityTypeId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org.CompanyTaxRate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ParentDepartmentId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HeadUserId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HolderPartyId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3.13 م1 · الشركات والحوكمة (2/2)</w:t>
      </w:r>
    </w:p>
    <w:p>
      <w:pPr>
        <w:keepNext/>
        <w:bidi/>
        <w:spacing w:after="60" w:before="0"/>
      </w:pPr>
      <w:r>
        <w:rPr>
          <w:rFonts w:ascii="Arial" w:cs="Arial" w:eastAsia="Arial" w:hAnsi="Arial"/>
          <w:b w:val="false"/>
          <w:bCs w:val="false"/>
          <w:i w:val="false"/>
          <w:iCs w:val="false"/>
          <w:color w:val="5B6670"/>
          <w:sz w:val="16"/>
          <w:szCs w:val="16"/>
          <w:rtl/>
        </w:rPr>
        <w:t xml:space="preserve">Company structure &amp; governance</w:t>
      </w:r>
    </w:p>
    <w:p>
      <w:pPr>
        <w:keepNext/>
        <w:bidi/>
        <w:spacing w:after="60" w:before="60"/>
        <w:jc w:val="center"/>
      </w:pPr>
      <w:r>
        <w:drawing>
          <wp:inline distT="0" distB="0" distL="0" distR="0">
            <wp:extent cx="1990725" cy="5143500"/>
            <wp:effectExtent t="0" r="0" b="0" l="0"/>
            <wp:docPr id="1" name="diagrams/erd/m1_company_2.png" descr="الشكل 20: م1 · الشركات والحوكمة (2/2) (3 جداول)" title="الشكل 20: م1 · الشركات والحوكمة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9072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20: م1 · الشركات والحوكمة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هيئة حوكمة (FR-ORG-019، BR-ORG-009)</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GoverningBodyId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عضوية في هيئة (FR-ORG-020، FR-ORG-021، BR-ORG-010)</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BodyMemberId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تفويض/منحة صلاحية لشركة (FR-ORG-023..028، BR-ORG-011..014)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AuthorityGrantId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BodyId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PositionId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cat.Position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RepresentedPartyId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AppointmentDocumentId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BodyId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BodyMemberId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PowerTypeId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cat.PowerType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CeilingCurrencyId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SupersedesGrantId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3.14 م1 · ملف الشركة و KYC (1/2)</w:t>
      </w:r>
    </w:p>
    <w:p>
      <w:pPr>
        <w:keepNext/>
        <w:bidi/>
        <w:spacing w:after="60" w:before="0"/>
      </w:pPr>
      <w:r>
        <w:rPr>
          <w:rFonts w:ascii="Arial" w:cs="Arial" w:eastAsia="Arial" w:hAnsi="Arial"/>
          <w:b w:val="false"/>
          <w:bCs w:val="false"/>
          <w:i w:val="false"/>
          <w:iCs w:val="false"/>
          <w:color w:val="5B6670"/>
          <w:sz w:val="16"/>
          <w:szCs w:val="16"/>
          <w:rtl/>
        </w:rPr>
        <w:t xml:space="preserve">Company profile &amp; KYC</w:t>
      </w:r>
    </w:p>
    <w:p>
      <w:pPr>
        <w:keepNext/>
        <w:bidi/>
        <w:spacing w:after="60" w:before="60"/>
        <w:jc w:val="center"/>
      </w:pPr>
      <w:r>
        <w:drawing>
          <wp:inline distT="0" distB="0" distL="0" distR="0">
            <wp:extent cx="9553575" cy="3676650"/>
            <wp:effectExtent t="0" r="0" b="0" l="0"/>
            <wp:docPr id="1" name="diagrams/erd/m1_company_kyc_1.png" descr="الشكل 21: م1 · ملف الشركة و KYC (1/2) (4 جداول)" title="الشكل 21: م1 · ملف الشركة و KYC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553575" cy="36766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21: م1 · ملف الشركة و KYC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ملف تعريف الشركة 1:1 (G-1)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CompanyProfileId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org.CompanyBranch</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فرع/مستودع/تابعة خارج الحساب كنص (G-3)</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CompanyBranchId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الملف المالي KYC بتاريخ سريان: شريحة الإيرادات والغرض (G-4)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CompanyKycFinancialProfileId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org.CompanyExpectedFlow</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مصفوفة الحركة المتوقعة الشهرية CTP: اتجاه × 5 بنود (G-4)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CompanyExpectedFlowId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HeadquartersCountryId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SectorId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EmployeeBandId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org.CompanyBranch</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org.CompanyBranch</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RevenueBandId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AccountCurrencyId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org.CompanyExpectedFlow</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FinancialProfileId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org.CompanyExpectedFlow</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3.15 م1 · ملف الشركة و KYC (2/2)</w:t>
      </w:r>
    </w:p>
    <w:p>
      <w:pPr>
        <w:keepNext/>
        <w:bidi/>
        <w:spacing w:after="60" w:before="0"/>
      </w:pPr>
      <w:r>
        <w:rPr>
          <w:rFonts w:ascii="Arial" w:cs="Arial" w:eastAsia="Arial" w:hAnsi="Arial"/>
          <w:b w:val="false"/>
          <w:bCs w:val="false"/>
          <w:i w:val="false"/>
          <w:iCs w:val="false"/>
          <w:color w:val="5B6670"/>
          <w:sz w:val="16"/>
          <w:szCs w:val="16"/>
          <w:rtl/>
        </w:rPr>
        <w:t xml:space="preserve">Company profile &amp; KYC</w:t>
      </w:r>
    </w:p>
    <w:p>
      <w:pPr>
        <w:keepNext/>
        <w:bidi/>
        <w:spacing w:after="60" w:before="60"/>
        <w:jc w:val="center"/>
      </w:pPr>
      <w:r>
        <w:drawing>
          <wp:inline distT="0" distB="0" distL="0" distR="0">
            <wp:extent cx="9553575" cy="1266825"/>
            <wp:effectExtent t="0" r="0" b="0" l="0"/>
            <wp:docPr id="1" name="diagrams/erd/m1_company_kyc_2.png" descr="الشكل 22: م1 · ملف الشركة و KYC (2/2) (3 جداول)" title="الشكل 22: م1 · ملف الشركة و KYC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553575" cy="12668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22: م1 · ملف الشركة و KYC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org.CompanyWealthSource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مصادر الأموال والثروة: قائمة متعددة (G-4)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FinancialProfileId, WealthSourceId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org.CompanyDisclosure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إفصاحات الشركة (G-5)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CompanyDisclosureId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org.CompanyKeyRelation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أصحاب العلاقة: مدققون، مستشار قانوني، جهات تنظيمية، أبرز العملاء/الموردين (G-6)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CompanyKeyRelationId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org.CompanyWealthSource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FinancialProfileId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حذف متسلسل</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org.CompanyWealthSource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WealthSourceId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org.CompanyDisclosure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org.CompanyDisclosure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org.CompanyKeyRelation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3.16 م1 · الأشخاص والهوية و KYC (1/3)</w:t>
      </w:r>
    </w:p>
    <w:p>
      <w:pPr>
        <w:keepNext/>
        <w:bidi/>
        <w:spacing w:after="60" w:before="0"/>
      </w:pPr>
      <w:r>
        <w:rPr>
          <w:rFonts w:ascii="Arial" w:cs="Arial" w:eastAsia="Arial" w:hAnsi="Arial"/>
          <w:b w:val="false"/>
          <w:bCs w:val="false"/>
          <w:i w:val="false"/>
          <w:iCs w:val="false"/>
          <w:color w:val="5B6670"/>
          <w:sz w:val="16"/>
          <w:szCs w:val="16"/>
          <w:rtl/>
        </w:rPr>
        <w:t xml:space="preserve">Parties, identity documents &amp; KYC</w:t>
      </w:r>
    </w:p>
    <w:p>
      <w:pPr>
        <w:keepNext/>
        <w:bidi/>
        <w:spacing w:after="60" w:before="60"/>
        <w:jc w:val="center"/>
      </w:pPr>
      <w:r>
        <w:drawing>
          <wp:inline distT="0" distB="0" distL="0" distR="0">
            <wp:extent cx="9553575" cy="2828925"/>
            <wp:effectExtent t="0" r="0" b="0" l="0"/>
            <wp:docPr id="1" name="diagrams/erd/m1_party_1.png" descr="الشكل 23: م1 · الأشخاص والهوية و KYC (1/3) (4 جداول)" title="الشكل 23: م1 · الأشخاص والهوية و KYC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53575" cy="28289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23: م1 · الأشخاص والهوية و KYC (1/3)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عنوان متعدد الملكية: OwnerType+OwnerId بلا FK (مزوّد المالك يتحقق منه التطبيق) (FR-PTY-011، BR-PTY-015)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AddressId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وسيلة اتصال متعددة الملكية (FR-PTY-012، BR-PTY-015)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ContactMethodId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pty.CustomFieldDefinition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حقل مخصص (FR-PTY-013، BR-PTY-014)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CustomFieldDefinitionId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وثيقة هوية؛ الرقم مشفّر والصور مستندات مقيَّدة (FR-PTY-004..009، FR-PTY-020..022، BR-PTY-002..008)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IdentityDocumentId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UnitId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ContactId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ContactId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pty.CustomFieldDefinition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IssuingCountryId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EncKeyId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EncKeyPurpose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HashKeyId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HashKeyPurpose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3.17 م1 · الأشخاص والهوية و KYC (2/3)</w:t>
      </w:r>
    </w:p>
    <w:p>
      <w:pPr>
        <w:keepNext/>
        <w:bidi/>
        <w:spacing w:after="60" w:before="0"/>
      </w:pPr>
      <w:r>
        <w:rPr>
          <w:rFonts w:ascii="Arial" w:cs="Arial" w:eastAsia="Arial" w:hAnsi="Arial"/>
          <w:b w:val="false"/>
          <w:bCs w:val="false"/>
          <w:i w:val="false"/>
          <w:iCs w:val="false"/>
          <w:color w:val="5B6670"/>
          <w:sz w:val="16"/>
          <w:szCs w:val="16"/>
          <w:rtl/>
        </w:rPr>
        <w:t xml:space="preserve">Parties, identity documents &amp; KYC</w:t>
      </w:r>
    </w:p>
    <w:p>
      <w:pPr>
        <w:keepNext/>
        <w:bidi/>
        <w:spacing w:after="60" w:before="60"/>
        <w:jc w:val="center"/>
      </w:pPr>
      <w:r>
        <w:drawing>
          <wp:inline distT="0" distB="0" distL="0" distR="0">
            <wp:extent cx="4933950" cy="5143500"/>
            <wp:effectExtent t="0" r="0" b="0" l="0"/>
            <wp:docPr id="1" name="diagrams/erd/m1_party_2.png" descr="الشكل 24: م1 · الأشخاص والهوية و KYC (2/3) (4 جداول)" title="الشكل 24: م1 · الأشخاص والهوية و KYC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24: م1 · الأشخاص والهوية و KYC (2/3)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قائمة اكتمال KYC لكل بنك ودور (FR-PTY-023، BR-PTY-012..013، G-8، G-14)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KycProfileId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اكتمال (FR-PTY-023، FR-PTY-024، G-14)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KycProfileItemId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pty.KycProfileItemLegalForm</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شروط ظهور البند بحسب الشكل القانوني؛ غياب الصفوف = ينطبق على الكل (G-15)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KycProfileItemId, LegalEntityTypeId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شخص أو جهة؛ لا دور مخزَّن (FR-PTY-001..003، BR-PTY-001..004، BR-PTY-016..018)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PartyId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ProfileId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pty.KycProfileItemLegalForm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KycProfileItemId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حذف متسلسل</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pty.KycProfileItemLegalForm</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LegalEntityTypeId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BirthCountryId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EducationLevelId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LinkedCompanyId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MergedIntoPartyId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3.18 م1 · الأشخاص والهوية و KYC (3/3)</w:t>
      </w:r>
    </w:p>
    <w:p>
      <w:pPr>
        <w:keepNext/>
        <w:bidi/>
        <w:spacing w:after="60" w:before="0"/>
      </w:pPr>
      <w:r>
        <w:rPr>
          <w:rFonts w:ascii="Arial" w:cs="Arial" w:eastAsia="Arial" w:hAnsi="Arial"/>
          <w:b w:val="false"/>
          <w:bCs w:val="false"/>
          <w:i w:val="false"/>
          <w:iCs w:val="false"/>
          <w:color w:val="5B6670"/>
          <w:sz w:val="16"/>
          <w:szCs w:val="16"/>
          <w:rtl/>
        </w:rPr>
        <w:t xml:space="preserve">Parties, identity documents &amp; KYC</w:t>
      </w:r>
    </w:p>
    <w:p>
      <w:pPr>
        <w:keepNext/>
        <w:bidi/>
        <w:spacing w:after="60" w:before="60"/>
        <w:jc w:val="center"/>
      </w:pPr>
      <w:r>
        <w:drawing>
          <wp:inline distT="0" distB="0" distL="0" distR="0">
            <wp:extent cx="9553575" cy="1943100"/>
            <wp:effectExtent t="0" r="0" b="0" l="0"/>
            <wp:docPr id="1" name="diagrams/erd/m1_party_3.png" descr="الشكل 25: م1 · الأشخاص والهوية و KYC (3/3) (3 جداول)" title="الشكل 25: م1 · الأشخاص والهوية و KYC (3/3)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9553575" cy="19431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25: م1 · الأشخاص والهوية و KYC (3/3)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إقرارات امتثال بتاريخ لكل شخص بصفته: PEP، عقوبات، تحقيقات، حصانة (G-9)</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PartyComplianceId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حقل مخصص لشخص (FR-PTY-013، FR-PTY-014)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PartyCustomFieldId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الهوية الضريبية والإقرار الضريبي FATCA/CRS (G-13)</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TaxIdentityId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DefinitionId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pty.CustomFieldDefinition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EncKeyId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EncKeyPurpose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FatcaClassificationId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CrsClassificationId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3.19 م2–م3 · الجهات المالية والحسابات والمفوّضون (1/3)</w:t>
      </w:r>
    </w:p>
    <w:p>
      <w:pPr>
        <w:keepNext/>
        <w:bidi/>
        <w:spacing w:after="60" w:before="0"/>
      </w:pPr>
      <w:r>
        <w:rPr>
          <w:rFonts w:ascii="Arial" w:cs="Arial" w:eastAsia="Arial" w:hAnsi="Arial"/>
          <w:b w:val="false"/>
          <w:bCs w:val="false"/>
          <w:i w:val="false"/>
          <w:iCs w:val="false"/>
          <w:color w:val="5B6670"/>
          <w:sz w:val="16"/>
          <w:szCs w:val="16"/>
          <w:rtl/>
        </w:rPr>
        <w:t xml:space="preserve">Institutions, bank accounts &amp; signatories</w:t>
      </w:r>
    </w:p>
    <w:p>
      <w:pPr>
        <w:keepNext/>
        <w:bidi/>
        <w:spacing w:after="60" w:before="60"/>
        <w:jc w:val="center"/>
      </w:pPr>
      <w:r>
        <w:drawing>
          <wp:inline distT="0" distB="0" distL="0" distR="0">
            <wp:extent cx="4848225" cy="5143500"/>
            <wp:effectExtent t="0" r="0" b="0" l="0"/>
            <wp:docPr id="1" name="diagrams/erd/m2_3_institutions_1.png" descr="الشكل 26: م2–م3 · الجهات المالية والحسابات والمفوّضون (1/3) (4 جداول)" title="الشكل 26: م2–م3 · الجهات المالية والحسابات والمفوّضون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84822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26: م2–م3 · الجهات المالية والحسابات والمفوّضون (1/3)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جهة اتصال لدى البنك: سجل خفيف بلا هوية، PartyId اختياري للترقية (FR-INS-007/008، BR-INS-005/006/014)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ContactId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المنشأة المالية (FR-INS-001..004، BR-INS-001..003، BR-INS-012)؛ Locality محلي/أجنبي مشتقة (BR-INS-002) فلا تُخزَّن</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وحدة في هيكل المنشأة: إدارة/قسم/فرع، شجرة ذاتية حتى 4 مستويات (FR-INS-005/006، BR-INS-004)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InstitutionUnitId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علاقة شركة–منشأة (D-4)؛ فريدة مهما كانت حالتها (FR-INS-009، BR-INS-007/011)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ReportsToContactId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cat.InstitutionType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ParentUnitId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UnitTypeId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3.20 م2–م3 · الجهات المالية والحسابات والمفوّضون (2/3)</w:t>
      </w:r>
    </w:p>
    <w:p>
      <w:pPr>
        <w:keepNext/>
        <w:bidi/>
        <w:spacing w:after="60" w:before="0"/>
      </w:pPr>
      <w:r>
        <w:rPr>
          <w:rFonts w:ascii="Arial" w:cs="Arial" w:eastAsia="Arial" w:hAnsi="Arial"/>
          <w:b w:val="false"/>
          <w:bCs w:val="false"/>
          <w:i w:val="false"/>
          <w:iCs w:val="false"/>
          <w:color w:val="5B6670"/>
          <w:sz w:val="16"/>
          <w:szCs w:val="16"/>
          <w:rtl/>
        </w:rPr>
        <w:t xml:space="preserve">Institutions, bank accounts &amp; signatories</w:t>
      </w:r>
    </w:p>
    <w:p>
      <w:pPr>
        <w:keepNext/>
        <w:bidi/>
        <w:spacing w:after="60" w:before="60"/>
        <w:jc w:val="center"/>
      </w:pPr>
      <w:r>
        <w:drawing>
          <wp:inline distT="0" distB="0" distL="0" distR="0">
            <wp:extent cx="9553575" cy="3571875"/>
            <wp:effectExtent t="0" r="0" b="0" l="0"/>
            <wp:docPr id="1" name="diagrams/erd/m2_3_institutions_2.png" descr="الشكل 27: م2–م3 · الجهات المالية والحسابات والمفوّضون (2/3) (4 جداول)" title="الشكل 27: م2–م3 · الجهات المالية والحسابات والمفوّضون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553575" cy="35718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27: م2–م3 · الجهات المالية والحسابات والمفوّضون (2/3)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تغطية العلاقة (الطبقة الأولى): جهة اتصال بدور ورتبة وفترة (FR-INS-010، BR-INS-008/009)</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RelationshipContactId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منتج يُتعامل به ضمن علاقة مع جهة افتراضية وقناة (FR-INS-011..013، BR-INS-010)</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RelationshipProductId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acc.AuthorityConflict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نتيجة مقارنة صلاحية المفوّض بالحوكمة وقرار المراجع (S1-ب) (FR-ACC-018، BR-ACC-015)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AuthorityConflictId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حساب شركة لدى منشأة (FR-ACC-001..009، BR-ACC-001..006، BR-ACC-016)؛ الرقم وIBAN مشفّران بفهرس أعمى للفرادة</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BankAccountId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ContactId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DefaultContactId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acc.AuthorityConflict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SignatoryAuthorityId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acc.AuthorityConflict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ReviewedBy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 InstitutionId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AccountTypeId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cat.AccountType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MasterAccountId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 InstitutionId, CurrencyId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EncKeyId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EncKeyPurpose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HashKeyId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HashKeyPurpose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BranchUnitId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3.21 م2–م3 · الجهات المالية والحسابات والمفوّضون (3/3)</w:t>
      </w:r>
    </w:p>
    <w:p>
      <w:pPr>
        <w:keepNext/>
        <w:bidi/>
        <w:spacing w:after="60" w:before="0"/>
      </w:pPr>
      <w:r>
        <w:rPr>
          <w:rFonts w:ascii="Arial" w:cs="Arial" w:eastAsia="Arial" w:hAnsi="Arial"/>
          <w:b w:val="false"/>
          <w:bCs w:val="false"/>
          <w:i w:val="false"/>
          <w:iCs w:val="false"/>
          <w:color w:val="5B6670"/>
          <w:sz w:val="16"/>
          <w:szCs w:val="16"/>
          <w:rtl/>
        </w:rPr>
        <w:t xml:space="preserve">Institutions, bank accounts &amp; signatories</w:t>
      </w:r>
    </w:p>
    <w:p>
      <w:pPr>
        <w:keepNext/>
        <w:bidi/>
        <w:spacing w:after="60" w:before="60"/>
        <w:jc w:val="center"/>
      </w:pPr>
      <w:r>
        <w:drawing>
          <wp:inline distT="0" distB="0" distL="0" distR="0">
            <wp:extent cx="3505200" cy="5143500"/>
            <wp:effectExtent t="0" r="0" b="0" l="0"/>
            <wp:docPr id="1" name="diagrams/erd/m2_3_institutions_3.png" descr="الشكل 28: م2–م3 · الجهات المالية والحسابات والمفوّضون (3/3) (4 جداول)" title="الشكل 28: م2–م3 · الجهات المالية والحسابات والمفوّضون (3/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50520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28: م2–م3 · الجهات المالية والحسابات والمفوّضون (3/3)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حساب بتسهيل بغرض (S2) (FR-ACC-010، BR-ACC-007)؛ يُملأ من شاشة التسهيل</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FacilityAccountId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 شخص لدى علاقة (S1-ب) (FR-ACC-012، FR-ACC-023، BR-ACC-008/009) + إضافات docs/05 G-10</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SignatoryId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صلاحية المفوّض لعملية على حساب أو على البنك (S1-ب) (FR-ACC-013/014/017، BR-ACC-010/011)؛ لا تعديل في مكانه: الإغلاق والفتح؛ حالتها مشتقة فلا تُخزَّن</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SignatoryAuthorityId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acc.SignatoryAuthorityJointClass</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فئات التوقيع المطلوبة للتوقيع المشترك (JointClassIds) (BR-ACC-013)</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SignatoryAuthorityId, SignatureClassId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BankAccountId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PurposeId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SignatureClassId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PositionId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cat.Position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AuthorisationBasisId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CashWithdrawalCurrencyId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AuthorizationDocumentId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SpecimenDocumentId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SignatoryId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BankAccountId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RelationshipId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OperationTypeId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SignatoryId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acc.SignatoryAuthorityJointClass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SignatoryAuthorityId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acc.SignatoryAuthorityJointClass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SignatureClassId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3.22 م4 · المنتجات والرسوم والتمويل والضمانات (1/3)</w:t>
      </w:r>
    </w:p>
    <w:p>
      <w:pPr>
        <w:keepNext/>
        <w:bidi/>
        <w:spacing w:after="60" w:before="0"/>
      </w:pPr>
      <w:r>
        <w:rPr>
          <w:rFonts w:ascii="Arial" w:cs="Arial" w:eastAsia="Arial" w:hAnsi="Arial"/>
          <w:b w:val="false"/>
          <w:bCs w:val="false"/>
          <w:i w:val="false"/>
          <w:iCs w:val="false"/>
          <w:color w:val="5B6670"/>
          <w:sz w:val="16"/>
          <w:szCs w:val="16"/>
          <w:rtl/>
        </w:rPr>
        <w:t xml:space="preserve">Products, fees, financing &amp; collateral types</w:t>
      </w:r>
    </w:p>
    <w:p>
      <w:pPr>
        <w:keepNext/>
        <w:bidi/>
        <w:spacing w:after="60" w:before="60"/>
        <w:jc w:val="center"/>
      </w:pPr>
      <w:r>
        <w:drawing>
          <wp:inline distT="0" distB="0" distL="0" distR="0">
            <wp:extent cx="9553575" cy="2857500"/>
            <wp:effectExtent t="0" r="0" b="0" l="0"/>
            <wp:docPr id="1" name="diagrams/erd/m4_products_1.png" descr="الشكل 29: م4 · المنتجات والرسوم والتمويل والضمانات (1/3) (4 جداول)" title="الشكل 29: م4 · المنتجات والرسوم والتمويل والضمانات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553575" cy="2857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29: م4 · المنتجات والرسوم والتمويل والضمانات (1/3)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cat.ProductCategory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تصنيف المنتجات: مسطّح (FR-CAT-007)</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ProductCategoryId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المنتج البنكي بأعلامه (FR-CAT-007، BR-CAT-004)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المصروف: فئة عريضة لا بند تعرفة (FR-CAT-008، BR-CAT-005، Q-CAT-10)</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FeeTypeId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cat.FinancingType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التمويل (FR-CAT-009، BR-CAT-006)</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FinancingTypeId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ProductCategoryId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cat.ProductCategory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3.23 م4 · المنتجات والرسوم والتمويل والضمانات (2/3)</w:t>
      </w:r>
    </w:p>
    <w:p>
      <w:pPr>
        <w:keepNext/>
        <w:bidi/>
        <w:spacing w:after="60" w:before="0"/>
      </w:pPr>
      <w:r>
        <w:rPr>
          <w:rFonts w:ascii="Arial" w:cs="Arial" w:eastAsia="Arial" w:hAnsi="Arial"/>
          <w:b w:val="false"/>
          <w:bCs w:val="false"/>
          <w:i w:val="false"/>
          <w:iCs w:val="false"/>
          <w:color w:val="5B6670"/>
          <w:sz w:val="16"/>
          <w:szCs w:val="16"/>
          <w:rtl/>
        </w:rPr>
        <w:t xml:space="preserve">Products, fees, financing &amp; collateral types</w:t>
      </w:r>
    </w:p>
    <w:p>
      <w:pPr>
        <w:keepNext/>
        <w:bidi/>
        <w:spacing w:after="60" w:before="60"/>
        <w:jc w:val="center"/>
      </w:pPr>
      <w:r>
        <w:drawing>
          <wp:inline distT="0" distB="0" distL="0" distR="0">
            <wp:extent cx="9553575" cy="2228850"/>
            <wp:effectExtent t="0" r="0" b="0" l="0"/>
            <wp:docPr id="1" name="diagrams/erd/m4_products_2.png" descr="الشكل 30: م4 · المنتجات والرسوم والتمويل والضمانات (2/3) (4 جداول)" title="الشكل 30: م4 · المنتجات والرسوم والتمويل والضمانات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553575" cy="22288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30: م4 · المنتجات والرسوم والتمويل والضمانات (2/3)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cat.ProductFeeType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المصاريف المسموحة للمنتج؛ تعطيل الربط = حذفه ولا يمس قواعد تسعير قائمة (FR-CAT-010، BR-CAT-007)</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ProductFeeTypeId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cat.ProductFinancingType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أنواع التمويل المسموحة للمنتج (FR-CAT-010، BR-CAT-007)</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ProductFinancingTypeId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cat.FacilityType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التسهيل (FR-CAT-011)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الحد: رئيسي/جزئي (FR-CAT-012، BR-CAT-008)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cat.ProductFeeType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cat.ProductFeeType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FeeTypeId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cat.ProductFinancingType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cat.ProductFinancingType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FinancingTypeId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cat.FinancingType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ParentLimitTypeId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3.24 م4 · المنتجات والرسوم والتمويل والضمانات (3/3)</w:t>
      </w:r>
    </w:p>
    <w:p>
      <w:pPr>
        <w:keepNext/>
        <w:bidi/>
        <w:spacing w:after="60" w:before="0"/>
      </w:pPr>
      <w:r>
        <w:rPr>
          <w:rFonts w:ascii="Arial" w:cs="Arial" w:eastAsia="Arial" w:hAnsi="Arial"/>
          <w:b w:val="false"/>
          <w:bCs w:val="false"/>
          <w:i w:val="false"/>
          <w:iCs w:val="false"/>
          <w:color w:val="5B6670"/>
          <w:sz w:val="16"/>
          <w:szCs w:val="16"/>
          <w:rtl/>
        </w:rPr>
        <w:t xml:space="preserve">Products, fees, financing &amp; collateral types</w:t>
      </w:r>
    </w:p>
    <w:p>
      <w:pPr>
        <w:keepNext/>
        <w:bidi/>
        <w:spacing w:after="60" w:before="60"/>
        <w:jc w:val="center"/>
      </w:pPr>
      <w:r>
        <w:drawing>
          <wp:inline distT="0" distB="0" distL="0" distR="0">
            <wp:extent cx="9553575" cy="3505200"/>
            <wp:effectExtent t="0" r="0" b="0" l="0"/>
            <wp:docPr id="1" name="diagrams/erd/m4_products_3.png" descr="الشكل 31: م4 · المنتجات والرسوم والتمويل والضمانات (3/3) (4 جداول)" title="الشكل 31: م4 · المنتجات والرسوم والتمويل والضمانات (3/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9553575" cy="35052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31: م4 · المنتجات والرسوم والتمويل والضمانات (3/3)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cat.LimitTypeProduct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المنتجات المسموحة لنوع الحد؛ غياب الصفوف = أي منتج بعلامة ظاهرة (BR-CAT-008)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LimitTypeId, ProductId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الضمان بنوع بنية وقالب سمات (FR-CAT-013)</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CollateralTypeId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cat.CollateralTypeAttribute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سمة في قالب نوع الضمان؛ لا تُحذف بل تُرمَّز Retired (BR-CAT-009)</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CollateralTypeAttributeId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cat.ObligationType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الالتزام بأربع عائلات (FR-CAT-014، BR-CAT-010)</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ObligationTypeId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cat.LimitTypeProduct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cat.LimitTypeProduct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cat.CollateralTypeAttribute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3.25 م4 · الكتالوجات المرجعية (1/2)</w:t>
      </w:r>
    </w:p>
    <w:p>
      <w:pPr>
        <w:keepNext/>
        <w:bidi/>
        <w:spacing w:after="60" w:before="0"/>
      </w:pPr>
      <w:r>
        <w:rPr>
          <w:rFonts w:ascii="Arial" w:cs="Arial" w:eastAsia="Arial" w:hAnsi="Arial"/>
          <w:b w:val="false"/>
          <w:bCs w:val="false"/>
          <w:i w:val="false"/>
          <w:iCs w:val="false"/>
          <w:color w:val="5B6670"/>
          <w:sz w:val="16"/>
          <w:szCs w:val="16"/>
          <w:rtl/>
        </w:rPr>
        <w:t xml:space="preserve">Reference catalogues</w:t>
      </w:r>
    </w:p>
    <w:p>
      <w:pPr>
        <w:keepNext/>
        <w:bidi/>
        <w:spacing w:after="60" w:before="60"/>
        <w:jc w:val="center"/>
      </w:pPr>
      <w:r>
        <w:drawing>
          <wp:inline distT="0" distB="0" distL="0" distR="0">
            <wp:extent cx="9553575" cy="866775"/>
            <wp:effectExtent t="0" r="0" b="0" l="0"/>
            <wp:docPr id="1" name="diagrams/erd/m4_reference_1.png" descr="الشكل 32: م4 · الكتالوجات المرجعية (1/2) (4 جداول)" title="الشكل 32: م4 · الكتالوجات المرجعية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9553575" cy="8667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32: م4 · الكتالوجات المرجعية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cat.TenantCurrency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العملات المفعّلة للمشترك: تفعيل مجموعة جزئية من المرجع العالمي (FR-CAT-023، Q-CAT-08)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CurrencyId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cat.InstitutionType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المنشأة المالية: بنك، شركة تمويل، استثمارية، مالية، فرد (FR-INS-001)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cat.AccountType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الحساب (FR-ACC-001)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AccountTypeId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الشكل القانوني: الكيان وسماته يعرّفها 10 (FR-ORG-002، BR-CAT-017) وتبذره هذه الوحدة؛ أعمدة الكتالوج مكتوبة يدويًا لأن فرادة الرمز بالدولة (10 §6.2) لا فرادته وحده</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LegalEntityTypeId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cat.TenantCurrency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3.26 م4 · الكتالوجات المرجعية (2/2)</w:t>
      </w:r>
    </w:p>
    <w:p>
      <w:pPr>
        <w:keepNext/>
        <w:bidi/>
        <w:spacing w:after="60" w:before="0"/>
      </w:pPr>
      <w:r>
        <w:rPr>
          <w:rFonts w:ascii="Arial" w:cs="Arial" w:eastAsia="Arial" w:hAnsi="Arial"/>
          <w:b w:val="false"/>
          <w:bCs w:val="false"/>
          <w:i w:val="false"/>
          <w:iCs w:val="false"/>
          <w:color w:val="5B6670"/>
          <w:sz w:val="16"/>
          <w:szCs w:val="16"/>
          <w:rtl/>
        </w:rPr>
        <w:t xml:space="preserve">Reference catalogues</w:t>
      </w:r>
    </w:p>
    <w:p>
      <w:pPr>
        <w:keepNext/>
        <w:bidi/>
        <w:spacing w:after="60" w:before="60"/>
        <w:jc w:val="center"/>
      </w:pPr>
      <w:r>
        <w:drawing>
          <wp:inline distT="0" distB="0" distL="0" distR="0">
            <wp:extent cx="9553575" cy="885825"/>
            <wp:effectExtent t="0" r="0" b="0" l="0"/>
            <wp:docPr id="1" name="diagrams/erd/m4_reference_2.png" descr="الشكل 33: م4 · الكتالوجات المرجعية (2/2) (3 جداول)" title="الشكل 33: م4 · الكتالوجات المرجعية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553575" cy="8858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33: م4 · الكتالوجات المرجعية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cat.DocumentType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الوثيقة؛ يطبّق 10 أعلامه عند الرفع (FR-CAT-018، BR-CAT-016، FR-PLT-028)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DocumentTypeId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cat.Position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المنصب: السمات يعرّفها 10 §6.2 وحده وتبذر هذه الوحدة صفوفه (FR-CAT-019، BR-CAT-017)؛ SortOrder من أساس الكتالوج</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PositionId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cat.PowerType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الصلاحية: السمات يعرّفها 10 §6.2 وحده وتبذر هذه الوحدة صفوفه (FR-CAT-019، FR-ORG-024)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PowerTypeId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p>
      <w:pPr>
        <w:keepNext w:val="false"/>
        <w:bidi/>
        <w:spacing w:after="110" w:before="0" w:line="300"/>
      </w:pPr>
      <w:r>
        <w:rPr>
          <w:rFonts w:ascii="Arial" w:cs="Arial" w:eastAsia="Arial" w:hAnsi="Arial"/>
          <w:b w:val="false"/>
          <w:bCs w:val="false"/>
          <w:i/>
          <w:iCs/>
          <w:color w:val="5B6670"/>
          <w:sz w:val="16"/>
          <w:szCs w:val="16"/>
          <w:rtl/>
        </w:rPr>
        <w:t xml:space="preserve">لا توجد مفاتيح أجنبية عملية لجداول هذه المجموعة.</w:t>
      </w:r>
    </w:p>
    <w:p>
      <w:pPr>
        <w:pStyle w:val="Heading2"/>
        <w:bidi/>
      </w:pPr>
      <w:r>
        <w:rPr>
          <w:rFonts w:ascii="Arial" w:cs="Arial" w:eastAsia="Arial" w:hAnsi="Arial"/>
          <w:b/>
          <w:bCs/>
          <w:color w:val="2B5C8A"/>
          <w:sz w:val="26"/>
          <w:szCs w:val="26"/>
          <w:rtl/>
        </w:rPr>
        <w:t xml:space="preserve">3.27 م4 · الأسعار المرجعية والقوائم (1/2)</w:t>
      </w:r>
    </w:p>
    <w:p>
      <w:pPr>
        <w:keepNext/>
        <w:bidi/>
        <w:spacing w:after="60" w:before="0"/>
      </w:pPr>
      <w:r>
        <w:rPr>
          <w:rFonts w:ascii="Arial" w:cs="Arial" w:eastAsia="Arial" w:hAnsi="Arial"/>
          <w:b w:val="false"/>
          <w:bCs w:val="false"/>
          <w:i w:val="false"/>
          <w:iCs w:val="false"/>
          <w:color w:val="5B6670"/>
          <w:sz w:val="16"/>
          <w:szCs w:val="16"/>
          <w:rtl/>
        </w:rPr>
        <w:t xml:space="preserve">Base rates &amp; lookup lists</w:t>
      </w:r>
    </w:p>
    <w:p>
      <w:pPr>
        <w:keepNext/>
        <w:bidi/>
        <w:spacing w:after="60" w:before="60"/>
        <w:jc w:val="center"/>
      </w:pPr>
      <w:r>
        <w:drawing>
          <wp:inline distT="0" distB="0" distL="0" distR="0">
            <wp:extent cx="8286750" cy="4867275"/>
            <wp:effectExtent t="0" r="0" b="0" l="0"/>
            <wp:docPr id="1" name="diagrams/erd/m4_rates_lookups_1.png" descr="الشكل 34: م4 · الأسعار المرجعية والقوائم (1/2) (4 جداول)" title="الشكل 34: م4 · الأسعار المرجعية والقوائم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286750" cy="48672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34: م4 · الأسعار المرجعية والقوائم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العملية البنكية المفوَّض بها (FR-ACC-013، BR-CAT-014)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OperationTypeId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cat.OperationTypePowerType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عملية بنوع/أنواع صلاحية حوكمة؛ «أي واحد يكفي» (BR-CAT-014، FR-CAT-019، Q-ACC-05)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OperationTypeId, PowerTypeId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سعر الأساس: سوق (InstitutionId فارغ) أو داخلي لبنك (FR-CAT-015، BR-CAT-011)؛ الأسماء البديلة في BaseRateAlias</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BaseRateId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cat.BaseRateAlias</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اسم بديل لسعر أساس (SIBOR ≡ SAIBOR) بحث بلا حساسية حالة وفريد ضمن النطاق (BR-CAT-011، FR-CAT-015)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BaseRateAliasId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cat.OperationTypePowerType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OperationTypeId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cat.OperationTypePowerType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PowerTypeId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cat.PowerType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cat.BaseRateAlias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BaseRateId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Tenor</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cat.BaseRateAlias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3.28 م4 · الأسعار المرجعية والقوائم (2/2)</w:t>
      </w:r>
    </w:p>
    <w:p>
      <w:pPr>
        <w:keepNext/>
        <w:bidi/>
        <w:spacing w:after="60" w:before="0"/>
      </w:pPr>
      <w:r>
        <w:rPr>
          <w:rFonts w:ascii="Arial" w:cs="Arial" w:eastAsia="Arial" w:hAnsi="Arial"/>
          <w:b w:val="false"/>
          <w:bCs w:val="false"/>
          <w:i w:val="false"/>
          <w:iCs w:val="false"/>
          <w:color w:val="5B6670"/>
          <w:sz w:val="16"/>
          <w:szCs w:val="16"/>
          <w:rtl/>
        </w:rPr>
        <w:t xml:space="preserve">Base rates &amp; lookup lists</w:t>
      </w:r>
    </w:p>
    <w:p>
      <w:pPr>
        <w:keepNext/>
        <w:bidi/>
        <w:spacing w:after="60" w:before="60"/>
        <w:jc w:val="center"/>
      </w:pPr>
      <w:r>
        <w:drawing>
          <wp:inline distT="0" distB="0" distL="0" distR="0">
            <wp:extent cx="7715250" cy="4448175"/>
            <wp:effectExtent t="0" r="0" b="0" l="0"/>
            <wp:docPr id="1" name="diagrams/erd/m4_rates_lookups_2.png" descr="الشكل 35: م4 · الأسعار المرجعية والقوائم (2/2) (3 جداول)" title="الشكل 35: م4 · الأسعار المرجعية والقوائم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7715250" cy="44481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35: م4 · الأسعار المرجعية والقوائم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سعر الأساس بتاريخ سريان؛ لا حذف: التصحيح صف جديد والقديم SUPERSEDED (FR-CAT-016، BR-CAT-012/013)</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BaseRateValueId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cat.LookupList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قائمة قيم مملوكة للمشترك (FR-CAT-020، BR-CAT-015)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LookupListId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في قائمة قيم مملوك للمشترك (FR-CAT-020)</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LookupItemId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BaseRateId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BaseRateId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EnteredBy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LookupListId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cat.LookupList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3.29 م4 · المراجع العامة (ref)</w:t>
      </w:r>
    </w:p>
    <w:p>
      <w:pPr>
        <w:keepNext/>
        <w:bidi/>
        <w:spacing w:after="60" w:before="0"/>
      </w:pPr>
      <w:r>
        <w:rPr>
          <w:rFonts w:ascii="Arial" w:cs="Arial" w:eastAsia="Arial" w:hAnsi="Arial"/>
          <w:b w:val="false"/>
          <w:bCs w:val="false"/>
          <w:i w:val="false"/>
          <w:iCs w:val="false"/>
          <w:color w:val="5B6670"/>
          <w:sz w:val="16"/>
          <w:szCs w:val="16"/>
          <w:rtl/>
        </w:rPr>
        <w:t xml:space="preserve">Global references (shared, read-only)</w:t>
      </w:r>
    </w:p>
    <w:p>
      <w:pPr>
        <w:keepNext/>
        <w:bidi/>
        <w:spacing w:after="60" w:before="60"/>
        <w:jc w:val="center"/>
      </w:pPr>
      <w:r>
        <w:drawing>
          <wp:inline distT="0" distB="0" distL="0" distR="0">
            <wp:extent cx="9553575" cy="685800"/>
            <wp:effectExtent t="0" r="0" b="0" l="0"/>
            <wp:docPr id="1" name="diagrams/erd/m4_global_ref.png" descr="الشكل 36: م4 · المراجع العامة (ref) (4 جداول)" title="الشكل 36: م4 · المراجع العامة (ref)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9553575" cy="6858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36: م4 · المراجع العامة (ref)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الدولة: مرجع عالمي للقراءة فقط يديره مشغّل المنصة (FR-CAT-026، BR-CAT-018، BR-CAT-015)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CountryId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العملة: مرجع عالمي ISO 4217 للقراءة فقط (FR-CAT-021، Q-CAT-08)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ref.Incoterm</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مصطلح تسليم Incoterms: مرجع عالمي للقراءة فقط يديره المشغّل؛ القديم LEGACY للعرض لا للاختيار (FR-LCT-013، FR-CAT-021، BR-CAT-015)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IncotermId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مادة UCP 600 مرجعية: TenantId الفارغ = صف عام للقراءة فقط ينشره المشغّل وحده (FR-LCT-006، BR-LCT-018، BR-PLT-001)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UcpArticleId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3.30 م5 · التسهيلات والمراجعات (1/2)</w:t>
      </w:r>
    </w:p>
    <w:p>
      <w:pPr>
        <w:keepNext/>
        <w:bidi/>
        <w:spacing w:after="60" w:before="0"/>
      </w:pPr>
      <w:r>
        <w:rPr>
          <w:rFonts w:ascii="Arial" w:cs="Arial" w:eastAsia="Arial" w:hAnsi="Arial"/>
          <w:b w:val="false"/>
          <w:bCs w:val="false"/>
          <w:i w:val="false"/>
          <w:iCs w:val="false"/>
          <w:color w:val="5B6670"/>
          <w:sz w:val="16"/>
          <w:szCs w:val="16"/>
          <w:rtl/>
        </w:rPr>
        <w:t xml:space="preserve">Facilities &amp; revisions</w:t>
      </w:r>
    </w:p>
    <w:p>
      <w:pPr>
        <w:keepNext/>
        <w:bidi/>
        <w:spacing w:after="60" w:before="60"/>
        <w:jc w:val="center"/>
      </w:pPr>
      <w:r>
        <w:drawing>
          <wp:inline distT="0" distB="0" distL="0" distR="0">
            <wp:extent cx="9458325" cy="5143500"/>
            <wp:effectExtent t="0" r="0" b="0" l="0"/>
            <wp:docPr id="1" name="diagrams/erd/m5_facility_core_1.png" descr="الشكل 37: م5 · التسهيلات والمراجعات (1/2) (4 جداول)" title="الشكل 37: م5 · التسهيلات والمراجع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945832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37: م5 · التسهيلات والمراجعات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حزمة الاتفاقية الائتمانية: جذر التجميعة (FR-FAC-001..008، BR-FAC-001/005/006)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مراجعة معدّ/معتمِد لشروط التسهيل (FR-FAC-024، BR-FAC-003/004، §8)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FacilityRevisionId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وثيقة ضمن الحزمة بأسبقية (FR-FAC-004، BR-FAC-008، V-FAC-03)؛ نوعها من doc.Document.DocumentTypeId</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FacilityDocumentId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مقرض وحصته (FR-FAC-003، BR-FAC-007، V-FAC-02)؛ مجموع الحصص 100 ووكيل واحد يتحقق منهما التطبيق</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FacilityLenderId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BorrowerCompanyId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cat.FacilityType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PreviousFacilityId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SubmittedBy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AmendsFacilityDocumentId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ContactId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InstitutionId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3.31 م5 · التسهيلات والمراجعات (2/2)</w:t>
      </w:r>
    </w:p>
    <w:p>
      <w:pPr>
        <w:keepNext/>
        <w:bidi/>
        <w:spacing w:after="60" w:before="0"/>
      </w:pPr>
      <w:r>
        <w:rPr>
          <w:rFonts w:ascii="Arial" w:cs="Arial" w:eastAsia="Arial" w:hAnsi="Arial"/>
          <w:b w:val="false"/>
          <w:bCs w:val="false"/>
          <w:i w:val="false"/>
          <w:iCs w:val="false"/>
          <w:color w:val="5B6670"/>
          <w:sz w:val="16"/>
          <w:szCs w:val="16"/>
          <w:rtl/>
        </w:rPr>
        <w:t xml:space="preserve">Facilities &amp; revisions</w:t>
      </w:r>
    </w:p>
    <w:p>
      <w:pPr>
        <w:keepNext/>
        <w:bidi/>
        <w:spacing w:after="60" w:before="60"/>
        <w:jc w:val="center"/>
      </w:pPr>
      <w:r>
        <w:drawing>
          <wp:inline distT="0" distB="0" distL="0" distR="0">
            <wp:extent cx="8639175" cy="2800350"/>
            <wp:effectExtent t="0" r="0" b="0" l="0"/>
            <wp:docPr id="1" name="diagrams/erd/m5_facility_core_2.png" descr="الشكل 38: م5 · التسهيلات والمراجعات (2/2) (جدولان)" title="الشكل 38: م5 · التسهيلات والمراجعات (2/2) (جدول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639175" cy="28003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38: م5 · التسهيلات والمراجعات (2/2) (جدولان)</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لقطة الرصيد المعترف به (FR-FAC-009، BR-FAC-017)؛ PctOfLimit مشتق لا يُخزَّن</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OutstandingSnapshotId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تعارض قيمتين لحقل واحد وحسمه (FR-FAC-026، BR-FAC-019، BR-FAC-008)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ValueConflictId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CandidateASourceDocumentId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CandidateBSourceDocumentId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ResolvedBy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3.32 م5 · الحدود والاستخدام والحجوزات (1/2)</w:t>
      </w:r>
    </w:p>
    <w:p>
      <w:pPr>
        <w:keepNext/>
        <w:bidi/>
        <w:spacing w:after="60" w:before="0"/>
      </w:pPr>
      <w:r>
        <w:rPr>
          <w:rFonts w:ascii="Arial" w:cs="Arial" w:eastAsia="Arial" w:hAnsi="Arial"/>
          <w:b w:val="false"/>
          <w:bCs w:val="false"/>
          <w:i w:val="false"/>
          <w:iCs w:val="false"/>
          <w:color w:val="5B6670"/>
          <w:sz w:val="16"/>
          <w:szCs w:val="16"/>
          <w:rtl/>
        </w:rPr>
        <w:t xml:space="preserve">Limits, utilisation &amp; reservations</w:t>
      </w:r>
    </w:p>
    <w:p>
      <w:pPr>
        <w:keepNext/>
        <w:bidi/>
        <w:spacing w:after="60" w:before="60"/>
        <w:jc w:val="center"/>
      </w:pPr>
      <w:r>
        <w:drawing>
          <wp:inline distT="0" distB="0" distL="0" distR="0">
            <wp:extent cx="6553200" cy="5143500"/>
            <wp:effectExtent t="0" r="0" b="0" l="0"/>
            <wp:docPr id="1" name="diagrams/erd/m5_limits_1.png" descr="الشكل 39: م5 · الحدود والاستخدام والحجوزات (1/2) (4 جداول)" title="الشكل 39: م5 · الحدود والاستخدام والحجوز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55320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39: م5 · الحدود والاستخدام والحجوزات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عقدة شجرة الحدود (FR-FAC-010/011، BR-FAC-009/010، V-FAC-04..07)</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خط منتج داخل حد: سقف اختياري SHARED_CAP دائمًا (FR-FAC-012، V-FAC-08)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LimitProductLineId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قيد شركة على حد: مسموح/مستثنى/تخصيص (FR-FAC-013، BR-FAC-012، V-FAC-09)</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LimitCompanyRuleId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شروط العملية لخط المنتج بتواريخ سريان؛ الفارغ = «غير محدد» لا صفر (FR-FAC-014، BR-FAC-016)</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ProductLineTermId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ParentLimitId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3.33 م5 · الحدود والاستخدام والحجوزات (2/2)</w:t>
      </w:r>
    </w:p>
    <w:p>
      <w:pPr>
        <w:keepNext/>
        <w:bidi/>
        <w:spacing w:after="60" w:before="0"/>
      </w:pPr>
      <w:r>
        <w:rPr>
          <w:rFonts w:ascii="Arial" w:cs="Arial" w:eastAsia="Arial" w:hAnsi="Arial"/>
          <w:b w:val="false"/>
          <w:bCs w:val="false"/>
          <w:i w:val="false"/>
          <w:iCs w:val="false"/>
          <w:color w:val="5B6670"/>
          <w:sz w:val="16"/>
          <w:szCs w:val="16"/>
          <w:rtl/>
        </w:rPr>
        <w:t xml:space="preserve">Limits, utilisation &amp; reservations</w:t>
      </w:r>
    </w:p>
    <w:p>
      <w:pPr>
        <w:keepNext/>
        <w:bidi/>
        <w:spacing w:after="60" w:before="60"/>
        <w:jc w:val="center"/>
      </w:pPr>
      <w:r>
        <w:drawing>
          <wp:inline distT="0" distB="0" distL="0" distR="0">
            <wp:extent cx="2419350" cy="5143500"/>
            <wp:effectExtent t="0" r="0" b="0" l="0"/>
            <wp:docPr id="1" name="diagrams/erd/m5_limits_2.png" descr="الشكل 40: م5 · الحدود والاستخدام والحجوزات (2/2) (3 جداول)" title="الشكل 40: م5 · الحدود والاستخدام والحجوز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41935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40: م5 · الحدود والاستخدام والحجوزات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استخدام فعّال: يدوي أو مرتبط باعتماد مستندي؛ لا حذف (FR-FAC-016/030، BR-FAC-013/020)</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UtilizationId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حجز مبلغ لطلب = ExposureAmount (FR-FAC-017/018/020، BR-FAC-015)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LimitReservationId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حركة على حجز أو استخدام؛ لا تعديل ولا حذف؛ مفتاح عدم التكرار (BR-FAC-015/020)</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LimitMovementId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ConvertedUtilizationId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LimitReservationId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UtilizationId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ActorUserId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3.34 م5 · التسعير وشروط المقارنة (1/2)</w:t>
      </w:r>
    </w:p>
    <w:p>
      <w:pPr>
        <w:keepNext/>
        <w:bidi/>
        <w:spacing w:after="60" w:before="0"/>
      </w:pPr>
      <w:r>
        <w:rPr>
          <w:rFonts w:ascii="Arial" w:cs="Arial" w:eastAsia="Arial" w:hAnsi="Arial"/>
          <w:b w:val="false"/>
          <w:bCs w:val="false"/>
          <w:i w:val="false"/>
          <w:iCs w:val="false"/>
          <w:color w:val="5B6670"/>
          <w:sz w:val="16"/>
          <w:szCs w:val="16"/>
          <w:rtl/>
        </w:rPr>
        <w:t xml:space="preserve">Pricing, tariffs &amp; comparable terms</w:t>
      </w:r>
    </w:p>
    <w:p>
      <w:pPr>
        <w:keepNext/>
        <w:bidi/>
        <w:spacing w:after="60" w:before="60"/>
        <w:jc w:val="center"/>
      </w:pPr>
      <w:r>
        <w:drawing>
          <wp:inline distT="0" distB="0" distL="0" distR="0">
            <wp:extent cx="1343025" cy="5143500"/>
            <wp:effectExtent t="0" r="0" b="0" l="0"/>
            <wp:docPr id="1" name="diagrams/erd/m5_pricing_1.png" descr="الشكل 41: م5 · التسعير وشروط المقارنة (1/2) (4 جداول)" title="الشكل 41: م5 · التسعير وشروط المقارنة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34302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41: م5 · التسعير وشروط المقارنة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تسعير بنطاق ووراثة وطرق (FR-PRC-006..017، BR-PRC-006..012، V-PRC-02)</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PricingRuleId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شريحة قاعدة TIERED بالمبلغ و/أو المدة (FR-PRC-003، BR-PRC-002)</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PricingTierId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رسم في جدول التعرفة (FR-PRC-002، BR-PRC-002..005)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TariffItemId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جدول رسوم لبنك؛ خاص بتسهيل اختياريًا (FR-PRC-001، BR-PRC-001، V-PRC-01)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TariffScheduleId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ScopeLimitId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ScopeLimitProductLineId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ScopeLimitId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ScopeProductId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FeeTypeId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FinancingTypeId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cat.FinancingType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TariffItemId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BaseRateId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PricingRuleId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ScheduleId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FeeTypeId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3.35 م5 · التسعير وشروط المقارنة (2/2)</w:t>
      </w:r>
    </w:p>
    <w:p>
      <w:pPr>
        <w:keepNext/>
        <w:bidi/>
        <w:spacing w:after="60" w:before="0"/>
      </w:pPr>
      <w:r>
        <w:rPr>
          <w:rFonts w:ascii="Arial" w:cs="Arial" w:eastAsia="Arial" w:hAnsi="Arial"/>
          <w:b w:val="false"/>
          <w:bCs w:val="false"/>
          <w:i w:val="false"/>
          <w:iCs w:val="false"/>
          <w:color w:val="5B6670"/>
          <w:sz w:val="16"/>
          <w:szCs w:val="16"/>
          <w:rtl/>
        </w:rPr>
        <w:t xml:space="preserve">Pricing, tariffs &amp; comparable terms</w:t>
      </w:r>
    </w:p>
    <w:p>
      <w:pPr>
        <w:keepNext/>
        <w:bidi/>
        <w:spacing w:after="60" w:before="60"/>
        <w:jc w:val="center"/>
      </w:pPr>
      <w:r>
        <w:drawing>
          <wp:inline distT="0" distB="0" distL="0" distR="0">
            <wp:extent cx="5791200" cy="5143500"/>
            <wp:effectExtent t="0" r="0" b="0" l="0"/>
            <wp:docPr id="1" name="diagrams/erd/m5_pricing_2.png" descr="الشكل 42: م5 · التسعير وشروط المقارنة (2/2) (3 جداول)" title="الشكل 42: م5 · التسعير وشروط المقارنة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9120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42: م5 · التسعير وشروط المقارنة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prc.TariffTier</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شريحة بند تعرفة بالمبلغ و/أو المدة (FR-PRC-003، BR-PRC-002)</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TariffTierId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cmp</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مفتاح شرط قابل للمقارنة (FR-CMP-001)؛ الرمز بنمط PRC.MARGIN_PCT؛ النظامي لا يُحذف ولا تتغير وحدته (IsSystem)</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TermTypeId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cmp</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شرط في تسهيل بنطاقها ومصدرها (FR-CMP-002..006، BR-CMP-001..006، V-CMP-01)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TermValueId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prc.TariffTier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TariffItemId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TermTypeId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3.36 م5 · الضمانات (1/2)</w:t>
      </w:r>
    </w:p>
    <w:p>
      <w:pPr>
        <w:keepNext/>
        <w:bidi/>
        <w:spacing w:after="60" w:before="0"/>
      </w:pPr>
      <w:r>
        <w:rPr>
          <w:rFonts w:ascii="Arial" w:cs="Arial" w:eastAsia="Arial" w:hAnsi="Arial"/>
          <w:b w:val="false"/>
          <w:bCs w:val="false"/>
          <w:i w:val="false"/>
          <w:iCs w:val="false"/>
          <w:color w:val="5B6670"/>
          <w:sz w:val="16"/>
          <w:szCs w:val="16"/>
          <w:rtl/>
        </w:rPr>
        <w:t xml:space="preserve">Collateral &amp; guarantees</w:t>
      </w:r>
    </w:p>
    <w:p>
      <w:pPr>
        <w:keepNext/>
        <w:bidi/>
        <w:spacing w:after="60" w:before="60"/>
        <w:jc w:val="center"/>
      </w:pPr>
      <w:r>
        <w:drawing>
          <wp:inline distT="0" distB="0" distL="0" distR="0">
            <wp:extent cx="9553575" cy="4733925"/>
            <wp:effectExtent t="0" r="0" b="0" l="0"/>
            <wp:docPr id="1" name="diagrams/erd/m5_collateral_1.png" descr="الشكل 43: م5 · الضمانات (1/2) (4 جداول)" title="الشكل 43: م5 · الضمان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9553575" cy="47339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43: م5 · الضمانات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ضمان؛ اعتماد مستقل عن مراجعة التسهيل، والتعديل يُنشئ إصدارًا جديدًا (FR-COL-001/014، V-COL-01،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CollateralId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ضمان بتسهيل أو حد؛ ضمان واحد لعدة تسهيلات (FR-COL-002، BR-COL-005)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CollateralLinkId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كفالة 1:1 مع Collateral؛ الكفيل Party دائمًا ولا أرقام هوية هنا (FR-COL-003/004، BR-COL-001)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GuaranteeId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تجيير وثيقة تأمين؛ مفتاح الفرادة (CollateralId,PolicyNo) يسمح بتجديد الوثيقة (FR-COL-006، BR-COL-003)</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InsurancePolicyAssignmentId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OwnerPartyId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CashMarginAccountId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ReleaseDocumentId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GuarantorPartyId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GuarantorIdentityDocumentId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DeedDocumentId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AssignedToInstitutionId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PolicyDocumentId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3.37 م5 · الضمانات (2/2)</w:t>
      </w:r>
    </w:p>
    <w:p>
      <w:pPr>
        <w:keepNext/>
        <w:bidi/>
        <w:spacing w:after="60" w:before="0"/>
      </w:pPr>
      <w:r>
        <w:rPr>
          <w:rFonts w:ascii="Arial" w:cs="Arial" w:eastAsia="Arial" w:hAnsi="Arial"/>
          <w:b w:val="false"/>
          <w:bCs w:val="false"/>
          <w:i w:val="false"/>
          <w:iCs w:val="false"/>
          <w:color w:val="5B6670"/>
          <w:sz w:val="16"/>
          <w:szCs w:val="16"/>
          <w:rtl/>
        </w:rPr>
        <w:t xml:space="preserve">Collateral &amp; guarantees</w:t>
      </w:r>
    </w:p>
    <w:p>
      <w:pPr>
        <w:keepNext/>
        <w:bidi/>
        <w:spacing w:after="60" w:before="60"/>
        <w:jc w:val="center"/>
      </w:pPr>
      <w:r>
        <w:drawing>
          <wp:inline distT="0" distB="0" distL="0" distR="0">
            <wp:extent cx="8467725" cy="5143500"/>
            <wp:effectExtent t="0" r="0" b="0" l="0"/>
            <wp:docPr id="1" name="diagrams/erd/m5_collateral_2.png" descr="الشكل 44: م5 · الضمانات (2/2) (3 جداول)" title="الشكل 44: م5 · الضمان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846772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44: م5 · الضمانات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سند لأمر 1:1؛ مبلغ مستقل قد يفوق الحد (FR-COL-005، BR-COL-002)؛ NextRenewalDue وPNRatio مشتقان</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PromissoryNoteId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col.PromissoryNoteSigner</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موقّعو السند (SignerPartyIds)</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PromissoryNoteId, PartyId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col.ValuationSchedule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مراحل تقييم عقار (FR-COL-008، BR-COL-004)؛ مثل 3 مقيّمين في السنة الأولى ثم مقيّم سنويًا</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ValuationScheduleId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NoteDocumentId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col.PromissoryNoteSigner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PromissoryNoteId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col.PromissoryNoteSigner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col.ValuationSchedule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CollateralId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col.ValuationSchedule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3.38 م5 · الالتزامات والتعهدات (1/2)</w:t>
      </w:r>
    </w:p>
    <w:p>
      <w:pPr>
        <w:keepNext/>
        <w:bidi/>
        <w:spacing w:after="60" w:before="0"/>
      </w:pPr>
      <w:r>
        <w:rPr>
          <w:rFonts w:ascii="Arial" w:cs="Arial" w:eastAsia="Arial" w:hAnsi="Arial"/>
          <w:b w:val="false"/>
          <w:bCs w:val="false"/>
          <w:i w:val="false"/>
          <w:iCs w:val="false"/>
          <w:color w:val="5B6670"/>
          <w:sz w:val="16"/>
          <w:szCs w:val="16"/>
          <w:rtl/>
        </w:rPr>
        <w:t xml:space="preserve">Obligations, covenants &amp; reporting</w:t>
      </w:r>
    </w:p>
    <w:p>
      <w:pPr>
        <w:keepNext/>
        <w:bidi/>
        <w:spacing w:after="60" w:before="60"/>
        <w:jc w:val="center"/>
      </w:pPr>
      <w:r>
        <w:drawing>
          <wp:inline distT="0" distB="0" distL="0" distR="0">
            <wp:extent cx="4143375" cy="5143500"/>
            <wp:effectExtent t="0" r="0" b="0" l="0"/>
            <wp:docPr id="1" name="diagrams/erd/m5_obligations_1.png" descr="الشكل 45: م5 · الالتزامات والتعهدات (1/2) (4 جداول)" title="الشكل 45: م5 · الالتزامات والتعهد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4337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45: م5 · الالتزامات والتعهدات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تعهد بتواريخ؛ الحدود المتدرجة = عدة نسخ (FR-OBL-006، BR-OBL-001/005/006، Q-OBL-01)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CovenantId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obl.CovenantAccount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الحسابات المشمولة بالتعهد عند اختيار حسابات محددة (AccountIds)</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CovenantId, BankAccountId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تقييم تعهد لفترة وإصدار تقييم؛ يمنع التطبيق تعديل التقييم المخزَّن (FR-OBL-011، FR-FIN-012/013، BR-OBL-006/007،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CovenantTestId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التزام على تسهيل (أو حد/خط/شركات)؛ العائلة من ObligationType ولا تُحرَّر (FR-OBL-001، BR-OBL-001)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ObligationId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FormulaId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TestedCompanyId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obl.CovenantAccount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CovenantId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obl.CovenantAccount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BankAccountId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CovenantId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EvaluatedBy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EvidenceDocumentId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ReviewedBy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cat.ObligationType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ScopeLimitId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ScopeProductLineId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ParamCurrencyId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3.39 م5 · الالتزامات والتعهدات (2/2)</w:t>
      </w:r>
    </w:p>
    <w:p>
      <w:pPr>
        <w:keepNext/>
        <w:bidi/>
        <w:spacing w:after="60" w:before="0"/>
      </w:pPr>
      <w:r>
        <w:rPr>
          <w:rFonts w:ascii="Arial" w:cs="Arial" w:eastAsia="Arial" w:hAnsi="Arial"/>
          <w:b w:val="false"/>
          <w:bCs w:val="false"/>
          <w:i w:val="false"/>
          <w:iCs w:val="false"/>
          <w:color w:val="5B6670"/>
          <w:sz w:val="16"/>
          <w:szCs w:val="16"/>
          <w:rtl/>
        </w:rPr>
        <w:t xml:space="preserve">Obligations, covenants &amp; reporting</w:t>
      </w:r>
    </w:p>
    <w:p>
      <w:pPr>
        <w:keepNext/>
        <w:bidi/>
        <w:spacing w:after="60" w:before="60"/>
        <w:jc w:val="center"/>
      </w:pPr>
      <w:r>
        <w:drawing>
          <wp:inline distT="0" distB="0" distL="0" distR="0">
            <wp:extent cx="4495800" cy="5143500"/>
            <wp:effectExtent t="0" r="0" b="0" l="0"/>
            <wp:docPr id="1" name="diagrams/erd/m5_obligations_2.png" descr="الشكل 46: م5 · الالتزامات والتعهدات (2/2) (4 جداول)" title="الشكل 46: م5 · الالتزامات والتعهدات (2/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49580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46: م5 · الالتزامات والتعهدات (2/2)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خرق وعلاجه وتنازله (FR-OBL-012، BR-OBL-009/011،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ObligationBreachId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obl.ObligationCompany</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الشركات التي ينطبق عليها الالتزام (AppliesToCompanyIds)</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TenantId, ObligationId, CompanyId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أجندة مولَّد أو مسجَّل لحدث (FR-OBL-003..005، BR-OBL-003، §8)؛ DUE_SOON/OVERDUE مشتقتان</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ReportingInstanceId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استحقاق تقرير/إخطار 1:1 مع Obligation (FR-OBL-002/003، BR-OBL-002، V-OBL-01)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ReportingObligationId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CovenantTestId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ReportingInstanceId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WaiverBankContactId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WaiverDocumentId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obl.ObligationCompany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obl.ObligationCompany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ReportingObligationId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SubmissionChannelUsedId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EvidenceDocumentId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ObligationId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SubmissionChannelId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3.40 م5 · البيانات المالية والأرصدة (1/2)</w:t>
      </w:r>
    </w:p>
    <w:p>
      <w:pPr>
        <w:keepNext/>
        <w:bidi/>
        <w:spacing w:after="60" w:before="0"/>
      </w:pPr>
      <w:r>
        <w:rPr>
          <w:rFonts w:ascii="Arial" w:cs="Arial" w:eastAsia="Arial" w:hAnsi="Arial"/>
          <w:b w:val="false"/>
          <w:bCs w:val="false"/>
          <w:i w:val="false"/>
          <w:iCs w:val="false"/>
          <w:color w:val="5B6670"/>
          <w:sz w:val="16"/>
          <w:szCs w:val="16"/>
          <w:rtl/>
        </w:rPr>
        <w:t xml:space="preserve">Financial statements &amp; balances</w:t>
      </w:r>
    </w:p>
    <w:p>
      <w:pPr>
        <w:keepNext/>
        <w:bidi/>
        <w:spacing w:after="60" w:before="60"/>
        <w:jc w:val="center"/>
      </w:pPr>
      <w:r>
        <w:drawing>
          <wp:inline distT="0" distB="0" distL="0" distR="0">
            <wp:extent cx="9553575" cy="1885950"/>
            <wp:effectExtent t="0" r="0" b="0" l="0"/>
            <wp:docPr id="1" name="diagrams/erd/m5_financials_1.png" descr="الشكل 47: م5 · البيانات المالية والأرصدة (1/2) (4 جداول)" title="الشكل 47: م5 · البيانات المالية والأرصدة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9553575" cy="18859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47: م5 · البيانات المالية والأرصدة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fin.AccountMonthlyStat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رصيد شهري لحساب بعملة الحساب (FR-FIN-008، BR-FIN-005/006، V-FIN-02)</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AccountMonthlyStatId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مبلغ محوَّل للبنك في شهر؛ تجميع سنوي آلي (FR-FIN-009/010، BR-FIN-007/008)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BankFlowEntryId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رأس قائمة مالية؛ سري جدًا (FR-FIN-002/005/006، BR-FIN-001..004،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FinancialStatementId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معياري للقوائم؛ 39 بندًا مبذورًا؛ النظامي في الصيغ لا يُحذف (FR-FIN-001، CatalogBase)</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LineCatalogItemId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fin.AccountMonthlyStat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BankAccountId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fin.AccountMonthlyStat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FlowKindId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PreparedBy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3.41 م5 · البيانات المالية والأرصدة (2/2)</w:t>
      </w:r>
    </w:p>
    <w:p>
      <w:pPr>
        <w:keepNext/>
        <w:bidi/>
        <w:spacing w:after="60" w:before="0"/>
      </w:pPr>
      <w:r>
        <w:rPr>
          <w:rFonts w:ascii="Arial" w:cs="Arial" w:eastAsia="Arial" w:hAnsi="Arial"/>
          <w:b w:val="false"/>
          <w:bCs w:val="false"/>
          <w:i w:val="false"/>
          <w:iCs w:val="false"/>
          <w:color w:val="5B6670"/>
          <w:sz w:val="16"/>
          <w:szCs w:val="16"/>
          <w:rtl/>
        </w:rPr>
        <w:t xml:space="preserve">Financial statements &amp; balances</w:t>
      </w:r>
    </w:p>
    <w:p>
      <w:pPr>
        <w:keepNext/>
        <w:bidi/>
        <w:spacing w:after="60" w:before="60"/>
        <w:jc w:val="center"/>
      </w:pPr>
      <w:r>
        <w:drawing>
          <wp:inline distT="0" distB="0" distL="0" distR="0">
            <wp:extent cx="9553575" cy="3171825"/>
            <wp:effectExtent t="0" r="0" b="0" l="0"/>
            <wp:docPr id="1" name="diagrams/erd/m5_financials_2.png" descr="الشكل 48: م5 · البيانات المالية والأرصدة (2/2) (3 جداول)" title="الشكل 48: م5 · البيانات المالية والأرصدة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9553575" cy="317182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48: م5 · البيانات المالية والأرصدة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fin.LineCatalogItemAlias</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الأسماء البديلة للبند (Aliases) للصق والمطابقة</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LineCatalogItemAliasId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صيغة مقياس: قالب أو نسخة اتفاقية بإصدارات؛ لا تُنفَّذ نصًا (FR-FIN-011، BR-FIN-009، §12)</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MeasureFormulaId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fin.StatementLine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سطر قائمة؛ بعملة الرأس والمخزَّن = المُدخل x UnitScale؛ Variance مشتق؛ سري جدًا (BR-FIN-001/002)</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StatementLineId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fin.LineCatalogItemAlias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LineCatalogItemId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BaseTemplateId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ApprovedBy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VerifiedBy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ConflictId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fin.StatementLine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StatementId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fin.StatementLine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LineCatalogItemId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3.42 م6 · قوالب دورات العمل (1/3)</w:t>
      </w:r>
    </w:p>
    <w:p>
      <w:pPr>
        <w:keepNext/>
        <w:bidi/>
        <w:spacing w:after="60" w:before="0"/>
      </w:pPr>
      <w:r>
        <w:rPr>
          <w:rFonts w:ascii="Arial" w:cs="Arial" w:eastAsia="Arial" w:hAnsi="Arial"/>
          <w:b w:val="false"/>
          <w:bCs w:val="false"/>
          <w:i w:val="false"/>
          <w:iCs w:val="false"/>
          <w:color w:val="5B6670"/>
          <w:sz w:val="16"/>
          <w:szCs w:val="16"/>
          <w:rtl/>
        </w:rPr>
        <w:t xml:space="preserve">Workflow templates</w:t>
      </w:r>
    </w:p>
    <w:p>
      <w:pPr>
        <w:keepNext/>
        <w:bidi/>
        <w:spacing w:after="60" w:before="60"/>
        <w:jc w:val="center"/>
      </w:pPr>
      <w:r>
        <w:drawing>
          <wp:inline distT="0" distB="0" distL="0" distR="0">
            <wp:extent cx="9553575" cy="4362450"/>
            <wp:effectExtent t="0" r="0" b="0" l="0"/>
            <wp:docPr id="1" name="diagrams/erd/m6_wf_templates_1.png" descr="الشكل 49: م6 · قوالب دورات العمل (1/3) (4 جداول)" title="الشكل 49: م6 · قوالب دورات العمل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9553575" cy="43624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49: م6 · قوالب دورات العمل (1/3)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نوع الطلب (FR-REQ-001، BR-REQ-001، V-REQ-01)؛ الأنواع الجديدة بلا كود (FR-REQ-021)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RequestTypeId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جمهور النوع: من يحق له الطلب؛ غياب الصفوف = لا أحد (فشل مغلق) (FR-REQ-007)</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RequestTypeAudienceId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wfl.ExternalPhase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المرحلة الظاهرة للطالب: DRAFT · IN_APPROVAL · RETURNED · AWAITING_REQUESTER · IN_PROGRESS · COMPLETED · REJECTED · CANCELLED (BR-WFL-011، D-6)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ExternalPhaseId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قالب دورة عمل؛ المنشور ثابت (FR-WFL-001/028، BR-WFL-019، AC-WFL-6)</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WorkflowTemplateId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PublishedBy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3.43 م6 · قوالب دورات العمل (2/3)</w:t>
      </w:r>
    </w:p>
    <w:p>
      <w:pPr>
        <w:keepNext/>
        <w:bidi/>
        <w:spacing w:after="60" w:before="0"/>
      </w:pPr>
      <w:r>
        <w:rPr>
          <w:rFonts w:ascii="Arial" w:cs="Arial" w:eastAsia="Arial" w:hAnsi="Arial"/>
          <w:b w:val="false"/>
          <w:bCs w:val="false"/>
          <w:i w:val="false"/>
          <w:iCs w:val="false"/>
          <w:color w:val="5B6670"/>
          <w:sz w:val="16"/>
          <w:szCs w:val="16"/>
          <w:rtl/>
        </w:rPr>
        <w:t xml:space="preserve">Workflow templates</w:t>
      </w:r>
    </w:p>
    <w:p>
      <w:pPr>
        <w:keepNext/>
        <w:bidi/>
        <w:spacing w:after="60" w:before="60"/>
        <w:jc w:val="center"/>
      </w:pPr>
      <w:r>
        <w:drawing>
          <wp:inline distT="0" distB="0" distL="0" distR="0">
            <wp:extent cx="8210550" cy="5143500"/>
            <wp:effectExtent t="0" r="0" b="0" l="0"/>
            <wp:docPr id="1" name="diagrams/erd/m6_wf_templates_2.png" descr="الشكل 50: م6 · قوالب دورات العمل (2/3) (4 جداول)" title="الشكل 50: م6 · قوالب دورات العمل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821055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50: م6 · قوالب دورات العمل (2/3)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مرحلة في نسخة قالب (FR-WFL-003/004/005، BR-WFL-002/010/012)؛ حذف فعلي لمسودة النسخة فقط</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WorkflowStageId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خانة موافقة في مرحلة APPROVAL؛ ALL = كل الخانات، ودور بشخصين يلزمان معًا = خانتان (FR-WFL-007/041، BR-WFL-003/004)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StageApproverId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انتقال بين مرحلتين بشرط وأولوية؛ دورة خطية بتفرع شرطي بسيط (FR-WFL-006، BR-WFL-001، D-8)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WorkflowTransitionId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wfl.WorkflowStageHook</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خطاف مسجَّل بالكود على مرحلة: مفتاح ومعاملات لا كود (FR-WFL-021، BR-WFL-015، §5.4)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WorkflowStageHookId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ExternalPhaseId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wfl.ExternalPhase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AssigneeRoleId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PoolPermissionId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AssigneeDepartmentId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FallbackRoleId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FallbackRoleId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FromStageId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ToStageId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ResumeStageId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wfl.WorkflowStageHook</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3.44 م6 · قوالب دورات العمل (3/3)</w:t>
      </w:r>
    </w:p>
    <w:p>
      <w:pPr>
        <w:keepNext/>
        <w:bidi/>
        <w:spacing w:after="60" w:before="0"/>
      </w:pPr>
      <w:r>
        <w:rPr>
          <w:rFonts w:ascii="Arial" w:cs="Arial" w:eastAsia="Arial" w:hAnsi="Arial"/>
          <w:b w:val="false"/>
          <w:bCs w:val="false"/>
          <w:i w:val="false"/>
          <w:iCs w:val="false"/>
          <w:color w:val="5B6670"/>
          <w:sz w:val="16"/>
          <w:szCs w:val="16"/>
          <w:rtl/>
        </w:rPr>
        <w:t xml:space="preserve">Workflow templates</w:t>
      </w:r>
    </w:p>
    <w:p>
      <w:pPr>
        <w:keepNext/>
        <w:bidi/>
        <w:spacing w:after="60" w:before="60"/>
        <w:jc w:val="center"/>
      </w:pPr>
      <w:r>
        <w:drawing>
          <wp:inline distT="0" distB="0" distL="0" distR="0">
            <wp:extent cx="8505825" cy="1943100"/>
            <wp:effectExtent t="0" r="0" b="0" l="0"/>
            <wp:docPr id="1" name="diagrams/erd/m6_wf_templates_3.png" descr="الشكل 51: م6 · قوالب دورات العمل (3/3) (جدولان)" title="الشكل 51: م6 · قوالب دورات العمل (3/3) (جدول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8505825" cy="19431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51: م6 · قوالب دورات العمل (3/3) (جدولان)</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wfl.TemplateField</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حقل في نسخة قالب يولّد النموذج بلا كود واجهة (FR-REQ-002..005، BR-REQ-003/004)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TemplateFieldId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wfl.TemplateAttachmentRule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مرفق على نسخة قالب (FR-REQ-006، BR-REQ-005، FR-WFL-024/025)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TemplateAttachmentRuleId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wfl.TemplateField</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wfl.TemplateAttachmentRule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wfl.TemplateAttachmentRule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cat.DocumentType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3.45 م6 · الطلبات وإجراءاتها (1/3)</w:t>
      </w:r>
    </w:p>
    <w:p>
      <w:pPr>
        <w:keepNext/>
        <w:bidi/>
        <w:spacing w:after="60" w:before="0"/>
      </w:pPr>
      <w:r>
        <w:rPr>
          <w:rFonts w:ascii="Arial" w:cs="Arial" w:eastAsia="Arial" w:hAnsi="Arial"/>
          <w:b w:val="false"/>
          <w:bCs w:val="false"/>
          <w:i w:val="false"/>
          <w:iCs w:val="false"/>
          <w:color w:val="5B6670"/>
          <w:sz w:val="16"/>
          <w:szCs w:val="16"/>
          <w:rtl/>
        </w:rPr>
        <w:t xml:space="preserve">Requests, approvals &amp; actions</w:t>
      </w:r>
    </w:p>
    <w:p>
      <w:pPr>
        <w:keepNext/>
        <w:bidi/>
        <w:spacing w:after="60" w:before="60"/>
        <w:jc w:val="center"/>
      </w:pPr>
      <w:r>
        <w:drawing>
          <wp:inline distT="0" distB="0" distL="0" distR="0">
            <wp:extent cx="4791075" cy="5143500"/>
            <wp:effectExtent t="0" r="0" b="0" l="0"/>
            <wp:docPr id="1" name="diagrams/erd/m6_requests_1.png" descr="الشكل 52: م6 · الطلبات وإجراءاتها (1/3) (4 جداول)" title="الشكل 52: م6 · الطلبات وإجراءاتها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9107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52: م6 · الطلبات وإجراءاتها (1/3)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الطلب: أكثر الجداول ازدحامًا؛ الحالة الداخلية منفصلة عن المرحلة الظاهرة (FR-WFL-001، FR-REQ-009، D-6، BR-REQ-002/003)</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تعليق ظاهر للطالب أو داخلي؛ يمنع التطبيق تعديله، والسحب يترك الأصل (FR-REQ-017، BR-REQ-014)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RequestCommentId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مستند بطلب ينشئ DocumentLink (EntityType=Request) (FR-REQ-006، BR-REQ-005)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RequestAttachmentId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خارجي بنص حر؛ تعديل بالإحلال ويبقى التاريخ؛ بلا تحقق خارجي (FR-REQ-010، X-DAT-7، BR-REQ-006)</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RequestExternalRefId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RequestTypeId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DepartmentId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RequesterUserId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CreatedByUserId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SubmittedByUserId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CurrentStageId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CurrentStageInstanceId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ExternalPhaseId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wfl.ExternalPhase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ClosedByUserId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ParentRequestId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CopiedFromRequestId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ReservationId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AuthorUserId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ParentCommentId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RetractedBy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EnteredBy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3.46 م6 · الطلبات وإجراءاتها (2/3)</w:t>
      </w:r>
    </w:p>
    <w:p>
      <w:pPr>
        <w:keepNext/>
        <w:bidi/>
        <w:spacing w:after="60" w:before="0"/>
      </w:pPr>
      <w:r>
        <w:rPr>
          <w:rFonts w:ascii="Arial" w:cs="Arial" w:eastAsia="Arial" w:hAnsi="Arial"/>
          <w:b w:val="false"/>
          <w:bCs w:val="false"/>
          <w:i w:val="false"/>
          <w:iCs w:val="false"/>
          <w:color w:val="5B6670"/>
          <w:sz w:val="16"/>
          <w:szCs w:val="16"/>
          <w:rtl/>
        </w:rPr>
        <w:t xml:space="preserve">Requests, approvals &amp; actions</w:t>
      </w:r>
    </w:p>
    <w:p>
      <w:pPr>
        <w:keepNext/>
        <w:bidi/>
        <w:spacing w:after="60" w:before="60"/>
        <w:jc w:val="center"/>
      </w:pPr>
      <w:r>
        <w:drawing>
          <wp:inline distT="0" distB="0" distL="0" distR="0">
            <wp:extent cx="8562975" cy="5143500"/>
            <wp:effectExtent t="0" r="0" b="0" l="0"/>
            <wp:docPr id="1" name="diagrams/erd/m6_requests_2.png" descr="الشكل 53: م6 · الطلبات وإجراءاتها (2/3) (4 جداول)" title="الشكل 53: م6 · الطلبات وإجراءاتها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856297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53: م6 · الطلبات وإجراءاتها (2/3)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دخول طلب إلى مرحلة؛ مصدر مقاييس الأزمنة والسحب والـ SLA (BR-WFL-002/007/012،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RequestStageInstanceId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خانة موافقة تُنشأ لكل دخول ودورة؛ الدورة الجديدة بخانات جديدة (BR-WFL-003، FR-WFL-007/008/011)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RequestApprovalId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7</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إجراءات للإضافة فقط يغطي كل حدث؛ غير AuditLog الأمني (FR-WFL-033/034، §6.2)</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RequestActionId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wfl.HookExecution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تنفيذ خطاف بمفتاح عدم تكرار يعيد النتيجة المخزَّنة (FR-WFL-021، BR-WFL-015)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HookExecutionId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AssigneeUserId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ResumeStageId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TemplateId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AssignedRoleId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ActedByUserId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OnBehalfOfUserId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DelegationId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ActorUserId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OnBehalfOfUserId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wfl.HookExecution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wfl.HookExecution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StageInstanceId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RequestId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3.47 م6 · الطلبات وإجراءاتها (3/3)</w:t>
      </w:r>
    </w:p>
    <w:p>
      <w:pPr>
        <w:keepNext/>
        <w:bidi/>
        <w:spacing w:after="60" w:before="0"/>
      </w:pPr>
      <w:r>
        <w:rPr>
          <w:rFonts w:ascii="Arial" w:cs="Arial" w:eastAsia="Arial" w:hAnsi="Arial"/>
          <w:b w:val="false"/>
          <w:bCs w:val="false"/>
          <w:i w:val="false"/>
          <w:iCs w:val="false"/>
          <w:color w:val="5B6670"/>
          <w:sz w:val="16"/>
          <w:szCs w:val="16"/>
          <w:rtl/>
        </w:rPr>
        <w:t xml:space="preserve">Requests, approvals &amp; actions</w:t>
      </w:r>
    </w:p>
    <w:p>
      <w:pPr>
        <w:keepNext/>
        <w:bidi/>
        <w:spacing w:after="60" w:before="60"/>
        <w:jc w:val="center"/>
      </w:pPr>
      <w:r>
        <w:drawing>
          <wp:inline distT="0" distB="0" distL="0" distR="0">
            <wp:extent cx="3429000" cy="2381250"/>
            <wp:effectExtent t="0" r="0" b="0" l="0"/>
            <wp:docPr id="1" name="diagrams/erd/m6_requests_3.png" descr="الشكل 54: م6 · الطلبات وإجراءاتها (3/3) (جدول واحد)" title="الشكل 54: م6 · الطلبات وإجراءاتها (3/3) (جدول واح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429000" cy="238125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54: م6 · الطلبات وإجراءاتها (3/3) (جدول واحد)</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 مهام بفترة ونطاق؛ لا تفويض متسلسل (FR-WFL-020، BR-WFL-021، V-WFL-06)</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UserDelegationId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FromUserId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ToUserId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RevokedBy</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3.48 م6 · الإشعارات (1/2)</w:t>
      </w:r>
    </w:p>
    <w:p>
      <w:pPr>
        <w:keepNext/>
        <w:bidi/>
        <w:spacing w:after="60" w:before="0"/>
      </w:pPr>
      <w:r>
        <w:rPr>
          <w:rFonts w:ascii="Arial" w:cs="Arial" w:eastAsia="Arial" w:hAnsi="Arial"/>
          <w:b w:val="false"/>
          <w:bCs w:val="false"/>
          <w:i w:val="false"/>
          <w:iCs w:val="false"/>
          <w:color w:val="5B6670"/>
          <w:sz w:val="16"/>
          <w:szCs w:val="16"/>
          <w:rtl/>
        </w:rPr>
        <w:t xml:space="preserve">Notifications</w:t>
      </w:r>
    </w:p>
    <w:p>
      <w:pPr>
        <w:keepNext/>
        <w:bidi/>
        <w:spacing w:after="60" w:before="60"/>
        <w:jc w:val="center"/>
      </w:pPr>
      <w:r>
        <w:drawing>
          <wp:inline distT="0" distB="0" distL="0" distR="0">
            <wp:extent cx="5543550" cy="5143500"/>
            <wp:effectExtent t="0" r="0" b="0" l="0"/>
            <wp:docPr id="1" name="diagrams/erd/m6_notifications_1.png" descr="الشكل 55: م6 · الإشعارات (1/2) (4 جداول)" title="الشكل 55: م6 · الإشعارات (1/2)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4355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55: م6 · الإشعارات (1/2)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ntf.DigestBatch</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دفعة ملخص لمستخدم وقناة وفترة؛ لا يُرسل فارغًا (FR-NTF-014، BR-NTF-004، JOB-NTF-DIGEST)</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DigestBatchId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إشعار لمستخدم؛ المحتوى بلا قيم مقيّدة (FR-NTF-005/006/007/021، BR-NTF-001/002/007/008/011)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ntf.NotificationDelivery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تسليم الإشعار لكل قناة بحالاته وإعادة المحاولة (FR-NTF-019، BR-NTF-009،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NotificationDeliveryId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الأحداث؛ تملكه 13 لكل الوحدات وتبذر فيه الوحدات أحداثها (FR-NTF-001، §9.2، §9.2-ب)</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NotificationEventTypeId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ntf.DigestBatch</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EventTypeId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ntf.NotificationDelivery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NotificationId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ntf.NotificationDelivery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DigestBatchId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ntf.DigestBatch</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3.49 م6 · الإشعارات (2/2)</w:t>
      </w:r>
    </w:p>
    <w:p>
      <w:pPr>
        <w:keepNext/>
        <w:bidi/>
        <w:spacing w:after="60" w:before="0"/>
      </w:pPr>
      <w:r>
        <w:rPr>
          <w:rFonts w:ascii="Arial" w:cs="Arial" w:eastAsia="Arial" w:hAnsi="Arial"/>
          <w:b w:val="false"/>
          <w:bCs w:val="false"/>
          <w:i w:val="false"/>
          <w:iCs w:val="false"/>
          <w:color w:val="5B6670"/>
          <w:sz w:val="16"/>
          <w:szCs w:val="16"/>
          <w:rtl/>
        </w:rPr>
        <w:t xml:space="preserve">Notifications</w:t>
      </w:r>
    </w:p>
    <w:p>
      <w:pPr>
        <w:keepNext/>
        <w:bidi/>
        <w:spacing w:after="60" w:before="60"/>
        <w:jc w:val="center"/>
      </w:pPr>
      <w:r>
        <w:drawing>
          <wp:inline distT="0" distB="0" distL="0" distR="0">
            <wp:extent cx="9553575" cy="1905000"/>
            <wp:effectExtent t="0" r="0" b="0" l="0"/>
            <wp:docPr id="1" name="diagrams/erd/m6_notifications_2.png" descr="الشكل 56: م6 · الإشعارات (2/2) (3 جداول)" title="الشكل 56: م6 · الإشعارات (2/2)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553575" cy="19050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56: م6 · الإشعارات (2/2)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ntf.NotificationPreference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تفضيل المستخدم لكل مجموعة أحداث وقناة (FR-NTF-010، BR-NTF-003/014)؛ الإلزامي لا يُوقَف في التطبيق</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NotificationPreferenceId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مستلمين لحدث؛ التعديل يسري على الأحداث التالية فقط (FR-NTF-003، BR-NTF-001، V-NTF-02)</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NotificationRuleId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ntf.NotificationTemplate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قالب رسالة لكل (حدث، قناة، لغة)؛ الحذف = العودة إلى قالب البذرة (FR-NTF-012، FR-NTF-025)</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NotificationTemplateId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ntf.NotificationPreference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EventTypeId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RoleId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PermissionId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UserId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ntf.NotificationTemplate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EventTypeId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3.50 م7/م8 · شروط الاعتماد والنماذج (1/3)</w:t>
      </w:r>
    </w:p>
    <w:p>
      <w:pPr>
        <w:keepNext/>
        <w:bidi/>
        <w:spacing w:after="60" w:before="0"/>
      </w:pPr>
      <w:r>
        <w:rPr>
          <w:rFonts w:ascii="Arial" w:cs="Arial" w:eastAsia="Arial" w:hAnsi="Arial"/>
          <w:b w:val="false"/>
          <w:bCs w:val="false"/>
          <w:i w:val="false"/>
          <w:iCs w:val="false"/>
          <w:color w:val="5B6670"/>
          <w:sz w:val="16"/>
          <w:szCs w:val="16"/>
          <w:rtl/>
        </w:rPr>
        <w:t xml:space="preserve">LC terms, fields &amp; form maps</w:t>
      </w:r>
    </w:p>
    <w:p>
      <w:pPr>
        <w:keepNext/>
        <w:bidi/>
        <w:spacing w:after="60" w:before="60"/>
        <w:jc w:val="center"/>
      </w:pPr>
      <w:r>
        <w:drawing>
          <wp:inline distT="0" distB="0" distL="0" distR="0">
            <wp:extent cx="9553575" cy="4648200"/>
            <wp:effectExtent t="0" r="0" b="0" l="0"/>
            <wp:docPr id="1" name="diagrams/erd/m7_8_lc_terms_1.png" descr="الشكل 57: م7/م8 · شروط الاعتماد والنماذج (1/3) (4 جداول)" title="الشكل 57: م7/م8 · شروط الاعتماد والنماذج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9553575" cy="46482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57: م7/م8 · شروط الاعتماد والنماذج (1/3)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lc.LcFieldDefinition</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حقل في شروط الاعتماد: بيانات تُبذر لكل مشترك (FR-LCT-004، BR-LCT-002)؛ مراجع UCP في lc.LcFieldUcpRef</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LcFieldDefinitionId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0</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lc.LcFieldUcpRef</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UCP لحقل: مادة + فقرة (UcpRefs في المواصفة)؛ يغذّي الشارة وR-LCT-01 وBR-LCT-018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LcFieldUcpRefId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الطرف المقابل: مورّد/عميل خفيف بلا هوية؛ يُرقّى إلى Party عند الحاجة (FR-LCT-036/037، BR-LCT-022، Q-PTY-03)</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CounterpartyId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مكتبة بنود المستندات بإصدارات: نص قالب بمعاملات (FR-LCT-017..019، BR-LCT-012)؛ مراجع UCP في lc.LcDocumentClauseUcpRef</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LcDocumentClauseId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lc.LcFieldUcpRef</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LcFieldDefinitionId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lc.LcFieldDefinition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lc.LcFieldUcpRef</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UcpArticleId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CountryId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MergedIntoId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3.51 م7/م8 · شروط الاعتماد والنماذج (2/3)</w:t>
      </w:r>
    </w:p>
    <w:p>
      <w:pPr>
        <w:keepNext/>
        <w:bidi/>
        <w:spacing w:after="60" w:before="0"/>
      </w:pPr>
      <w:r>
        <w:rPr>
          <w:rFonts w:ascii="Arial" w:cs="Arial" w:eastAsia="Arial" w:hAnsi="Arial"/>
          <w:b w:val="false"/>
          <w:bCs w:val="false"/>
          <w:i w:val="false"/>
          <w:iCs w:val="false"/>
          <w:color w:val="5B6670"/>
          <w:sz w:val="16"/>
          <w:szCs w:val="16"/>
          <w:rtl/>
        </w:rPr>
        <w:t xml:space="preserve">LC terms, fields &amp; form maps</w:t>
      </w:r>
    </w:p>
    <w:p>
      <w:pPr>
        <w:keepNext/>
        <w:bidi/>
        <w:spacing w:after="60" w:before="60"/>
        <w:jc w:val="center"/>
      </w:pPr>
      <w:r>
        <w:drawing>
          <wp:inline distT="0" distB="0" distL="0" distR="0">
            <wp:extent cx="4838700" cy="5143500"/>
            <wp:effectExtent t="0" r="0" b="0" l="0"/>
            <wp:docPr id="1" name="diagrams/erd/m7_8_lc_terms_2.png" descr="الشكل 58: م7/م8 · شروط الاعتماد والنماذج (2/3) (4 جداول)" title="الشكل 58: م7/م8 · شروط الاعتماد والنماذج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83870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58: م7/م8 · شروط الاعتماد والنماذج (2/3)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lc.LcDocumentClauseUcpRef</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UCP لبند مستند: مادة + فقرة (UcpRefs في المواصفة)</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LcDocumentClauseUcpRefId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شروط اعتماد: صف لكل إصدار بأعمدة قاموس §6.2؛ مشترك بين البروفورما والطلب والاعتماد والتعديل (FR-LCT-001..035)</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LcTermsId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15</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lc.LcTermsDocument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مستند مختار في الشروط ومعاملاته؛ النص المصيَّر يُجمَّد عند القفل (FR-LCT-018، BR-LCT-012)</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LcTermsDocumentId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lc.LcChargesMatrix</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رسوم الشروط: صف لكل فئة (6 صفوف كاملة يتحقق منها التطبيق V-LCT-12) (FR-LCT-020، BR-LCT-014)</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LcChargesMatrixId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lc.LcDocumentClauseUcpRef</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LcDocumentClauseId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lc.LcDocumentClauseUcpRef</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UcpArticleId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ApplicantCompanyId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ApplicantCounterpartyId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BeneficiaryCompanyId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BeneficiaryCounterpartyId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EncKeyId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EncKeyPurpose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HashKeyId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HashKeyPurpose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IncotermId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ref.Incoterm</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MarginSettlementAccountId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ChargesAccountId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PrevLcCurrencyId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LockedBy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SupersedesTermsId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CopiedFromTermsId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lc.LcTermsDocument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LcTermsId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lc.LcTermsDocument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ClauseId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lc.LcChargesMatrix</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LcTermsId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3.52 م7/م8 · شروط الاعتماد والنماذج (3/3)</w:t>
      </w:r>
    </w:p>
    <w:p>
      <w:pPr>
        <w:keepNext/>
        <w:bidi/>
        <w:spacing w:after="60" w:before="0"/>
      </w:pPr>
      <w:r>
        <w:rPr>
          <w:rFonts w:ascii="Arial" w:cs="Arial" w:eastAsia="Arial" w:hAnsi="Arial"/>
          <w:b w:val="false"/>
          <w:bCs w:val="false"/>
          <w:i w:val="false"/>
          <w:iCs w:val="false"/>
          <w:color w:val="5B6670"/>
          <w:sz w:val="16"/>
          <w:szCs w:val="16"/>
          <w:rtl/>
        </w:rPr>
        <w:t xml:space="preserve">LC terms, fields &amp; form maps</w:t>
      </w:r>
    </w:p>
    <w:p>
      <w:pPr>
        <w:keepNext/>
        <w:bidi/>
        <w:spacing w:after="60" w:before="60"/>
        <w:jc w:val="center"/>
      </w:pPr>
      <w:r>
        <w:drawing>
          <wp:inline distT="0" distB="0" distL="0" distR="0">
            <wp:extent cx="3467100" cy="5143500"/>
            <wp:effectExtent t="0" r="0" b="0" l="0"/>
            <wp:docPr id="1" name="diagrams/erd/m7_8_lc_terms_3.png" descr="الشكل 59: م7/م8 · شروط الاعتماد والنماذج (3/3) (جدولان)" title="الشكل 59: م7/م8 · شروط الاعتماد والنماذج (3/3) (جدول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46710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59: م7/م8 · شروط الاعتماد والنماذج (3/3) (جدولان)</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قالب نموذج بنك/منتج/نوع نموذج بإصدار وفترة نفاذ وملحق عقدي (FR-LCT-026، BR-LCT-017، 02 F-14)</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LcFormTemplateId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lc.LcFormFieldMap</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تعيين حقل نظام إلى حقل PDF أو بند في ورقة البوابة (FR-LCT-027، BR-LCT-020)</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LcFormFieldMapId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SourceDocumentId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إثبات</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AnnexDocumentId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LetterheadDocumentId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lc.LcFormFieldMap</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TemplateId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3.53 م7/م8 · الاعتمادات والبروفورما (1/3)</w:t>
      </w:r>
    </w:p>
    <w:p>
      <w:pPr>
        <w:keepNext/>
        <w:bidi/>
        <w:spacing w:after="60" w:before="0"/>
      </w:pPr>
      <w:r>
        <w:rPr>
          <w:rFonts w:ascii="Arial" w:cs="Arial" w:eastAsia="Arial" w:hAnsi="Arial"/>
          <w:b w:val="false"/>
          <w:bCs w:val="false"/>
          <w:i w:val="false"/>
          <w:iCs w:val="false"/>
          <w:color w:val="5B6670"/>
          <w:sz w:val="16"/>
          <w:szCs w:val="16"/>
          <w:rtl/>
        </w:rPr>
        <w:t xml:space="preserve">Letters of credit &amp; proforma</w:t>
      </w:r>
    </w:p>
    <w:p>
      <w:pPr>
        <w:keepNext/>
        <w:bidi/>
        <w:spacing w:after="60" w:before="60"/>
        <w:jc w:val="center"/>
      </w:pPr>
      <w:r>
        <w:drawing>
          <wp:inline distT="0" distB="0" distL="0" distR="0">
            <wp:extent cx="5057775" cy="5143500"/>
            <wp:effectExtent t="0" r="0" b="0" l="0"/>
            <wp:docPr id="1" name="diagrams/erd/m7_8_lc_ops_1.png" descr="الشكل 60: م7/م8 · الاعتمادات والبروفورما (1/3) (4 جداول)" title="الشكل 60: م7/م8 · الاعتمادات والبروفورما (1/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057775"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60: م7/م8 · الاعتمادات والبروفورما (1/3)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الاعتماد للجانبين: مشتريات (نحن الطالب) ومبيعات (نحن المستفيد) (FR-LCI-011..016، FR-LCE-009، BR-LCI-004/008/016، BR-LCE-007/009)</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LetterOfCreditId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خارجي للاعتماد (ERP...)؛ بلا فرادة؛ البحث بالمطبَّع (FR-LCI-013، BR-REQ-006)</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LcExternalRefId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تعديل اعتماد صادر أو مستلَم (FR-LCI-018/019، FR-LCE-020، BR-LCI-011/012، BR-LCE-014)؛ الحالات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LcAmendmentId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6</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سحب/تقديم مستندات تحت اعتماد؛ في التصدير يشمل تحويل التخصيص (FR-LCI-023، BR-LCI-013، BR-LCE-011)؛ الحالات §8</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LcDrawingId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5</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CounterpartyId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InstitutionId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RelationshipId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 InstitutionId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ProductId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FacilityId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LimitProductLineId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 LimitId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UtilizationId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FacilityId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ProformaId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CurrentTermsId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TermsId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AppliedBy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SettlementAccountId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bl>
    <w:p>
      <w:pPr>
        <w:pStyle w:val="Heading2"/>
        <w:bidi/>
      </w:pPr>
      <w:r>
        <w:rPr>
          <w:rFonts w:ascii="Arial" w:cs="Arial" w:eastAsia="Arial" w:hAnsi="Arial"/>
          <w:b/>
          <w:bCs/>
          <w:color w:val="2B5C8A"/>
          <w:sz w:val="26"/>
          <w:szCs w:val="26"/>
          <w:rtl/>
        </w:rPr>
        <w:t xml:space="preserve">3.54 م7/م8 · الاعتمادات والبروفورما (2/3)</w:t>
      </w:r>
    </w:p>
    <w:p>
      <w:pPr>
        <w:keepNext/>
        <w:bidi/>
        <w:spacing w:after="60" w:before="0"/>
      </w:pPr>
      <w:r>
        <w:rPr>
          <w:rFonts w:ascii="Arial" w:cs="Arial" w:eastAsia="Arial" w:hAnsi="Arial"/>
          <w:b w:val="false"/>
          <w:bCs w:val="false"/>
          <w:i w:val="false"/>
          <w:iCs w:val="false"/>
          <w:color w:val="5B6670"/>
          <w:sz w:val="16"/>
          <w:szCs w:val="16"/>
          <w:rtl/>
        </w:rPr>
        <w:t xml:space="preserve">Letters of credit &amp; proforma</w:t>
      </w:r>
    </w:p>
    <w:p>
      <w:pPr>
        <w:keepNext/>
        <w:bidi/>
        <w:spacing w:after="60" w:before="60"/>
        <w:jc w:val="center"/>
      </w:pPr>
      <w:r>
        <w:drawing>
          <wp:inline distT="0" distB="0" distL="0" distR="0">
            <wp:extent cx="7219950" cy="5143500"/>
            <wp:effectExtent t="0" r="0" b="0" l="0"/>
            <wp:docPr id="1" name="diagrams/erd/m7_8_lc_ops_2.png" descr="الشكل 61: م7/م8 · الاعتمادات والبروفورما (2/3) (4 جداول)" title="الشكل 61: م7/م8 · الاعتمادات والبروفورما (2/3) (4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7219950" cy="5143500"/>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61: م7/م8 · الاعتمادات والبروفورما (2/3) (4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تخصيص أمر بيع على اعتماد مستلَم؛ لا يقابله حد ائتماني (FR-LCE-013..015، BR-LCE-009..013)؛ الحالات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LcSalesOrderId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توزيع سحب تصدير على أوامر بيع (FR-LCE-016/017، BR-LCE-011/013)</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LcDrawingAllocationId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4</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مخالفة على مستندات سحب أو اعتماد؛ القرار يتطلب lc.discrepancy.decide (FR-LCI-024، FR-LCE-021، §8)</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LcDiscrepancyId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البروفورما الصادرة؛ يمنع التطبيق تعديلها بعد الإصدار؛ الرقم {seq:000}-{erp}-{yy} (FR-LCE-005..008، BR-LCE-001..006)</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ProformaInvoiceId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8</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9</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DrawingId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LcId, CurrencyId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SalesOrderId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LcId, CurrencyId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DrawingId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LcId</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DecidedBy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CompanyId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RequestId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CustomerId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TermsId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ProceedsAccountId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DocumentId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SupersededById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CompanyId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2"/>
        <w:bidi/>
      </w:pPr>
      <w:r>
        <w:rPr>
          <w:rFonts w:ascii="Arial" w:cs="Arial" w:eastAsia="Arial" w:hAnsi="Arial"/>
          <w:b/>
          <w:bCs/>
          <w:color w:val="2B5C8A"/>
          <w:sz w:val="26"/>
          <w:szCs w:val="26"/>
          <w:rtl/>
        </w:rPr>
        <w:t xml:space="preserve">3.55 م7/م8 · الاعتمادات والبروفورما (3/3)</w:t>
      </w:r>
    </w:p>
    <w:p>
      <w:pPr>
        <w:keepNext/>
        <w:bidi/>
        <w:spacing w:after="60" w:before="0"/>
      </w:pPr>
      <w:r>
        <w:rPr>
          <w:rFonts w:ascii="Arial" w:cs="Arial" w:eastAsia="Arial" w:hAnsi="Arial"/>
          <w:b w:val="false"/>
          <w:bCs w:val="false"/>
          <w:i w:val="false"/>
          <w:iCs w:val="false"/>
          <w:color w:val="5B6670"/>
          <w:sz w:val="16"/>
          <w:szCs w:val="16"/>
          <w:rtl/>
        </w:rPr>
        <w:t xml:space="preserve">Letters of credit &amp; proforma</w:t>
      </w:r>
    </w:p>
    <w:p>
      <w:pPr>
        <w:keepNext/>
        <w:bidi/>
        <w:spacing w:after="60" w:before="60"/>
        <w:jc w:val="center"/>
      </w:pPr>
      <w:r>
        <w:drawing>
          <wp:inline distT="0" distB="0" distL="0" distR="0">
            <wp:extent cx="8772525" cy="4905375"/>
            <wp:effectExtent t="0" r="0" b="0" l="0"/>
            <wp:docPr id="1" name="diagrams/erd/m7_8_lc_ops_3.png" descr="الشكل 62: م7/م8 · الاعتمادات والبروفورما (3/3) (3 جداول)" title="الشكل 62: م7/م8 · الاعتمادات والبروفورما (3/3) (3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8772525" cy="4905375"/>
                    </a:xfrm>
                    <a:prstGeom prst="rect">
                      <a:avLst/>
                    </a:prstGeom>
                  </pic:spPr>
                </pic:pic>
              </a:graphicData>
            </a:graphic>
          </wp:inline>
        </w:drawing>
      </w:r>
    </w:p>
    <w:p>
      <w:pPr>
        <w:bidi/>
        <w:spacing w:after="160" w:before="0"/>
        <w:jc w:val="center"/>
      </w:pPr>
      <w:r>
        <w:rPr>
          <w:rFonts w:ascii="Arial" w:cs="Arial" w:eastAsia="Arial" w:hAnsi="Arial"/>
          <w:b w:val="false"/>
          <w:bCs w:val="false"/>
          <w:i/>
          <w:iCs/>
          <w:color w:val="5B6670"/>
          <w:sz w:val="16"/>
          <w:szCs w:val="16"/>
          <w:rtl/>
        </w:rPr>
        <w:t xml:space="preserve">الشكل 62: م7/م8 · الاعتمادات والبروفورما (3/3) (3 جداول)</w:t>
      </w:r>
    </w:p>
    <w:p>
      <w:pPr>
        <w:pStyle w:val="Heading2"/>
        <w:bidi/>
      </w:pPr>
      <w:r>
        <w:rPr>
          <w:rFonts w:ascii="Arial" w:cs="Arial" w:eastAsia="Arial" w:hAnsi="Arial"/>
          <w:b/>
          <w:bCs/>
          <w:color w:val="2B5C8A"/>
          <w:sz w:val="26"/>
          <w:szCs w:val="26"/>
          <w:rtl/>
        </w:rPr>
        <w:t xml:space="preserve">الجداول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353"/>
        <w:gridCol w:w="1016"/>
        <w:gridCol w:w="6602"/>
        <w:gridCol w:w="2540"/>
        <w:gridCol w:w="711"/>
        <w:gridCol w:w="816"/>
      </w:tblGrid>
      <w:tr>
        <w:trPr>
          <w:cantSplit/>
          <w:tblHeader/>
        </w:trPr>
        <w:tc>
          <w:tcPr>
            <w:tcW w:type="dxa" w:w="335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0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660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c>
          <w:tcPr>
            <w:tcW w:type="dxa" w:w="254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PK</w:t>
            </w:r>
          </w:p>
        </w:tc>
        <w:tc>
          <w:tcPr>
            <w:tcW w:type="dxa" w:w="711"/>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FK</w:t>
            </w:r>
          </w:p>
        </w:tc>
        <w:tc>
          <w:tcPr>
            <w:tcW w:type="dxa" w:w="81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UK</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lc.ProformaLine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في البروفورما (FR-LCE-003، BR-LCE-001)؛ يُثبَّت بعد الإصدار</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ProformaLineId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10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نتيجة مقارنة شروط الاعتماد المستلَم بالبروفورما (FR-LCT-031، FR-LCE-023، BR-LCT-021)</w:t>
            </w:r>
          </w:p>
        </w:tc>
        <w:tc>
          <w:tcPr>
            <w:tcW w:type="dxa" w:w="254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LcTermsComparisonId</w:t>
            </w:r>
          </w:p>
        </w:tc>
        <w:tc>
          <w:tcPr>
            <w:tcW w:type="dxa" w:w="711"/>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3</w:t>
            </w:r>
          </w:p>
        </w:tc>
        <w:tc>
          <w:tcPr>
            <w:tcW w:type="dxa" w:w="81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r>
        <w:trPr>
          <w:cantSplit/>
        </w:trPr>
        <w:tc>
          <w:tcPr>
            <w:tcW w:type="dxa" w:w="335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lc.LcTermsComparisonLine</w:t>
            </w:r>
          </w:p>
        </w:tc>
        <w:tc>
          <w:tcPr>
            <w:tcW w:type="dxa" w:w="10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660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فرق حقل واحد وحكمه وقرار الخزينة (FR-LCT-031، BR-LCT-021)</w:t>
            </w:r>
          </w:p>
        </w:tc>
        <w:tc>
          <w:tcPr>
            <w:tcW w:type="dxa" w:w="254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LcTermsComparisonLineId</w:t>
            </w:r>
          </w:p>
        </w:tc>
        <w:tc>
          <w:tcPr>
            <w:tcW w:type="dxa" w:w="711"/>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w:t>
            </w:r>
          </w:p>
        </w:tc>
        <w:tc>
          <w:tcPr>
            <w:tcW w:type="dxa" w:w="81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2</w:t>
            </w:r>
          </w:p>
        </w:tc>
      </w:tr>
    </w:tbl>
    <w:p>
      <w:pPr>
        <w:pStyle w:val="Heading2"/>
        <w:bidi/>
      </w:pPr>
      <w:r>
        <w:rPr>
          <w:rFonts w:ascii="Arial" w:cs="Arial" w:eastAsia="Arial" w:hAnsi="Arial"/>
          <w:b/>
          <w:bCs/>
          <w:color w:val="2B5C8A"/>
          <w:sz w:val="26"/>
          <w:szCs w:val="26"/>
          <w:rtl/>
        </w:rPr>
        <w:t xml:space="preserve">العلاقات</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422"/>
        <w:gridCol w:w="2800"/>
        <w:gridCol w:w="2696"/>
        <w:gridCol w:w="1037"/>
        <w:gridCol w:w="1244"/>
        <w:gridCol w:w="2074"/>
        <w:gridCol w:w="933"/>
        <w:gridCol w:w="832"/>
      </w:tblGrid>
      <w:tr>
        <w:trPr>
          <w:cantSplit/>
          <w:tblHeader/>
        </w:trPr>
        <w:tc>
          <w:tcPr>
            <w:tcW w:type="dxa" w:w="342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الابن</w:t>
            </w:r>
          </w:p>
        </w:tc>
        <w:tc>
          <w:tcPr>
            <w:tcW w:type="dxa" w:w="2800"/>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العمود</w:t>
            </w:r>
          </w:p>
        </w:tc>
        <w:tc>
          <w:tcPr>
            <w:tcW w:type="dxa" w:w="2696"/>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 الأب</w:t>
            </w:r>
          </w:p>
        </w:tc>
        <w:tc>
          <w:tcPr>
            <w:tcW w:type="dxa" w:w="1037"/>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الإلزام</w:t>
            </w:r>
          </w:p>
        </w:tc>
        <w:tc>
          <w:tcPr>
            <w:tcW w:type="dxa" w:w="124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الحذف</w:t>
            </w:r>
          </w:p>
        </w:tc>
        <w:tc>
          <w:tcPr>
            <w:tcW w:type="dxa" w:w="2074"/>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نطاق الربط</w:t>
            </w:r>
          </w:p>
        </w:tc>
        <w:tc>
          <w:tcPr>
            <w:tcW w:type="dxa" w:w="933"/>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النوع</w:t>
            </w:r>
          </w:p>
        </w:tc>
        <w:tc>
          <w:tcPr>
            <w:tcW w:type="dxa" w:w="83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الرسم</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lc.ProformaLine</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ProformaId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CurrencyId</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lc.ProformaLine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CurrencyId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BaselineTermsId</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ReceivedTermsId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2800"/>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RunBy</w:t>
            </w:r>
          </w:p>
        </w:tc>
        <w:tc>
          <w:tcPr>
            <w:tcW w:type="dxa" w:w="2696"/>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037"/>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اختياري</w:t>
            </w:r>
          </w:p>
        </w:tc>
        <w:tc>
          <w:tcPr>
            <w:tcW w:type="dxa" w:w="124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w:t>
            </w:r>
          </w:p>
        </w:tc>
      </w:tr>
      <w:tr>
        <w:trPr>
          <w:cantSplit/>
        </w:trPr>
        <w:tc>
          <w:tcPr>
            <w:tcW w:type="dxa" w:w="342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lc.LcTermsComparisonLine</w:t>
            </w:r>
          </w:p>
        </w:tc>
        <w:tc>
          <w:tcPr>
            <w:tcW w:type="dxa" w:w="2800"/>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ComparisonId</w:t>
            </w:r>
          </w:p>
        </w:tc>
        <w:tc>
          <w:tcPr>
            <w:tcW w:type="dxa" w:w="2696"/>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1037"/>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إلزامي</w:t>
            </w:r>
          </w:p>
        </w:tc>
        <w:tc>
          <w:tcPr>
            <w:tcW w:type="dxa" w:w="124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يمنع الحذف</w:t>
            </w:r>
          </w:p>
        </w:tc>
        <w:tc>
          <w:tcPr>
            <w:tcW w:type="dxa" w:w="2074"/>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t>
            </w:r>
          </w:p>
        </w:tc>
        <w:tc>
          <w:tcPr>
            <w:tcW w:type="dxa" w:w="933"/>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عمل</w:t>
            </w:r>
          </w:p>
        </w:tc>
        <w:tc>
          <w:tcPr>
            <w:tcW w:type="dxa" w:w="83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مرسوم</w:t>
            </w:r>
          </w:p>
        </w:tc>
      </w:tr>
    </w:tbl>
    <w:p>
      <w:pPr>
        <w:pStyle w:val="Heading1"/>
        <w:pageBreakBefore/>
        <w:bidi/>
      </w:pPr>
      <w:r>
        <w:rPr>
          <w:rFonts w:ascii="Arial" w:cs="Arial" w:eastAsia="Arial" w:hAnsi="Arial"/>
          <w:b/>
          <w:bCs/>
          <w:color w:val="1F3A5F"/>
          <w:sz w:val="32"/>
          <w:szCs w:val="32"/>
          <w:rtl/>
        </w:rPr>
        <w:t xml:space="preserve">الملحق أ. فهرس الجداول</w:t>
      </w:r>
    </w:p>
    <w:p>
      <w:pPr>
        <w:keepNext w:val="false"/>
        <w:bidi/>
        <w:spacing w:after="120" w:before="0" w:line="300"/>
      </w:pPr>
      <w:r>
        <w:rPr>
          <w:rFonts w:ascii="Arial" w:cs="Arial" w:eastAsia="Arial" w:hAnsi="Arial"/>
          <w:b w:val="false"/>
          <w:bCs w:val="false"/>
          <w:i w:val="false"/>
          <w:iCs w:val="false"/>
          <w:sz w:val="20"/>
          <w:szCs w:val="20"/>
          <w:rtl/>
        </w:rPr>
        <w:t xml:space="preserve">194 جدولًا مرتبة بالمخطط ثم الاسم. عمود «المجموعة» يحدد مجموعة الرسم التي ترسم الجدول.</w:t>
      </w:r>
    </w:p>
    <w:tbl>
      <w:tblPr>
        <w:bidiVisual/>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3049"/>
        <w:gridCol w:w="1219"/>
        <w:gridCol w:w="4878"/>
        <w:gridCol w:w="5892"/>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الجدول</w:t>
            </w:r>
          </w:p>
        </w:tc>
        <w:tc>
          <w:tcPr>
            <w:tcW w:type="dxa" w:w="1219"/>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المخطط</w:t>
            </w:r>
          </w:p>
        </w:tc>
        <w:tc>
          <w:tcPr>
            <w:tcW w:type="dxa" w:w="4878"/>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المجموعة</w:t>
            </w:r>
          </w:p>
        </w:tc>
        <w:tc>
          <w:tcPr>
            <w:tcW w:type="dxa" w:w="5892"/>
            <w:tcBorders>
              <w:top w:val="single" w:color="BFC9D6" w:sz="4"/>
              <w:left w:val="single" w:color="BFC9D6" w:sz="4"/>
              <w:bottom w:val="single" w:color="BFC9D6" w:sz="4"/>
              <w:right w:val="single" w:color="BFC9D6" w:sz="4"/>
            </w:tcBorders>
            <w:shd w:fill="1F3A5F" w:color="auto" w:val="clear"/>
            <w:tcMar>
              <w:top w:type="dxa" w:w="45"/>
              <w:left w:type="dxa" w:w="80"/>
              <w:bottom w:type="dxa" w:w="45"/>
              <w:right w:type="dxa" w:w="80"/>
            </w:tcMar>
            <w:vAlign w:val="center"/>
          </w:tcPr>
          <w:p>
            <w:pPr>
              <w:bidi/>
              <w:spacing w:after="0" w:before="0" w:line="252"/>
            </w:pPr>
            <w:r>
              <w:rPr>
                <w:rFonts w:ascii="Arial" w:cs="Arial" w:eastAsia="Arial" w:hAnsi="Arial"/>
                <w:b/>
                <w:bCs/>
                <w:i w:val="false"/>
                <w:iCs w:val="false"/>
                <w:color w:val="FFFFFF"/>
                <w:sz w:val="16"/>
                <w:szCs w:val="16"/>
                <w:rtl/>
              </w:rPr>
              <w:t xml:space="preserve">الغرض</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acc.AuthorityConflict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نتيجة مقارنة صلاحية المفوّض بالحوكمة وقرار المراجع (S1-ب) (FR-ACC-018، BR-ACC-015)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acc.BankAccount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حساب شركة لدى منشأة (FR-ACC-001..009، BR-ACC-001..006، BR-ACC-016)؛ الرقم وIBAN مشفّران بفهرس أعمى للفرادة</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acc.FacilityAccount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حساب بتسهيل بغرض (S2) (FR-ACC-010، BR-ACC-007)؛ يُملأ من شاشة التسهيل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 شخص لدى علاقة (S1-ب) (FR-ACC-012، FR-ACC-023، BR-ACC-008/009) + إضافات docs/05 G-10</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صلاحية المفوّض لعملية على حساب أو على البنك (S1-ب) (FR-ACC-013/014/017، BR-ACC-010/011)؛ لا تعديل في مكانه: الإغلاق والفتح؛ حالتها مشتقة فلا تُخزَّن</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acc.SignatoryAuthorityJointClass</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acc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فئات التوقيع المطلوبة للتوقيع المشترك (JointClassIds) (BR-ACC-013)</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aud.AuditLog</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للإدراج فقط؛ TenantId الفارغ = حدث منصة لا يراه أي مشترك؛ سياسة RLS خاصة (BR-PLT-001/009)</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aud.SensitiveAccessLog</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aud</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كشف الهويات والصور والتصدير والتنزيل المقيّد؛ لكشف الشذوذ &gt;20/ساعة وR-PLT-3 (BR-PTY-009)</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cat.AccountType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الحساب (FR-ACC-001)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سعر الأساس: سوق (InstitutionId فارغ) أو داخلي لبنك (FR-CAT-015، BR-CAT-011)؛ الأسماء البديلة في BaseRateAlias</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cat.BaseRateAlias</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اسم بديل لسعر أساس (SIBOR ≡ SAIBOR) بحث بلا حساسية حالة وفريد ضمن النطاق (BR-CAT-011، FR-CAT-015)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cat.BaseRateValue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سعر الأساس بتاريخ سريان؛ لا حذف: التصحيح صف جديد والقديم SUPERSEDED (FR-CAT-016، BR-CAT-012/013)</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الضمان بنوع بنية وقالب سمات (FR-CAT-013)</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cat.CollateralTypeAttribute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سمة في قالب نوع الضمان؛ لا تُحذف بل تُرمَّز Retired (BR-CAT-009)</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cat.DocumentType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الوثيقة؛ يطبّق 10 أعلامه عند الرفع (FR-CAT-018، BR-CAT-016، FR-PLT-028)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cat.FacilityType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التسهيل (FR-CAT-011)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cat.FeeType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المصروف: فئة عريضة لا بند تعرفة (FR-CAT-008، BR-CAT-005، Q-CAT-10)</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cat.FinancingType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التمويل (FR-CAT-009، BR-CAT-006)</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cat.InstitutionType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المنشأة المالية: بنك، شركة تمويل، استثمارية، مالية، فرد (FR-INS-001)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cat.LegalEntityType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الشكل القانوني: الكيان وسماته يعرّفها 10 (FR-ORG-002، BR-CAT-017) وتبذره هذه الوحدة؛ أعمدة الكتالوج مكتوبة يدويًا لأن فرادة الرمز بالدولة (10 §6.2) لا فرادته وحده</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الحد: رئيسي/جزئي (FR-CAT-012، BR-CAT-008)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cat.LimitTypeProduct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المنتجات المسموحة لنوع الحد؛ غياب الصفوف = أي منتج بعلامة ظاهرة (BR-CAT-008)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cat.LookupItem</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في قائمة قيم مملوك للمشترك (FR-CAT-020)</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cat.LookupList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قائمة قيم مملوكة للمشترك (FR-CAT-020، BR-CAT-015)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cat.ObligationType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الالتزام بأربع عائلات (FR-CAT-014، BR-CAT-010)</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العملية البنكية المفوَّض بها (FR-ACC-013، BR-CAT-014)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cat.OperationTypePowerType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الأسعار المرجعية والقوائم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عملية بنوع/أنواع صلاحية حوكمة؛ «أي واحد يكفي» (BR-CAT-014، FR-CAT-019، Q-ACC-05)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cat.Position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المنصب: السمات يعرّفها 10 §6.2 وحده وتبذر هذه الوحدة صفوفه (FR-CAT-019، BR-CAT-017)؛ SortOrder من أساس الكتالوج</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cat.PowerType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نوع الصلاحية: السمات يعرّفها 10 §6.2 وحده وتبذر هذه الوحدة صفوفه (FR-CAT-019، FR-ORG-024)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المنتج البنكي بأعلامه (FR-CAT-007، BR-CAT-004)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cat.ProductCategory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تصنيف المنتجات: مسطّح (FR-CAT-007)</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cat.ProductFeeType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المصاريف المسموحة للمنتج؛ تعطيل الربط = حذفه ولا يمس قواعد تسعير قائمة (FR-CAT-010، BR-CAT-007)</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cat.ProductFinancingType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المنتجات والرسوم والتمويل والضمانات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أنواع التمويل المسموحة للمنتج (FR-CAT-010، BR-CAT-007)</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cat.TenantCurrency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الكتالوجات المرجعية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العملات المفعّلة للمشترك: تفعيل مجموعة جزئية من المرجع العالمي (FR-CAT-023، Q-CAT-08)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cfg.DataExportJob</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طلب تصدير بيانات المشترك (FR-PLT-039، BR-PLT-016)</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cfg.ExpiryAlertLog</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التنبيهات المرسَلة: حدث واحد لكل (عنصر، عتبة) ولا تكرار في اليوم نفسه (FR-PLT-038)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cfg.ExpiryAlertRule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تنبيه انتهاء لكل نوع عنصر (FR-PLT-038، BR-PLT-013)</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cfg.JobRun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تشغيل المهام الخلفية: آخر تشغيل ومدته ونتيجته ظاهر لمدير الحساب (FR-PLT-044)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cfg.NonWorkingDay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يوم غير عمل؛ TenantId الفارغ = عطلة المنصة للقراءة فقط (FR-PLT-035، BR-PLT-014)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cfg.NumberIssue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الأرقام الصادرة؛ الملغى لا يُعاد استعماله (FR-PLT-026، BR-PLT-010)</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عدّاد لكل (تعريف، شركة اختيارية، فترة)؛ يُقفل صفه عند التخصيص داخل معاملة المستدعي (BR-PLT-010)</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cfg.NumberSequenceDefinition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نوع الترقيم بصيغة بوسوم مثل {seq:000}-{erp}-{yy} (FR-PLT-026)</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cfg.OutboxEvent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طابور الإرسال: تسليم مرة واحدة على الأقل؛ الحمولة معرّفات بلا بيانات مقيّدة (FR-PLT-042)</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cfg.SeedRun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تشغيل البذر المُرقَّم لكل حزمة؛ تكرار التشغيل لا يكرر شيئًا (FR-PLT-008)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cfg.SettingDefinition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مفتاح إعداد بحدود المنصة الدنيا والقصوى (BR-PLT-018، FR-PLT-043)</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cfg.TenantSetting</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cfg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الإعدادات والمهام الخلفية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إعدادات المشترك: سياسات الأمان والمهل والعتبات وwork.start/work.end (FR-PLT-043)</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cmp</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مفتاح شرط قابل للمقارنة (FR-CMP-001)؛ الرمز بنمط PRC.MARGIN_PCT؛ النظامي لا يُحذف ولا تتغير وحدته (IsSystem)</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cmp.TermValue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cmp</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شرط في تسهيل بنطاقها ومصدرها (FR-CMP-002..006، BR-CMP-001..006، V-CMP-01)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ضمان؛ اعتماد مستقل عن مراجعة التسهيل، والتعديل يُنشئ إصدارًا جديدًا (FR-COL-001/014، V-COL-01، §8)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col.CollateralLink</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ضمان بتسهيل أو حد؛ ضمان واحد لعدة تسهيلات (FR-COL-002، BR-COL-005)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col.Guarantee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كفالة 1:1 مع Collateral؛ الكفيل Party دائمًا ولا أرقام هوية هنا (FR-COL-003/004، BR-COL-001)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col.InsurancePolicyAssignment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تجيير وثيقة تأمين؛ مفتاح الفرادة (CollateralId,PolicyNo) يسمح بتجديد الوثيقة (FR-COL-006، BR-COL-003)</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سند لأمر 1:1؛ مبلغ مستقل قد يفوق الحد (FR-COL-005، BR-COL-002)؛ NextRenewalDue وPNRatio مشتقان</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col.PromissoryNoteSigner</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موقّعو السند (SignerPartyIds)</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col.ValuationSchedule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col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الضمانات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مراحل تقييم عقار (FR-COL-008، BR-COL-004)؛ مثل 3 مقيّمين في السنة الأولى ثم مقيّم سنويًا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المستند المنطقي: بيانات المستند وحالته؛ الملف في doc.DocumentVersion (FR-PLT-027/028، BR-PLT-011)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doc.DocumentLink</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مستند بأي كيان بدور وصفحة مرجعية؛ إلغاء الربط منطقي (FR-PLT-028)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doc.DocumentVersion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doc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التدقيق والمستندات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ثابت من الملف؛ التغيير يُنشئ إصدارًا جديدًا يفرضه التطبيق (FR-PLT-027، BR-PLT-011)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حزمة الاتفاقية الائتمانية: جذر التجميعة (FR-FAC-001..008، BR-FAC-001/005/006)</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fac.FacilityDocument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وثيقة ضمن الحزمة بأسبقية (FR-FAC-004، BR-FAC-008، V-FAC-03)؛ نوعها من doc.Document.DocumentTypeId</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fac.FacilityLender</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مقرض وحصته (FR-FAC-003، BR-FAC-007، V-FAC-02)؛ مجموع الحصص 100 ووكيل واحد يتحقق منهما التطبيق</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fac.FacilityRevision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مراجعة معدّ/معتمِد لشروط التسهيل (FR-FAC-024، BR-FAC-003/004، §8)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عقدة شجرة الحدود (FR-FAC-010/011، BR-FAC-009/010، V-FAC-04..07)</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fac.LimitCompanyRule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قيد شركة على حد: مسموح/مستثنى/تخصيص (FR-FAC-013، BR-FAC-012، V-FAC-09)</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fac.LimitMovement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حركة على حجز أو استخدام؛ لا تعديل ولا حذف؛ مفتاح عدم التكرار (BR-FAC-015/020)</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fac.LimitProductLine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خط منتج داخل حد: سقف اختياري SHARED_CAP دائمًا (FR-FAC-012، V-FAC-08)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fac.LimitReservation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حجز مبلغ لطلب = ExposureAmount (FR-FAC-017/018/020، BR-FAC-015)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fac.OutstandingSnapshot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لقطة الرصيد المعترف به (FR-FAC-009، BR-FAC-017)؛ PctOfLimit مشتق لا يُخزَّن</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fac.ProductLineTerm</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شروط العملية لخط المنتج بتواريخ سريان؛ الفارغ = «غير محدد» لا صفر (FR-FAC-014، BR-FAC-016)</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fac.Utilization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الحدود والاستخدام والحجوزات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استخدام فعّال: يدوي أو مرتبط باعتماد مستندي؛ لا حذف (FR-FAC-016/030، BR-FAC-013/020)</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fac.ValueConflict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fac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التسهيلات والمراجعات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تعارض قيمتين لحقل واحد وحسمه (FR-FAC-026، BR-FAC-019، BR-FAC-008)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fin.AccountMonthlyStat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رصيد شهري لحساب بعملة الحساب (FR-FIN-008، BR-FIN-005/006، V-FIN-02)</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fin.BankFlowEntry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مبلغ محوَّل للبنك في شهر؛ تجميع سنوي آلي (FR-FIN-009/010، BR-FIN-007/008)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fin.FinancialStatement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رأس قائمة مالية؛ سري جدًا (FR-FIN-002/005/006، BR-FIN-001..004، §8)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معياري للقوائم؛ 39 بندًا مبذورًا؛ النظامي في الصيغ لا يُحذف (FR-FIN-001، CatalogBase)</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fin.LineCatalogItemAlias</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الأسماء البديلة للبند (Aliases) للصق والمطابقة</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fin.MeasureFormula</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صيغة مقياس: قالب أو نسخة اتفاقية بإصدارات؛ لا تُنفَّذ نصًا (FR-FIN-011، BR-FIN-009، §12)</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fin.StatementLine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fin</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البيانات المالية والأرصدة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سطر قائمة؛ بعملة الرأس والمخزَّن = المُدخل x UnitScale؛ Variance مشتق؛ سري جدًا (BR-FIN-001/002)</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ins.Contact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جهة اتصال لدى البنك: سجل خفيف بلا هوية، PartyId اختياري للترقية (FR-INS-007/008، BR-INS-005/006/014)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المنشأة المالية (FR-INS-001..004، BR-INS-001..003، BR-INS-012)؛ Locality محلي/أجنبي مشتقة (BR-INS-002) فلا تُخزَّن</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ins.InstitutionUnit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وحدة في هيكل المنشأة: إدارة/قسم/فرع، شجرة ذاتية حتى 4 مستويات (FR-INS-005/006، BR-INS-004)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علاقة شركة–منشأة (D-4)؛ فريدة مهما كانت حالتها (FR-INS-009، BR-INS-007/011)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ins.RelationshipContact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تغطية العلاقة (الطبقة الأولى): جهة اتصال بدور ورتبة وفترة (FR-INS-010، BR-INS-008/009)</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ins.RelationshipProduct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ins</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م2–م3 · الجهات المالية والحسابات والمفوّضون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منتج يُتعامل به ضمن علاقة مع جهة افتراضية وقناة (FR-INS-011..013، BR-INS-010)</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lc.Counterparty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الطرف المقابل: مورّد/عميل خفيف بلا هوية؛ يُرقّى إلى Party عند الحاجة (FR-LCT-036/037، BR-LCT-022، Q-PTY-03)</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lc.LcAmendment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تعديل اعتماد صادر أو مستلَم (FR-LCI-018/019، FR-LCE-020، BR-LCI-011/012، BR-LCE-014)؛ الحالات §8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lc.LcChargesMatrix</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رسوم الشروط: صف لكل فئة (6 صفوف كاملة يتحقق منها التطبيق V-LCT-12) (FR-LCT-020، BR-LCT-014)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lc.LcDiscrepancy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مخالفة على مستندات سحب أو اعتماد؛ القرار يتطلب lc.discrepancy.decide (FR-LCI-024، FR-LCE-021، §8)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مكتبة بنود المستندات بإصدارات: نص قالب بمعاملات (FR-LCT-017..019، BR-LCT-012)؛ مراجع UCP في lc.LcDocumentClauseUcpRef</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lc.LcDocumentClauseUcpRef</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UCP لبند مستند: مادة + فقرة (UcpRefs في المواصفة)</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سحب/تقديم مستندات تحت اعتماد؛ في التصدير يشمل تحويل التخصيص (FR-LCI-023، BR-LCI-013، BR-LCE-011)؛ الحالات §8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lc.LcDrawingAllocation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توزيع سحب تصدير على أوامر بيع (FR-LCE-016/017، BR-LCE-011/013)</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lc.LcExternalRef</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خارجي للاعتماد (ERP...)؛ بلا فرادة؛ البحث بالمطبَّع (FR-LCI-013، BR-REQ-006)</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lc.LcFieldDefinition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حقل في شروط الاعتماد: بيانات تُبذر لكل مشترك (FR-LCT-004، BR-LCT-002)؛ مراجع UCP في lc.LcFieldUcpRef</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lc.LcFieldUcpRef</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UCP لحقل: مادة + فقرة (UcpRefs في المواصفة)؛ يغذّي الشارة وR-LCT-01 وBR-LCT-018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lc.LcFormFieldMap</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تعيين حقل نظام إلى حقل PDF أو بند في ورقة البوابة (FR-LCT-027، BR-LCT-020)</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lc.LcFormTemplate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قالب نموذج بنك/منتج/نوع نموذج بإصدار وفترة نفاذ وملحق عقدي (FR-LCT-026، BR-LCT-017، 02 F-14)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lc.LcSalesOrder</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تخصيص أمر بيع على اعتماد مستلَم؛ لا يقابله حد ائتماني (FR-LCE-013..015، BR-LCE-009..013)؛ الحالات §8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شروط اعتماد: صف لكل إصدار بأعمدة قاموس §6.2؛ مشترك بين البروفورما والطلب والاعتماد والتعديل (FR-LCT-001..035)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نتيجة مقارنة شروط الاعتماد المستلَم بالبروفورما (FR-LCT-031، FR-LCE-023، BR-LCT-021)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lc.LcTermsComparisonLine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فرق حقل واحد وحكمه وقرار الخزينة (FR-LCT-031، BR-LCT-021)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lc.LcTermsDocument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شروط الاعتماد والنماذج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مستند مختار في الشروط ومعاملاته؛ النص المصيَّر يُجمَّد عند القفل (FR-LCT-018، BR-LCT-012)</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lc.LetterOfCredit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الاعتماد للجانبين: مشتريات (نحن الطالب) ومبيعات (نحن المستفيد) (FR-LCI-011..016، FR-LCE-009، BR-LCI-004/008/016، BR-LCE-007/009)</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lc.ProformaInvoice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البروفورما الصادرة؛ يمنع التطبيق تعديلها بعد الإصدار؛ الرقم {seq:000}-{erp}-{yy} (FR-LCE-005..008، BR-LCE-001..006)</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lc.ProformaLine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lc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م7/م8 · الاعتمادات والبروفورما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في البروفورما (FR-LCE-003، BR-LCE-001)؛ يُثبَّت بعد الإصدار</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ntf.DigestBatch</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دفعة ملخص لمستخدم وقناة وفترة؛ لا يُرسل فارغًا (FR-NTF-014، BR-NTF-004، JOB-NTF-DIGEST)</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إشعار لمستخدم؛ المحتوى بلا قيم مقيّدة (FR-NTF-005/006/007/021، BR-NTF-001/002/007/008/011)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ntf.NotificationDelivery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تسليم الإشعار لكل قناة بحالاته وإعادة المحاولة (FR-NTF-019، BR-NTF-009، §8)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ntf.NotificationEventType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الأحداث؛ تملكه 13 لكل الوحدات وتبذر فيه الوحدات أحداثها (FR-NTF-001، §9.2، §9.2-ب)</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ntf.NotificationPreference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تفضيل المستخدم لكل مجموعة أحداث وقناة (FR-NTF-010، BR-NTF-003/014)؛ الإلزامي لا يُوقَف في التطبيق</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ntf.NotificationRule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مستلمين لحدث؛ التعديل يسري على الأحداث التالية فقط (FR-NTF-003، BR-NTF-001، V-NTF-02)</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ntf.NotificationTemplate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ntf</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الإشعارات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قالب رسالة لكل (حدث، قناة، لغة)؛ الحذف = العودة إلى قالب البذرة (FR-NTF-012، FR-NTF-025)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تعهد بتواريخ؛ الحدود المتدرجة = عدة نسخ (FR-OBL-006، BR-OBL-001/005/006، Q-OBL-01)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obl.CovenantAccount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الحسابات المشمولة بالتعهد عند اختيار حسابات محددة (AccountIds)</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obl.CovenantTest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تقييم تعهد لفترة وإصدار تقييم؛ يمنع التطبيق تعديل التقييم المخزَّن (FR-OBL-011، FR-FIN-012/013، BR-OBL-006/007، §8)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التزام على تسهيل (أو حد/خط/شركات)؛ العائلة من ObligationType ولا تُحرَّر (FR-OBL-001، BR-OBL-001)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obl.ObligationBreach</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خرق وعلاجه وتنازله (FR-OBL-012، BR-OBL-009/011، §8)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obl.ObligationCompany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الشركات التي ينطبق عليها الالتزام (AppliesToCompanyIds)</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obl.ReportingInstance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أجندة مولَّد أو مسجَّل لحدث (FR-OBL-003..005، BR-OBL-003، §8)؛ DUE_SOON/OVERDUE مشتقتان</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obl.ReportingObligation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obl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الالتزامات والتعهدات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استحقاق تقرير/إخطار 1:1 مع Obligation (FR-OBL-002/003، BR-OBL-002، V-OBL-01)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org.AuthorityGrant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تفويض/منحة صلاحية لشركة (FR-ORG-023..028، BR-ORG-011..014)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org.BodyMember</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عضوية في هيئة (FR-ORG-020، FR-ORG-021، BR-ORG-010)</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الشركة: جذر الهيكل المؤسسي (FR-ORG-001..010، BR-ORG-001..004)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org.CompanyBranch</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فرع/مستودع/تابعة خارج الحساب كنص (G-3)</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org.CompanyDisclosure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إفصاحات الشركة (G-5)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org.CompanyExpectedFlow</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مصفوفة الحركة المتوقعة الشهرية CTP: اتجاه × 5 بنود (G-4)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org.CompanyKeyRelation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أصحاب العلاقة: مدققون، مستشار قانوني، جهات تنظيمية، أبرز العملاء/الموردين (G-6)</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org.CompanyKycFinancialProfile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الملف المالي KYC بتاريخ سريان: شريحة الإيرادات والغرض (G-4)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org.CompanyProfile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ملف تعريف الشركة 1:1 (G-1)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org.CompanyTaxRate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نسبة ضريبة بتاريخ سريان؛ CompanyId فارغ = افتراضي المشترك (FR-ORG-007، BR-ORG-005)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org.CompanyWealthSource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ملف الشركة و KYC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مصادر الأموال والثروة: قائمة متعددة (G-4)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org.Department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الإدارة (FR-ORG-014، BR-ORG-016، Q-ORG-09: على مستوى المشترك وشركة اختيارية)</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org.GoverningBody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هيئة حوكمة (FR-ORG-019، BR-ORG-009)</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org.Shareholding</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org</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الشركات والحوكمة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حصة ملكية بتاريخ سريان؛ المالك Party فرد أو جهة (FR-ORG-015..018، BR-ORG-006..008، G-7)</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باقة: حزمة وحدات وحدود ناعمة (FR-PLT-003/004، Q-PLT-11)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plat.PlanModule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وحدات الباقة (يحل محل Plan.IncludedModules json)</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plat.PlatformOperator</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يقرؤه تطبيق المشترك (tp_app) · حساب مشغّل المنصة: مخزن هوية منفصل عن AppUser (FR-PLT-006)</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plat.ReservedSubdomain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عناوين فرعية محجوزة للنظام: www · admin · api · app… (FR-PLT-046)</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plat.SupportAccessGrant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وصول الدعم المؤقت يفعّله مدير حساب المشترك (FR-PLT-007، BR-PLT-017)</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لا وصول مباشر لتطبيق المشترك (يقرأ صفّه عبر plat.v_CurrentTenant) · جذر العزل: المشترك (FR-PLT-001/002/046، BR-PLT-001/002)</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plat.TenantModule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plat</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المشترك والاشتراكات والمشغّلون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الوحدات المفعّلة لكل مشترك؛ ملكية المنصة فقط: لا يكتبها تطبيق المشترك ويقرؤها عبر عرض مُحدَّد (DR-01)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prc.PricingRule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تسعير بنطاق ووراثة وطرق (FR-PRC-006..017، BR-PRC-006..012، V-PRC-02)</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prc.PricingTier</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شريحة قاعدة TIERED بالمبلغ و/أو المدة (FR-PRC-003، BR-PRC-002)</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prc.TariffItem</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رسم في جدول التعرفة (FR-PRC-002، BR-PRC-002..005)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prc.TariffSchedule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جدول رسوم لبنك؛ خاص بتسهيل اختياريًا (FR-PRC-001، BR-PRC-001، V-PRC-01)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prc.TariffTier</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prc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م5 · التسعير وشروط المقارنة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شريحة بند تعرفة بالمبلغ و/أو المدة (FR-PRC-003، BR-PRC-002)</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pty.Address</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عنوان متعدد الملكية: OwnerType+OwnerId بلا FK (مزوّد المالك يتحقق منه التطبيق) (FR-PTY-011، BR-PTY-015)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pty.ContactMethod</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وسيلة اتصال متعددة الملكية (FR-PTY-012، BR-PTY-015)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pty.CustomFieldDefinition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حقل مخصص (FR-PTY-013، BR-PTY-014)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pty.IdentityDocument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وثيقة هوية؛ الرقم مشفّر والصور مستندات مقيَّدة (FR-PTY-004..009، FR-PTY-020..022، BR-PTY-002..008)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قائمة اكتمال KYC لكل بنك ودور (FR-PTY-023، BR-PTY-012..013، G-8، G-14)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بند اكتمال (FR-PTY-023، FR-PTY-024، G-14)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pty.KycProfileItemLegalForm</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شروط ظهور البند بحسب الشكل القانوني؛ غياب الصفوف = ينطبق على الكل (G-15)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شخص أو جهة؛ لا دور مخزَّن (FR-PTY-001..003، BR-PTY-001..004، BR-PTY-016..018)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pty.PartyCompliance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إقرارات امتثال بتاريخ لكل شخص بصفته: PEP، عقوبات، تحقيقات، حصانة (G-9)</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pty.PartyCustomField</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قيمة حقل مخصص لشخص (FR-PTY-013، FR-PTY-014)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pty.TaxIdentity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pty</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م1 · الأشخاص والهوية و KYC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الهوية الضريبية والإقرار الضريبي FATCA/CRS (G-13)</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ref.Country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المراجع العامة (ref)</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الدولة: مرجع عالمي للقراءة فقط يديره مشغّل المنصة (FR-CAT-026، BR-CAT-018، BR-CAT-015)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ref.Currency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المراجع العامة (ref)</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العملة: مرجع عالمي ISO 4217 للقراءة فقط (FR-CAT-021، Q-CAT-08)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ref.Incoterm</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المراجع العامة (ref)</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مصطلح تسليم Incoterms: مرجع عالمي للقراءة فقط يديره المشغّل؛ القديم LEGACY للعرض لا للاختيار (FR-LCT-013، FR-CAT-021، BR-CAT-015)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ref.UcpArticle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ref</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م4 · المراجع العامة (ref)</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مادة UCP 600 مرجعية: TenantId الفارغ = صف عام للقراءة فقط ينشره المشغّل وحده (FR-LCT-006، BR-LCT-018، BR-PLT-001)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sec.AppUser</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مستخدم بوابة المشترك (FR-PLT-010..016، BR-PLT-004..006)</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sec.ExternalIdentity</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هوية خارجية OIDC/Entra بالمستخدم؛ جاهزية فقط (FR-PLT-015، §11)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sec.KeyEvent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أحداث المفاتيح: إنشاء وتدوير وإبطال (FR-PLT-037؛ شدة عالية BR-PLT-009)</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sec.LoginAttempt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محاولات الدخول لخنق المعدل ونوافذ القفل؛ الأثر الدائم في aud.AuditLog (BR-PLT-005)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sec.MfaRecoveryCode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10 رموز استرداد لمرة واحدة مُجزَّأة (FR-PLT-011، BR-PLT-006؛ بديل AppUser.RecoveryCodesHash json)</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sec.Permission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كتالوج الصلاحيات تملكه المنصة؛ لا يضيف المشترك صلاحية (FR-PLT-017)</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دور يخصصه المشترك أو مبذور (FR-PLT-018)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sec.RolePermission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دور-صلاحية؛ PERMISSION_LOCKED يُفرض في الخدمة (BR-PLT-019)</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sec.TenantKey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مفاتيح المشترك؛ المفتاح ملفوف بمفتاح رئيسي خارج القاعدة (FR-PLT-037، BR-PLT-015)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sec.UserCompanyScope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شركات يراها المستخدم؛ تُهمل إن كان CompanyScopeMode=ALL (FR-PLT-020)</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sec.UserPasswordHistory</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(2/2)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آخر 5 كلمات مرور لمنع إعادة استعمالها (BR-PLT-004)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sec.UserRole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الهوية والصلاحيات (2/2)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مستخدم-دور؛ اتحاد الصلاحيات (BR-PLT-007، FR-PLT-018)</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sec.UserSession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(1/2)</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جلسات المستخدم: خمول 30 دقيقة ومطلقة 12 ساعة (FR-PLT-014)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sec.UserToken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sec</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م0 · الجلسات والمفاتيح والمحاولات (1/2)</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رابط دعوة (48 ساعة) أو إعادة تعيين كلمة المرور (30 دقيقة) لمرة واحدة (FR-PLT-013)</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wfl.ExternalPhase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المرحلة الظاهرة للطالب: DRAFT · IN_APPROVAL · RETURNED · AWAITING_REQUESTER · IN_PROGRESS · COMPLETED · REJECTED · CANCELLED (BR-WFL-011، D-6)</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wfl.HookExecution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تنفيذ خطاف بمفتاح عدم تكرار يعيد النتيجة المخزَّنة (FR-WFL-021، BR-WFL-015)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الطلب: أكثر الجداول ازدحامًا؛ الحالة الداخلية منفصلة عن المرحلة الظاهرة (FR-WFL-001، FR-REQ-009، D-6، BR-REQ-002/003)</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wfl.RequestAction</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سجل إجراءات للإضافة فقط يغطي كل حدث؛ غير AuditLog الأمني (FR-WFL-033/034، §6.2)</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wfl.RequestApproval</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خانة موافقة تُنشأ لكل دخول ودورة؛ الدورة الجديدة بخانات جديدة (BR-WFL-003، FR-WFL-007/008/011)</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wfl.RequestAttachment</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ربط مستند بطلب ينشئ DocumentLink (EntityType=Request) (FR-REQ-006، BR-REQ-005)</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wfl.RequestComment</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تعليق ظاهر للطالب أو داخلي؛ يمنع التطبيق تعديله، والسحب يترك الأصل (FR-REQ-017، BR-REQ-014)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wfl.RequestExternalRef</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مرجع خارجي بنص حر؛ تعديل بالإحلال ويبقى التاريخ؛ بلا تحقق خارجي (FR-REQ-010، X-DAT-7، BR-REQ-006)</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wfl.RequestStageInstance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دخول طلب إلى مرحلة؛ مصدر مقاييس الأزمنة والسحب والـ SLA (BR-WFL-002/007/012، §8)</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تعريف نوع الطلب (FR-REQ-001، BR-REQ-001، V-REQ-01)؛ الأنواع الجديدة بلا كود (FR-REQ-021)</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wfl.RequestTypeAudience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(1/3)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جمهور النوع: من يحق له الطلب؛ غياب الصفوف = لا أحد (فشل مغلق) (FR-REQ-007)</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wfl.StageApprover</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خانة موافقة في مرحلة APPROVAL؛ ALL = كل الخانات، ودور بشخصين يلزمان معًا = خانتان (FR-WFL-007/041، BR-WFL-003/004)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wfl.TemplateAttachmentRule</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قاعدة مرفق على نسخة قالب (FR-REQ-006، BR-REQ-005، FR-WFL-024/025)</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wfl.TemplateField</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(3/3)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حقل في نسخة قالب يولّد النموذج بلا كود واجهة (FR-REQ-002..005، BR-REQ-003/004)</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wfl.UserDelegation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الطلبات وإجراءاتها (3/3)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تفويض مهام بفترة ونطاق؛ لا تفويض متسلسل (FR-WFL-020، BR-WFL-021، V-WFL-06)</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(2/3)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مرحلة في نسخة قالب (FR-WFL-003/004/005، BR-WFL-002/010/012)؛ حذف فعلي لمسودة النسخة فقط</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wfl.WorkflowStageHook</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خطاف مسجَّل بالكود على مرحلة: مفتاح ومعاملات لا كود (FR-WFL-021، BR-WFL-015، §5.4)</w:t>
            </w:r>
          </w:p>
        </w:tc>
      </w:tr>
      <w:tr>
        <w:trPr>
          <w:cantSplit/>
        </w:trPr>
        <w:tc>
          <w:tcPr>
            <w:tcW w:type="dxa" w:w="304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wfl.WorkflowTemplate</w:t>
            </w:r>
          </w:p>
        </w:tc>
        <w:tc>
          <w:tcPr>
            <w:tcW w:type="dxa" w:w="1219"/>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(1/3)</w:t>
            </w:r>
          </w:p>
        </w:tc>
        <w:tc>
          <w:tcPr>
            <w:tcW w:type="dxa" w:w="5892"/>
            <w:tcBorders>
              <w:top w:val="single" w:color="BFC9D6" w:sz="4"/>
              <w:left w:val="single" w:color="BFC9D6" w:sz="4"/>
              <w:bottom w:val="single" w:color="BFC9D6" w:sz="4"/>
              <w:right w:val="single" w:color="BFC9D6" w:sz="4"/>
            </w:tcBorders>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إصدار قالب دورة عمل؛ المنشور ثابت (FR-WFL-001/028، BR-WFL-019، AC-WFL-6)</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Courier New" w:cs="Courier New" w:eastAsia="Courier New" w:hAnsi="Courier New"/>
                <w:b w:val="false"/>
                <w:bCs w:val="false"/>
                <w:i w:val="false"/>
                <w:iCs w:val="false"/>
                <w:sz w:val="15"/>
                <w:szCs w:val="15"/>
                <w:rtl w:val="false"/>
              </w:rPr>
              <w:t xml:space="preserve">wfl.WorkflowTransition</w:t>
            </w:r>
          </w:p>
        </w:tc>
        <w:tc>
          <w:tcPr>
            <w:tcW w:type="dxa" w:w="1219"/>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wfl</w:t>
            </w:r>
          </w:p>
        </w:tc>
        <w:tc>
          <w:tcPr>
            <w:tcW w:type="dxa" w:w="4878"/>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م6 · قوالب دورات العمل (2/3)</w:t>
            </w:r>
          </w:p>
        </w:tc>
        <w:tc>
          <w:tcPr>
            <w:tcW w:type="dxa" w:w="5892"/>
            <w:tcBorders>
              <w:top w:val="single" w:color="BFC9D6" w:sz="4"/>
              <w:left w:val="single" w:color="BFC9D6" w:sz="4"/>
              <w:bottom w:val="single" w:color="BFC9D6" w:sz="4"/>
              <w:right w:val="single" w:color="BFC9D6" w:sz="4"/>
            </w:tcBorders>
            <w:shd w:fill="F5F8FC" w:color="auto" w:val="clear"/>
            <w:tcMar>
              <w:top w:type="dxa" w:w="45"/>
              <w:left w:type="dxa" w:w="80"/>
              <w:bottom w:type="dxa" w:w="45"/>
              <w:right w:type="dxa" w:w="80"/>
            </w:tcMar>
            <w:vAlign w:val="center"/>
          </w:tcPr>
          <w:p>
            <w:pPr>
              <w:bidi/>
              <w:spacing w:after="0" w:before="0" w:line="252"/>
            </w:pPr>
            <w:r>
              <w:rPr>
                <w:rFonts w:ascii="Arial" w:cs="Arial" w:eastAsia="Arial" w:hAnsi="Arial"/>
                <w:b w:val="false"/>
                <w:bCs w:val="false"/>
                <w:i w:val="false"/>
                <w:iCs w:val="false"/>
                <w:sz w:val="16"/>
                <w:szCs w:val="16"/>
                <w:rtl/>
              </w:rPr>
              <w:t xml:space="preserve">انتقال بين مرحلتين بشرط وأولوية؛ دورة خطية بتفرع شرطي بسيط (FR-WFL-006، BR-WFL-001، D-8)</w:t>
            </w:r>
          </w:p>
        </w:tc>
      </w:tr>
    </w:tbl>
    <w:sectPr>
      <w:headerReference w:type="default" r:id="rId7"/>
      <w:footerReference w:type="default" r:id="rId8"/>
      <w:pgSz w:w="16838" w:h="11906" w:orient="landscape"/>
      <w:pgMar w:top="1000" w:right="900" w:bottom="1000" w:left="900"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6"/>
        <w:szCs w:val="16"/>
        <w:rtl/>
      </w:rPr>
      <w:t xml:space="preserve">صفحة </w:t>
    </w:r>
    <w:r>
      <w:rPr>
        <w:rFonts w:ascii="Arial" w:cs="Arial" w:eastAsia="Arial" w:hAnsi="Arial"/>
        <w:color w:val="5B6670"/>
        <w:sz w:val="16"/>
        <w:szCs w:val="16"/>
        <w:rtl/>
      </w:rPr>
      <w:fldChar w:fldCharType="begin"/>
      <w:instrText xml:space="preserve">PAGE</w:instrText>
      <w:fldChar w:fldCharType="separate"/>
      <w:fldChar w:fldCharType="end"/>
    </w:r>
    <w:r>
      <w:rPr>
        <w:rFonts w:ascii="Arial" w:cs="Arial" w:eastAsia="Arial" w:hAnsi="Arial"/>
        <w:color w:val="5B6670"/>
        <w:sz w:val="16"/>
        <w:szCs w:val="16"/>
        <w:rtl/>
      </w:rPr>
      <w:t xml:space="preserve"> من </w:t>
    </w:r>
    <w:r>
      <w:rPr>
        <w:rFonts w:ascii="Arial" w:cs="Arial" w:eastAsia="Arial" w:hAnsi="Arial"/>
        <w:color w:val="5B6670"/>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6"/>
        <w:szCs w:val="16"/>
        <w:rtl/>
      </w:rPr>
      <w:t xml:space="preserve">مخطط علاقات جداول قاعدة البيانات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A5F" w:sz="8" w:space="3"/>
      </w:pBdr>
      <w:bidi/>
      <w:spacing w:after="140" w:before="300"/>
      <w:outlineLvl w:val="0"/>
    </w:pPr>
    <w:rPr>
      <w:b/>
      <w:bCs/>
      <w:color w:val="1F3A5F"/>
      <w:sz w:val="32"/>
      <w:szCs w:val="32"/>
    </w:rPr>
  </w:style>
  <w:style w:type="paragraph" w:styleId="Heading2">
    <w:name w:val="heading 2"/>
    <w:basedOn w:val="Normal"/>
    <w:next w:val="Normal"/>
    <w:qFormat/>
    <w:pPr>
      <w:keepNext/>
      <w:bidi/>
      <w:spacing w:after="100" w:before="220"/>
      <w:outlineLvl w:val="1"/>
    </w:pPr>
    <w:rPr>
      <w:b/>
      <w:bCs/>
      <w:color w:val="2B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1e7604c15fdfbabae550d846f1e3a589ea5fcd.png"/><Relationship Id="rId10" Type="http://schemas.openxmlformats.org/officeDocument/2006/relationships/image" Target="media/bbd9a244419437546907bd9369c1c3e22633ec30.png"/><Relationship Id="rId11" Type="http://schemas.openxmlformats.org/officeDocument/2006/relationships/image" Target="media/a4ff6d9a62c6555df386742bf7f3bd9f17b10a60.png"/><Relationship Id="rId12" Type="http://schemas.openxmlformats.org/officeDocument/2006/relationships/image" Target="media/d003666bf8c9b72c6fd2fbc54cfb713a4ad32492.png"/><Relationship Id="rId13" Type="http://schemas.openxmlformats.org/officeDocument/2006/relationships/image" Target="media/b9ec0191f337c84c42a52cfb8c3828dbed177524.png"/><Relationship Id="rId14" Type="http://schemas.openxmlformats.org/officeDocument/2006/relationships/image" Target="media/8a4364f72c3e62890d8c44fc3eb2e2e015d2272e.png"/><Relationship Id="rId15" Type="http://schemas.openxmlformats.org/officeDocument/2006/relationships/image" Target="media/75aa688fc827119af42a6a7ac7a38bae08ff2847.png"/><Relationship Id="rId16" Type="http://schemas.openxmlformats.org/officeDocument/2006/relationships/image" Target="media/a7a7fef06cca2f0643662283f9c35d9f2570cf92.png"/><Relationship Id="rId17" Type="http://schemas.openxmlformats.org/officeDocument/2006/relationships/image" Target="media/a1e7668baf08875b2db070b292c9cb791ac4af82.png"/><Relationship Id="rId18" Type="http://schemas.openxmlformats.org/officeDocument/2006/relationships/image" Target="media/9b3786f8184a09b5f1368696fc307318687913db.png"/><Relationship Id="rId19" Type="http://schemas.openxmlformats.org/officeDocument/2006/relationships/image" Target="media/badc69daba83dbe5931f68b48317c53ab6966240.png"/><Relationship Id="rId20" Type="http://schemas.openxmlformats.org/officeDocument/2006/relationships/image" Target="media/d3f2179fc08ce0eacd8158922885beb09b1d8d13.png"/><Relationship Id="rId21" Type="http://schemas.openxmlformats.org/officeDocument/2006/relationships/image" Target="media/c76002d011352f5395eb0b6c31f09f1d67c59208.png"/><Relationship Id="rId22" Type="http://schemas.openxmlformats.org/officeDocument/2006/relationships/image" Target="media/1a88435d2f039d0fa8f2b3cdfc86cd319030ec60.png"/><Relationship Id="rId23" Type="http://schemas.openxmlformats.org/officeDocument/2006/relationships/image" Target="media/29eb4df0aacf9c0072e337a761f788843d7a80cf.png"/><Relationship Id="rId24" Type="http://schemas.openxmlformats.org/officeDocument/2006/relationships/image" Target="media/6b1d29cc62baee06a5ba6683a9e07f069ed0d68a.png"/><Relationship Id="rId25" Type="http://schemas.openxmlformats.org/officeDocument/2006/relationships/image" Target="media/774fe46ecf3760c648c35a01cac1d50484330c0f.png"/><Relationship Id="rId26" Type="http://schemas.openxmlformats.org/officeDocument/2006/relationships/image" Target="media/c21bf5461509a6600882b3e0c661a8374c8e11e4.png"/><Relationship Id="rId27" Type="http://schemas.openxmlformats.org/officeDocument/2006/relationships/image" Target="media/101438c2eebfd0717141bb568e77a17547d945d5.png"/><Relationship Id="rId28" Type="http://schemas.openxmlformats.org/officeDocument/2006/relationships/image" Target="media/cb080cd65b607f7f9633ce1ddc6d1fe9caa73fd5.png"/><Relationship Id="rId29" Type="http://schemas.openxmlformats.org/officeDocument/2006/relationships/image" Target="media/a7b8ed1cdeea67cf394d53d30f27f2b03d16b086.png"/><Relationship Id="rId30" Type="http://schemas.openxmlformats.org/officeDocument/2006/relationships/image" Target="media/fafbd534482467ca795a619256cc040d809678d7.png"/><Relationship Id="rId31" Type="http://schemas.openxmlformats.org/officeDocument/2006/relationships/image" Target="media/19ed210285c6be503a282437430627d0141bf437.png"/><Relationship Id="rId32" Type="http://schemas.openxmlformats.org/officeDocument/2006/relationships/image" Target="media/a7b6ae8c9d68ff4de6a5ab8636260887f3882ec9.png"/><Relationship Id="rId33" Type="http://schemas.openxmlformats.org/officeDocument/2006/relationships/image" Target="media/49cb5193cf21a99ab8f6c97029a00bf1bad3271a.png"/><Relationship Id="rId34" Type="http://schemas.openxmlformats.org/officeDocument/2006/relationships/image" Target="media/e67035773addbfd0d234ddf7bdbd3703eb7b2d01.png"/><Relationship Id="rId35" Type="http://schemas.openxmlformats.org/officeDocument/2006/relationships/image" Target="media/8d5d972816be1a4f7fb7bd461a82351be911260c.png"/><Relationship Id="rId36" Type="http://schemas.openxmlformats.org/officeDocument/2006/relationships/image" Target="media/1dfa69fe80e24e4114061f8d82f7a15cdf46b836.png"/><Relationship Id="rId37" Type="http://schemas.openxmlformats.org/officeDocument/2006/relationships/image" Target="media/22eea4621d189d2ec2ce3de64049d504827489ba.png"/><Relationship Id="rId38" Type="http://schemas.openxmlformats.org/officeDocument/2006/relationships/image" Target="media/51418d538b6808035e0db5c469ea7ba46dffa8f3.png"/><Relationship Id="rId39" Type="http://schemas.openxmlformats.org/officeDocument/2006/relationships/image" Target="media/46a0f19f17d64fe26b4c36522e53db828d08c0e2.png"/><Relationship Id="rId40" Type="http://schemas.openxmlformats.org/officeDocument/2006/relationships/image" Target="media/be2422664b11cc849ef3d82a92cb61fbd44ff584.png"/><Relationship Id="rId41" Type="http://schemas.openxmlformats.org/officeDocument/2006/relationships/image" Target="media/93dccc242007585c67c314a8ec0d81704fe3501f.png"/><Relationship Id="rId42" Type="http://schemas.openxmlformats.org/officeDocument/2006/relationships/image" Target="media/90572ef349b4e189835e0f13298d23bd222147f4.png"/><Relationship Id="rId43" Type="http://schemas.openxmlformats.org/officeDocument/2006/relationships/image" Target="media/1e2b41f142148e53cebb38d8af332c67607f10e7.png"/><Relationship Id="rId44" Type="http://schemas.openxmlformats.org/officeDocument/2006/relationships/image" Target="media/76e546e477c4da7d3bb36259438ed6a4d3726402.png"/><Relationship Id="rId45" Type="http://schemas.openxmlformats.org/officeDocument/2006/relationships/image" Target="media/271e0b36918d1081cbb0fb919ffdbe0b3739a561.png"/><Relationship Id="rId46" Type="http://schemas.openxmlformats.org/officeDocument/2006/relationships/image" Target="media/63d48754eed442470525e2402aba12e000d32da3.png"/><Relationship Id="rId47" Type="http://schemas.openxmlformats.org/officeDocument/2006/relationships/image" Target="media/f1c2c34bf83df820e0c42dc07d3ff28846823b78.png"/><Relationship Id="rId48" Type="http://schemas.openxmlformats.org/officeDocument/2006/relationships/image" Target="media/3734a7522653812e8f538e943ec35e349d97ca79.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05f53dc88ad0943efaead7b4c2d5ab1aa080fc4a.png"/><Relationship Id="rId54" Type="http://schemas.openxmlformats.org/officeDocument/2006/relationships/image" Target="media/2b2144d7fc608f1fdad5d8fbd5bcb05af47ed3a2.png"/><Relationship Id="rId55" Type="http://schemas.openxmlformats.org/officeDocument/2006/relationships/image" Target="media/d5d06d0ed7e79795ab5ed0ed5dbdf50949842418.png"/><Relationship Id="rId56" Type="http://schemas.openxmlformats.org/officeDocument/2006/relationships/image" Target="media/4982395d76e0d33b7f30ab097273feccdf168e04.png"/><Relationship Id="rId57" Type="http://schemas.openxmlformats.org/officeDocument/2006/relationships/image" Target="media/494c0f4a1326e3bbc19667850012a84e52403045.png"/><Relationship Id="rId58" Type="http://schemas.openxmlformats.org/officeDocument/2006/relationships/image" Target="media/f3c6a99e2f66df4dbe72197e44ae37e9973bbd72.png"/><Relationship Id="rId59" Type="http://schemas.openxmlformats.org/officeDocument/2006/relationships/image" Target="media/d539d1be88e22a9ddb39b43fe087de6d95fef4aa.png"/><Relationship Id="rId60" Type="http://schemas.openxmlformats.org/officeDocument/2006/relationships/image" Target="media/7ff803ad906bcfa2ebcbadf7dabb9605bc925441.png"/><Relationship Id="rId61" Type="http://schemas.openxmlformats.org/officeDocument/2006/relationships/image" Target="media/32e4178cfcb0982981bc4df131be60ca723fa475.png"/><Relationship Id="rId62" Type="http://schemas.openxmlformats.org/officeDocument/2006/relationships/image" Target="media/7300a75f1e07f1ea9aec9b51ff08678436fe43ba.png"/><Relationship Id="rId63" Type="http://schemas.openxmlformats.org/officeDocument/2006/relationships/image" Target="media/96ebc6fa69822558c7c239d6a27c23f8a70b39d4.png"/><Relationship Id="rId64" Type="http://schemas.openxmlformats.org/officeDocument/2006/relationships/image" Target="media/29590e30561ea7b950cc1ca528df7a1885be854b.png"/><Relationship Id="rId65" Type="http://schemas.openxmlformats.org/officeDocument/2006/relationships/image" Target="media/c3923270745ec1d61733243ee7111b3b6e68e05d.png"/><Relationship Id="rId66" Type="http://schemas.openxmlformats.org/officeDocument/2006/relationships/image" Target="media/fe9d9a8186638b18fae1e422875fcbe2eb728097.png"/><Relationship Id="rId67" Type="http://schemas.openxmlformats.org/officeDocument/2006/relationships/image" Target="media/b0939dc5f64d9418898980eb654a0547e53d205d.png"/><Relationship Id="rId68" Type="http://schemas.openxmlformats.org/officeDocument/2006/relationships/image" Target="media/2d58dca6be24cc25e139c5a76e2a4aecf89a044f.png"/><Relationship Id="rId69" Type="http://schemas.openxmlformats.org/officeDocument/2006/relationships/image" Target="media/c08708dd425ff7caf905c156d869c26b83ec0603.png"/><Relationship Id="rId70" Type="http://schemas.openxmlformats.org/officeDocument/2006/relationships/image" Target="media/c07c181f6bb574f7b888c1c4f10db1da4b196022.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مخطط علاقات جداول قاعدة البيانات</dc:title>
  <dc:creator>Claude</dc:creator>
  <dc:description>مخطط علاقات جداول قاعدة البيانات — BankFas</dc:description>
  <cp:lastModifiedBy>Un-named</cp:lastModifiedBy>
  <cp:revision>1</cp:revision>
  <dcterms:created xsi:type="dcterms:W3CDTF">2026-10-11T06:25:21.033Z</dcterms:created>
  <dcterms:modified xsi:type="dcterms:W3CDTF">2026-10-11T06:25:21.042Z</dcterms:modified>
</cp:coreProperties>
</file>

<file path=docProps/custom.xml><?xml version="1.0" encoding="utf-8"?>
<Properties xmlns="http://schemas.openxmlformats.org/officeDocument/2006/custom-properties" xmlns:vt="http://schemas.openxmlformats.org/officeDocument/2006/docPropsVTypes"/>
</file>