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245 tables · 20 schemas · 901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245 tables in 20 schemas; 901 foreign keys; 644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50</w:t>
            </w:r>
          </w:p>
        </w:tc>
        <w:tc>
          <w:tcPr>
            <w:tcW w:type="dxa" w:w="1701"/>
          </w:tcPr>
          <w:p>
            <w:pPr>
              <w:spacing w:after="0" w:before="0"/>
            </w:pPr>
            <w:r/>
            <w:r>
              <w:rPr>
                <w:rFonts w:ascii="Arial" w:hAnsi="Arial"/>
                <w:b w:val="0"/>
                <w:sz w:val="17"/>
              </w:rPr>
              <w:t>24</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90 diagrams cover 245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34</w:t>
            </w:r>
          </w:p>
        </w:tc>
        <w:tc>
          <w:tcPr>
            <w:tcW w:type="dxa" w:w="2268"/>
          </w:tcPr>
          <w:p>
            <w:pPr>
              <w:spacing w:after="0" w:before="0"/>
            </w:pPr>
            <w:r/>
            <w:r>
              <w:rPr>
                <w:rFonts w:ascii="Arial" w:hAnsi="Arial"/>
                <w:b w:val="0"/>
                <w:sz w:val="17"/>
              </w:rPr>
              <w:t>87</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18)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18)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18)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68440" cy="665158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68440" cy="6651585"/>
                    </a:xfrm>
                    <a:prstGeom prst="rect"/>
                  </pic:spPr>
                </pic:pic>
              </a:graphicData>
            </a:graphic>
          </wp:inline>
        </w:drawing>
      </w:r>
    </w:p>
    <w:p>
      <w:pPr>
        <w:spacing w:after="120"/>
        <w:jc w:val="center"/>
      </w:pPr>
      <w:r>
        <w:rPr>
          <w:rFonts w:ascii="Arial" w:hAnsi="Arial"/>
          <w:b w:val="0"/>
          <w:i/>
          <w:color w:val="6B7280"/>
          <w:sz w:val="16"/>
        </w:rPr>
        <w:t>Figure 54  Financial statements and balances (part 7 of 18)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3590843"/>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512559" cy="3590843"/>
                    </a:xfrm>
                    <a:prstGeom prst="rect"/>
                  </pic:spPr>
                </pic:pic>
              </a:graphicData>
            </a:graphic>
          </wp:inline>
        </w:drawing>
      </w:r>
    </w:p>
    <w:p>
      <w:pPr>
        <w:spacing w:after="120"/>
        <w:jc w:val="center"/>
      </w:pPr>
      <w:r>
        <w:rPr>
          <w:rFonts w:ascii="Arial" w:hAnsi="Arial"/>
          <w:b w:val="0"/>
          <w:i/>
          <w:color w:val="6B7280"/>
          <w:sz w:val="16"/>
        </w:rPr>
        <w:t>Figure 55  Financial statements and balances (part 8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fin.CreditAssessmentFinding</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56  Financial statements and balances (part 9 of 18)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57  Financial statements and balances (part 10 of 18)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18)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6652096"/>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015990" cy="6652096"/>
                    </a:xfrm>
                    <a:prstGeom prst="rect"/>
                  </pic:spPr>
                </pic:pic>
              </a:graphicData>
            </a:graphic>
          </wp:inline>
        </w:drawing>
      </w:r>
    </w:p>
    <w:p>
      <w:pPr>
        <w:spacing w:after="120"/>
        <w:jc w:val="center"/>
      </w:pPr>
      <w:r>
        <w:rPr>
          <w:rFonts w:ascii="Arial" w:hAnsi="Arial"/>
          <w:b w:val="0"/>
          <w:i/>
          <w:color w:val="6B7280"/>
          <w:sz w:val="16"/>
        </w:rPr>
        <w:t>Figure 59  Financial statements and balances (part 12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07760" cy="4516623"/>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207760" cy="4516623"/>
                    </a:xfrm>
                    <a:prstGeom prst="rect"/>
                  </pic:spPr>
                </pic:pic>
              </a:graphicData>
            </a:graphic>
          </wp:inline>
        </w:drawing>
      </w:r>
    </w:p>
    <w:p>
      <w:pPr>
        <w:spacing w:after="120"/>
        <w:jc w:val="center"/>
      </w:pPr>
      <w:r>
        <w:rPr>
          <w:rFonts w:ascii="Arial" w:hAnsi="Arial"/>
          <w:b w:val="0"/>
          <w:i/>
          <w:color w:val="6B7280"/>
          <w:sz w:val="16"/>
        </w:rPr>
        <w:t>Figure 60  Financial statements and balances (part 13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fin.MacroScenarioCountry</w:t>
            </w:r>
          </w:p>
        </w:tc>
        <w:tc>
          <w:tcPr>
            <w:tcW w:type="dxa" w:w="6690"/>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tcPr>
          <w:p>
            <w:pPr>
              <w:spacing w:after="0" w:before="0"/>
            </w:pPr>
            <w:r/>
            <w:r>
              <w:rPr>
                <w:rFonts w:ascii="Arial" w:hAnsi="Arial"/>
                <w:b w:val="0"/>
                <w:sz w:val="15"/>
              </w:rPr>
              <w:t>MacroScenarioCountryId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fin.MacroScenarioIntensity</w:t>
            </w:r>
          </w:p>
        </w:tc>
        <w:tc>
          <w:tcPr>
            <w:tcW w:type="dxa" w:w="6690"/>
            <w:shd w:val="clear" w:color="auto" w:fill="E8EEF6"/>
          </w:tcPr>
          <w:p>
            <w:pPr>
              <w:spacing w:after="0" w:before="0"/>
            </w:pPr>
            <w:r/>
            <w:r>
              <w:rPr>
                <w:rFonts w:ascii="Arial" w:hAnsi="Arial"/>
                <w:b w:val="0"/>
                <w:sz w:val="15"/>
              </w:rPr>
              <w:t>The intensity 0 to 1 of a driver in a macro scenario (docs/35 section 14)</w:t>
            </w:r>
          </w:p>
        </w:tc>
        <w:tc>
          <w:tcPr>
            <w:tcW w:type="dxa" w:w="2948"/>
            <w:shd w:val="clear" w:color="auto" w:fill="E8EEF6"/>
          </w:tcPr>
          <w:p>
            <w:pPr>
              <w:spacing w:after="0" w:before="0"/>
            </w:pPr>
            <w:r/>
            <w:r>
              <w:rPr>
                <w:rFonts w:ascii="Arial" w:hAnsi="Arial"/>
                <w:b w:val="0"/>
                <w:sz w:val="15"/>
              </w:rPr>
              <w:t>MacroScenarioIntensityId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ShockDriverId</w:t>
            </w:r>
          </w:p>
        </w:tc>
        <w:tc>
          <w:tcPr>
            <w:tcW w:type="dxa" w:w="2721"/>
          </w:tcPr>
          <w:p>
            <w:pPr>
              <w:spacing w:after="0" w:before="0"/>
            </w:pPr>
            <w:r/>
            <w:r>
              <w:rPr>
                <w:rFonts w:ascii="Arial" w:hAnsi="Arial"/>
                <w:b w:val="0"/>
                <w:sz w:val="15"/>
              </w:rPr>
              <w:t>fin.ShockDriver</w:t>
            </w:r>
          </w:p>
        </w:tc>
        <w:tc>
          <w:tcPr>
            <w:tcW w:type="dxa" w:w="2948"/>
          </w:tcPr>
          <w:p>
            <w:pPr>
              <w:spacing w:after="0" w:before="0"/>
            </w:pPr>
            <w:r/>
            <w:r>
              <w:rPr>
                <w:rFonts w:ascii="Arial" w:hAnsi="Arial"/>
                <w:b w:val="0"/>
                <w:sz w:val="15"/>
              </w:rPr>
              <w:t>ShockDriverId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40780" cy="6859872"/>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240780" cy="6859872"/>
                    </a:xfrm>
                    <a:prstGeom prst="rect"/>
                  </pic:spPr>
                </pic:pic>
              </a:graphicData>
            </a:graphic>
          </wp:inline>
        </w:drawing>
      </w:r>
    </w:p>
    <w:p>
      <w:pPr>
        <w:spacing w:after="120"/>
        <w:jc w:val="center"/>
      </w:pPr>
      <w:r>
        <w:rPr>
          <w:rFonts w:ascii="Arial" w:hAnsi="Arial"/>
          <w:b w:val="0"/>
          <w:i/>
          <w:color w:val="6B7280"/>
          <w:sz w:val="16"/>
        </w:rPr>
        <w:t>Figure 61  Financial statements and balances (part 14 of 18)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fin.ProductCategory</w:t>
            </w:r>
          </w:p>
        </w:tc>
        <w:tc>
          <w:tcPr>
            <w:tcW w:type="dxa" w:w="6690"/>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shd w:val="clear" w:color="auto" w:fill="E8EEF6"/>
          </w:tcPr>
          <w:p>
            <w:pPr>
              <w:spacing w:after="0" w:before="0"/>
            </w:pPr>
            <w:r/>
            <w:r>
              <w:rPr>
                <w:rFonts w:ascii="Arial" w:hAnsi="Arial"/>
                <w:b w:val="0"/>
                <w:sz w:val="15"/>
              </w:rPr>
              <w:t>ProductCategoryId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fin.RatingGrade</w:t>
            </w:r>
          </w:p>
        </w:tc>
        <w:tc>
          <w:tcPr>
            <w:tcW w:type="dxa" w:w="6690"/>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tcPr>
          <w:p>
            <w:pPr>
              <w:spacing w:after="0" w:before="0"/>
            </w:pPr>
            <w:r/>
            <w:r>
              <w:rPr>
                <w:rFonts w:ascii="Arial" w:hAnsi="Arial"/>
                <w:b w:val="0"/>
                <w:sz w:val="15"/>
              </w:rPr>
              <w:t>RatingGradeId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305609"/>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9076690" cy="4305609"/>
                    </a:xfrm>
                    <a:prstGeom prst="rect"/>
                  </pic:spPr>
                </pic:pic>
              </a:graphicData>
            </a:graphic>
          </wp:inline>
        </w:drawing>
      </w:r>
    </w:p>
    <w:p>
      <w:pPr>
        <w:spacing w:after="120"/>
        <w:jc w:val="center"/>
      </w:pPr>
      <w:r>
        <w:rPr>
          <w:rFonts w:ascii="Arial" w:hAnsi="Arial"/>
          <w:b w:val="0"/>
          <w:i/>
          <w:color w:val="6B7280"/>
          <w:sz w:val="16"/>
        </w:rPr>
        <w:t>Figure 62  Financial statements and balances (part 15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896610" cy="4450506"/>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5896610" cy="4450506"/>
                    </a:xfrm>
                    <a:prstGeom prst="rect"/>
                  </pic:spPr>
                </pic:pic>
              </a:graphicData>
            </a:graphic>
          </wp:inline>
        </w:drawing>
      </w:r>
    </w:p>
    <w:p>
      <w:pPr>
        <w:spacing w:after="120"/>
        <w:jc w:val="center"/>
      </w:pPr>
      <w:r>
        <w:rPr>
          <w:rFonts w:ascii="Arial" w:hAnsi="Arial"/>
          <w:b w:val="0"/>
          <w:i/>
          <w:color w:val="6B7280"/>
          <w:sz w:val="16"/>
        </w:rPr>
        <w:t>Figure 63  Financial statements and balances (part 16 of 18)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5217738"/>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6015990" cy="5217738"/>
                    </a:xfrm>
                    <a:prstGeom prst="rect"/>
                  </pic:spPr>
                </pic:pic>
              </a:graphicData>
            </a:graphic>
          </wp:inline>
        </w:drawing>
      </w:r>
    </w:p>
    <w:p>
      <w:pPr>
        <w:spacing w:after="120"/>
        <w:jc w:val="center"/>
      </w:pPr>
      <w:r>
        <w:rPr>
          <w:rFonts w:ascii="Arial" w:hAnsi="Arial"/>
          <w:b w:val="0"/>
          <w:i/>
          <w:color w:val="6B7280"/>
          <w:sz w:val="16"/>
        </w:rPr>
        <w:t>Figure 64  Financial statements and balances (part 17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1600" cy="2115892"/>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451600" cy="2115892"/>
                    </a:xfrm>
                    <a:prstGeom prst="rect"/>
                  </pic:spPr>
                </pic:pic>
              </a:graphicData>
            </a:graphic>
          </wp:inline>
        </w:drawing>
      </w:r>
    </w:p>
    <w:p>
      <w:pPr>
        <w:spacing w:after="120"/>
        <w:jc w:val="center"/>
      </w:pPr>
      <w:r>
        <w:rPr>
          <w:rFonts w:ascii="Arial" w:hAnsi="Arial"/>
          <w:b w:val="0"/>
          <w:i/>
          <w:color w:val="6B7280"/>
          <w:sz w:val="16"/>
        </w:rPr>
        <w:t>Figure 65  Financial statements and balances (part 18 of 18)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6" name="Picture 66"/>
            <wp:cNvGraphicFramePr>
              <a:graphicFrameLocks noChangeAspect="1"/>
            </wp:cNvGraphicFramePr>
            <a:graphic>
              <a:graphicData uri="http://schemas.openxmlformats.org/drawingml/2006/picture">
                <pic:pic>
                  <pic:nvPicPr>
                    <pic:cNvPr id="0" name="m6_wf_templates_1.png"/>
                    <pic:cNvPicPr/>
                  </pic:nvPicPr>
                  <pic:blipFill>
                    <a:blip r:embed="rId7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7" name="Picture 67"/>
            <wp:cNvGraphicFramePr>
              <a:graphicFrameLocks noChangeAspect="1"/>
            </wp:cNvGraphicFramePr>
            <a:graphic>
              <a:graphicData uri="http://schemas.openxmlformats.org/drawingml/2006/picture">
                <pic:pic>
                  <pic:nvPicPr>
                    <pic:cNvPr id="0" name="m6_wf_templates_2.png"/>
                    <pic:cNvPicPr/>
                  </pic:nvPicPr>
                  <pic:blipFill>
                    <a:blip r:embed="rId7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8" name="Picture 68"/>
            <wp:cNvGraphicFramePr>
              <a:graphicFrameLocks noChangeAspect="1"/>
            </wp:cNvGraphicFramePr>
            <a:graphic>
              <a:graphicData uri="http://schemas.openxmlformats.org/drawingml/2006/picture">
                <pic:pic>
                  <pic:nvPicPr>
                    <pic:cNvPr id="0" name="m6_wf_templates_3.png"/>
                    <pic:cNvPicPr/>
                  </pic:nvPicPr>
                  <pic:blipFill>
                    <a:blip r:embed="rId7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69" name="Picture 69"/>
            <wp:cNvGraphicFramePr>
              <a:graphicFrameLocks noChangeAspect="1"/>
            </wp:cNvGraphicFramePr>
            <a:graphic>
              <a:graphicData uri="http://schemas.openxmlformats.org/drawingml/2006/picture">
                <pic:pic>
                  <pic:nvPicPr>
                    <pic:cNvPr id="0" name="m6_wf_templates_4.png"/>
                    <pic:cNvPicPr/>
                  </pic:nvPicPr>
                  <pic:blipFill>
                    <a:blip r:embed="rId7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69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0" name="Picture 70"/>
            <wp:cNvGraphicFramePr>
              <a:graphicFrameLocks noChangeAspect="1"/>
            </wp:cNvGraphicFramePr>
            <a:graphic>
              <a:graphicData uri="http://schemas.openxmlformats.org/drawingml/2006/picture">
                <pic:pic>
                  <pic:nvPicPr>
                    <pic:cNvPr id="0" name="m6_requests_1.png"/>
                    <pic:cNvPicPr/>
                  </pic:nvPicPr>
                  <pic:blipFill>
                    <a:blip r:embed="rId80"/>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70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1" name="Picture 71"/>
            <wp:cNvGraphicFramePr>
              <a:graphicFrameLocks noChangeAspect="1"/>
            </wp:cNvGraphicFramePr>
            <a:graphic>
              <a:graphicData uri="http://schemas.openxmlformats.org/drawingml/2006/picture">
                <pic:pic>
                  <pic:nvPicPr>
                    <pic:cNvPr id="0" name="m6_requests_2.png"/>
                    <pic:cNvPicPr/>
                  </pic:nvPicPr>
                  <pic:blipFill>
                    <a:blip r:embed="rId81"/>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71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2" name="Picture 72"/>
            <wp:cNvGraphicFramePr>
              <a:graphicFrameLocks noChangeAspect="1"/>
            </wp:cNvGraphicFramePr>
            <a:graphic>
              <a:graphicData uri="http://schemas.openxmlformats.org/drawingml/2006/picture">
                <pic:pic>
                  <pic:nvPicPr>
                    <pic:cNvPr id="0" name="m6_requests_3.png"/>
                    <pic:cNvPicPr/>
                  </pic:nvPicPr>
                  <pic:blipFill>
                    <a:blip r:embed="rId82"/>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72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3" name="Picture 73"/>
            <wp:cNvGraphicFramePr>
              <a:graphicFrameLocks noChangeAspect="1"/>
            </wp:cNvGraphicFramePr>
            <a:graphic>
              <a:graphicData uri="http://schemas.openxmlformats.org/drawingml/2006/picture">
                <pic:pic>
                  <pic:nvPicPr>
                    <pic:cNvPr id="0" name="m6_requests_4.png"/>
                    <pic:cNvPicPr/>
                  </pic:nvPicPr>
                  <pic:blipFill>
                    <a:blip r:embed="rId83"/>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73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4" name="Picture 74"/>
            <wp:cNvGraphicFramePr>
              <a:graphicFrameLocks noChangeAspect="1"/>
            </wp:cNvGraphicFramePr>
            <a:graphic>
              <a:graphicData uri="http://schemas.openxmlformats.org/drawingml/2006/picture">
                <pic:pic>
                  <pic:nvPicPr>
                    <pic:cNvPr id="0" name="m6_requests_5.png"/>
                    <pic:cNvPicPr/>
                  </pic:nvPicPr>
                  <pic:blipFill>
                    <a:blip r:embed="rId84"/>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74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5" name="Picture 75"/>
            <wp:cNvGraphicFramePr>
              <a:graphicFrameLocks noChangeAspect="1"/>
            </wp:cNvGraphicFramePr>
            <a:graphic>
              <a:graphicData uri="http://schemas.openxmlformats.org/drawingml/2006/picture">
                <pic:pic>
                  <pic:nvPicPr>
                    <pic:cNvPr id="0" name="m6_requests_6.png"/>
                    <pic:cNvPicPr/>
                  </pic:nvPicPr>
                  <pic:blipFill>
                    <a:blip r:embed="rId85"/>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75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6" name="Picture 76"/>
            <wp:cNvGraphicFramePr>
              <a:graphicFrameLocks noChangeAspect="1"/>
            </wp:cNvGraphicFramePr>
            <a:graphic>
              <a:graphicData uri="http://schemas.openxmlformats.org/drawingml/2006/picture">
                <pic:pic>
                  <pic:nvPicPr>
                    <pic:cNvPr id="0" name="m6_requests_7.png"/>
                    <pic:cNvPicPr/>
                  </pic:nvPicPr>
                  <pic:blipFill>
                    <a:blip r:embed="rId86"/>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76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7" name="Picture 77"/>
            <wp:cNvGraphicFramePr>
              <a:graphicFrameLocks noChangeAspect="1"/>
            </wp:cNvGraphicFramePr>
            <a:graphic>
              <a:graphicData uri="http://schemas.openxmlformats.org/drawingml/2006/picture">
                <pic:pic>
                  <pic:nvPicPr>
                    <pic:cNvPr id="0" name="m6_notifications.png"/>
                    <pic:cNvPicPr/>
                  </pic:nvPicPr>
                  <pic:blipFill>
                    <a:blip r:embed="rId87"/>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77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8" name="Picture 78"/>
            <wp:cNvGraphicFramePr>
              <a:graphicFrameLocks noChangeAspect="1"/>
            </wp:cNvGraphicFramePr>
            <a:graphic>
              <a:graphicData uri="http://schemas.openxmlformats.org/drawingml/2006/picture">
                <pic:pic>
                  <pic:nvPicPr>
                    <pic:cNvPr id="0" name="m7_8_lc_terms_1.png"/>
                    <pic:cNvPicPr/>
                  </pic:nvPicPr>
                  <pic:blipFill>
                    <a:blip r:embed="rId88"/>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78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79" name="Picture 79"/>
            <wp:cNvGraphicFramePr>
              <a:graphicFrameLocks noChangeAspect="1"/>
            </wp:cNvGraphicFramePr>
            <a:graphic>
              <a:graphicData uri="http://schemas.openxmlformats.org/drawingml/2006/picture">
                <pic:pic>
                  <pic:nvPicPr>
                    <pic:cNvPr id="0" name="m7_8_lc_terms_2.png"/>
                    <pic:cNvPicPr/>
                  </pic:nvPicPr>
                  <pic:blipFill>
                    <a:blip r:embed="rId89"/>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0" name="Picture 80"/>
            <wp:cNvGraphicFramePr>
              <a:graphicFrameLocks noChangeAspect="1"/>
            </wp:cNvGraphicFramePr>
            <a:graphic>
              <a:graphicData uri="http://schemas.openxmlformats.org/drawingml/2006/picture">
                <pic:pic>
                  <pic:nvPicPr>
                    <pic:cNvPr id="0" name="m7_8_lc_terms_3.png"/>
                    <pic:cNvPicPr/>
                  </pic:nvPicPr>
                  <pic:blipFill>
                    <a:blip r:embed="rId90"/>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1" name="Picture 81"/>
            <wp:cNvGraphicFramePr>
              <a:graphicFrameLocks noChangeAspect="1"/>
            </wp:cNvGraphicFramePr>
            <a:graphic>
              <a:graphicData uri="http://schemas.openxmlformats.org/drawingml/2006/picture">
                <pic:pic>
                  <pic:nvPicPr>
                    <pic:cNvPr id="0" name="m7_8_lc_terms_4.png"/>
                    <pic:cNvPicPr/>
                  </pic:nvPicPr>
                  <pic:blipFill>
                    <a:blip r:embed="rId91"/>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2" name="Picture 82"/>
            <wp:cNvGraphicFramePr>
              <a:graphicFrameLocks noChangeAspect="1"/>
            </wp:cNvGraphicFramePr>
            <a:graphic>
              <a:graphicData uri="http://schemas.openxmlformats.org/drawingml/2006/picture">
                <pic:pic>
                  <pic:nvPicPr>
                    <pic:cNvPr id="0" name="m7_8_lc_terms_5.png"/>
                    <pic:cNvPicPr/>
                  </pic:nvPicPr>
                  <pic:blipFill>
                    <a:blip r:embed="rId92"/>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3" name="Picture 83"/>
            <wp:cNvGraphicFramePr>
              <a:graphicFrameLocks noChangeAspect="1"/>
            </wp:cNvGraphicFramePr>
            <a:graphic>
              <a:graphicData uri="http://schemas.openxmlformats.org/drawingml/2006/picture">
                <pic:pic>
                  <pic:nvPicPr>
                    <pic:cNvPr id="0" name="m7_8_lc_ops_1.png"/>
                    <pic:cNvPicPr/>
                  </pic:nvPicPr>
                  <pic:blipFill>
                    <a:blip r:embed="rId93"/>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83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4" name="Picture 84"/>
            <wp:cNvGraphicFramePr>
              <a:graphicFrameLocks noChangeAspect="1"/>
            </wp:cNvGraphicFramePr>
            <a:graphic>
              <a:graphicData uri="http://schemas.openxmlformats.org/drawingml/2006/picture">
                <pic:pic>
                  <pic:nvPicPr>
                    <pic:cNvPr id="0" name="m7_8_lc_ops_2.png"/>
                    <pic:cNvPicPr/>
                  </pic:nvPicPr>
                  <pic:blipFill>
                    <a:blip r:embed="rId94"/>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84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5" name="Picture 85"/>
            <wp:cNvGraphicFramePr>
              <a:graphicFrameLocks noChangeAspect="1"/>
            </wp:cNvGraphicFramePr>
            <a:graphic>
              <a:graphicData uri="http://schemas.openxmlformats.org/drawingml/2006/picture">
                <pic:pic>
                  <pic:nvPicPr>
                    <pic:cNvPr id="0" name="m7_8_lc_ops_3.png"/>
                    <pic:cNvPicPr/>
                  </pic:nvPicPr>
                  <pic:blipFill>
                    <a:blip r:embed="rId95"/>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85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6" name="Picture 86"/>
            <wp:cNvGraphicFramePr>
              <a:graphicFrameLocks noChangeAspect="1"/>
            </wp:cNvGraphicFramePr>
            <a:graphic>
              <a:graphicData uri="http://schemas.openxmlformats.org/drawingml/2006/picture">
                <pic:pic>
                  <pic:nvPicPr>
                    <pic:cNvPr id="0" name="m7_8_lc_ops_4.png"/>
                    <pic:cNvPicPr/>
                  </pic:nvPicPr>
                  <pic:blipFill>
                    <a:blip r:embed="rId96"/>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86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7" name="Picture 87"/>
            <wp:cNvGraphicFramePr>
              <a:graphicFrameLocks noChangeAspect="1"/>
            </wp:cNvGraphicFramePr>
            <a:graphic>
              <a:graphicData uri="http://schemas.openxmlformats.org/drawingml/2006/picture">
                <pic:pic>
                  <pic:nvPicPr>
                    <pic:cNvPr id="0" name="m7_8_lc_ops_5.png"/>
                    <pic:cNvPicPr/>
                  </pic:nvPicPr>
                  <pic:blipFill>
                    <a:blip r:embed="rId97"/>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87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8" name="Picture 88"/>
            <wp:cNvGraphicFramePr>
              <a:graphicFrameLocks noChangeAspect="1"/>
            </wp:cNvGraphicFramePr>
            <a:graphic>
              <a:graphicData uri="http://schemas.openxmlformats.org/drawingml/2006/picture">
                <pic:pic>
                  <pic:nvPicPr>
                    <pic:cNvPr id="0" name="m7_8_lc_ops_6.png"/>
                    <pic:cNvPicPr/>
                  </pic:nvPicPr>
                  <pic:blipFill>
                    <a:blip r:embed="rId98"/>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88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89" name="Picture 89"/>
            <wp:cNvGraphicFramePr>
              <a:graphicFrameLocks noChangeAspect="1"/>
            </wp:cNvGraphicFramePr>
            <a:graphic>
              <a:graphicData uri="http://schemas.openxmlformats.org/drawingml/2006/picture">
                <pic:pic>
                  <pic:nvPicPr>
                    <pic:cNvPr id="0" name="m7_8_lc_ops_7.png"/>
                    <pic:cNvPicPr/>
                  </pic:nvPicPr>
                  <pic:blipFill>
                    <a:blip r:embed="rId99"/>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89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0" name="Picture 90"/>
            <wp:cNvGraphicFramePr>
              <a:graphicFrameLocks noChangeAspect="1"/>
            </wp:cNvGraphicFramePr>
            <a:graphic>
              <a:graphicData uri="http://schemas.openxmlformats.org/drawingml/2006/picture">
                <pic:pic>
                  <pic:nvPicPr>
                    <pic:cNvPr id="0" name="m7_8_lc_ops_8.png"/>
                    <pic:cNvPicPr/>
                  </pic:nvPicPr>
                  <pic:blipFill>
                    <a:blip r:embed="rId100"/>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90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1" name="Picture 91"/>
            <wp:cNvGraphicFramePr>
              <a:graphicFrameLocks noChangeAspect="1"/>
            </wp:cNvGraphicFramePr>
            <a:graphic>
              <a:graphicData uri="http://schemas.openxmlformats.org/drawingml/2006/picture">
                <pic:pic>
                  <pic:nvPicPr>
                    <pic:cNvPr id="0" name="m7_8_lc_ops_9.png"/>
                    <pic:cNvPicPr/>
                  </pic:nvPicPr>
                  <pic:blipFill>
                    <a:blip r:embed="rId101"/>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91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fin.CompanyProductLine</w:t>
            </w:r>
          </w:p>
        </w:tc>
        <w:tc>
          <w:tcPr>
            <w:tcW w:type="dxa" w:w="10205"/>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fin.CountryRegion</w:t>
            </w:r>
          </w:p>
        </w:tc>
        <w:tc>
          <w:tcPr>
            <w:tcW w:type="dxa" w:w="10205"/>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fin.CountryRiskProfile</w:t>
            </w:r>
          </w:p>
        </w:tc>
        <w:tc>
          <w:tcPr>
            <w:tcW w:type="dxa" w:w="10205"/>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fin.CreditAssessmentBureau</w:t>
            </w:r>
          </w:p>
        </w:tc>
        <w:tc>
          <w:tcPr>
            <w:tcW w:type="dxa" w:w="10205"/>
            <w:shd w:val="clear" w:color="auto" w:fill="E8EEF6"/>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fin.CreditAssessmentFacility</w:t>
            </w:r>
          </w:p>
        </w:tc>
        <w:tc>
          <w:tcPr>
            <w:tcW w:type="dxa" w:w="10205"/>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fin.CreditAssessmentGuarantor</w:t>
            </w:r>
          </w:p>
        </w:tc>
        <w:tc>
          <w:tcPr>
            <w:tcW w:type="dxa" w:w="10205"/>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fin.CreditAssessmentInput</w:t>
            </w:r>
          </w:p>
        </w:tc>
        <w:tc>
          <w:tcPr>
            <w:tcW w:type="dxa" w:w="10205"/>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w:t>
            </w:r>
          </w:p>
        </w:tc>
        <w:tc>
          <w:tcPr>
            <w:tcW w:type="dxa" w:w="10205"/>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fin.CreditAssessmentPlanStep</w:t>
            </w:r>
          </w:p>
        </w:tc>
        <w:tc>
          <w:tcPr>
            <w:tcW w:type="dxa" w:w="10205"/>
          </w:tcPr>
          <w:p>
            <w:pPr>
              <w:spacing w:after="0" w:before="0"/>
            </w:pPr>
            <w:r/>
            <w:r>
              <w:rPr>
                <w:rFonts w:ascii="Arial" w:hAnsi="Arial"/>
                <w:b w:val="0"/>
                <w:sz w:val="15"/>
              </w:rPr>
              <w:t>A step of a strengthening plan: the remedy applied, the amount it moved and the grade after it</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fin.CreditAssessmentReclass</w:t>
            </w:r>
          </w:p>
        </w:tc>
        <w:tc>
          <w:tcPr>
            <w:tcW w:type="dxa" w:w="10205"/>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fin.CreditAssessmentRemedy</w:t>
            </w:r>
          </w:p>
        </w:tc>
        <w:tc>
          <w:tcPr>
            <w:tcW w:type="dxa" w:w="10205"/>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fin.CreditAssessmentScenario</w:t>
            </w:r>
          </w:p>
        </w:tc>
        <w:tc>
          <w:tcPr>
            <w:tcW w:type="dxa" w:w="10205"/>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fin.CreditAssessmentTrigger</w:t>
            </w:r>
          </w:p>
        </w:tc>
        <w:tc>
          <w:tcPr>
            <w:tcW w:type="dxa" w:w="10205"/>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fin.CreditMetric</w:t>
            </w:r>
          </w:p>
        </w:tc>
        <w:tc>
          <w:tcPr>
            <w:tcW w:type="dxa" w:w="10205"/>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w:t>
            </w:r>
          </w:p>
        </w:tc>
        <w:tc>
          <w:tcPr>
            <w:tcW w:type="dxa" w:w="10205"/>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fin.CreditRemedyStep</w:t>
            </w:r>
          </w:p>
        </w:tc>
        <w:tc>
          <w:tcPr>
            <w:tcW w:type="dxa" w:w="10205"/>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fin.CreditRemedyTrigger</w:t>
            </w:r>
          </w:p>
        </w:tc>
        <w:tc>
          <w:tcPr>
            <w:tcW w:type="dxa" w:w="10205"/>
          </w:tcPr>
          <w:p>
            <w:pPr>
              <w:spacing w:after="0" w:before="0"/>
            </w:pPr>
            <w:r/>
            <w:r>
              <w:rPr>
                <w:rFonts w:ascii="Arial" w:hAnsi="Arial"/>
                <w:b w:val="0"/>
                <w:sz w:val="15"/>
              </w:rPr>
              <w:t>A finding a remedy answers: a metric or an adjustment code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fin.CreditText</w:t>
            </w:r>
          </w:p>
        </w:tc>
        <w:tc>
          <w:tcPr>
            <w:tcW w:type="dxa" w:w="10205"/>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w:t>
            </w:r>
          </w:p>
        </w:tc>
        <w:tc>
          <w:tcPr>
            <w:tcW w:type="dxa" w:w="10205"/>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fin.MacroScenarioCountry</w:t>
            </w:r>
          </w:p>
        </w:tc>
        <w:tc>
          <w:tcPr>
            <w:tcW w:type="dxa" w:w="10205"/>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fin.MacroScenarioIntensity</w:t>
            </w:r>
          </w:p>
        </w:tc>
        <w:tc>
          <w:tcPr>
            <w:tcW w:type="dxa" w:w="10205"/>
            <w:shd w:val="clear" w:color="auto" w:fill="E8EEF6"/>
          </w:tcPr>
          <w:p>
            <w:pPr>
              <w:spacing w:after="0" w:before="0"/>
            </w:pPr>
            <w:r/>
            <w:r>
              <w:rPr>
                <w:rFonts w:ascii="Arial" w:hAnsi="Arial"/>
                <w:b w:val="0"/>
                <w:sz w:val="15"/>
              </w:rPr>
              <w:t>The intensity 0 to 1 of a driver in a macro scenario (docs/35 section 14)</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fin.ProductCategory</w:t>
            </w:r>
          </w:p>
        </w:tc>
        <w:tc>
          <w:tcPr>
            <w:tcW w:type="dxa" w:w="10205"/>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fin.RatingGrade</w:t>
            </w:r>
          </w:p>
        </w:tc>
        <w:tc>
          <w:tcPr>
            <w:tcW w:type="dxa" w:w="10205"/>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901</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697</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619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78</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644</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788</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91</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