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195 tables · 20 schemas · 764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195 tables in 20 schemas; 764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39</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3632017"/>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3632017"/>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Open decision. The analysis document does not name the algorithm.</w:t>
            </w:r>
          </w:p>
        </w:tc>
        <w:tc>
          <w:tcPr>
            <w:tcW w:type="dxa" w:w="2721"/>
          </w:tcPr>
          <w:p>
            <w:pPr>
              <w:spacing w:after="0" w:before="0"/>
            </w:pPr>
            <w:r/>
            <w:r>
              <w:rPr>
                <w:rFonts w:ascii="Arial" w:hAnsi="Arial"/>
                <w:b w:val="0"/>
                <w:sz w:val="15"/>
              </w:rPr>
              <w:t>Record the algorithm and parameters in the security section of the analysis document.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(194 tables, 20 schemas, 763 foreign keys, 515 unique constraints, 1,158 CHECK constraints, 700 indexes). A CI gate runs the same steps on every change to db/, tools/dbgen/ or tools/ci/ (tools/ci/db_ci.sh, .github/workflows/db-ci.yml). The gate has passed locally; its first run on GitHub is pending. Not yet run on the production server.</w:t>
            </w:r>
          </w:p>
        </w:tc>
        <w:tc>
          <w:tcPr>
            <w:tcW w:type="dxa" w:w="2721"/>
            <w:shd w:val="clear" w:color="auto" w:fill="E8EEF6"/>
          </w:tcPr>
          <w:p>
            <w:pPr>
              <w:spacing w:after="0" w:before="0"/>
            </w:pPr>
            <w:r/>
            <w:r>
              <w:rPr>
                <w:rFonts w:ascii="Arial" w:hAnsi="Arial"/>
                <w:b w:val="0"/>
                <w:sz w:val="15"/>
              </w:rPr>
              <w:t>Check the first GitHub run in the Actions tab, then run tools\deploy\deploy.ps1 on the target Windows server. The Windows path has not been run yet; the Linux path is tested by CI through tools/deploy/deploy.sh.</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Add the test script to CI. Decide the behaviour for a lender change after approval, which the trigger currently rejects.</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24 cases as the application role and the reporting role (cross-tenant reads, inserts, updates and deletes, global rows, the audit log, the context procedure,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Residual risks: O-17 (the caller names the user) and O-18 to O-22.</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Open decision. The binding (O-16) stops a forged context, but not a call to the procedure with another user's id.</w:t>
            </w:r>
          </w:p>
        </w:tc>
        <w:tc>
          <w:tcPr>
            <w:tcW w:type="dxa" w:w="2721"/>
          </w:tcPr>
          <w:p>
            <w:pPr>
              <w:spacing w:after="0" w:before="0"/>
            </w:pPr>
            <w:r/>
            <w:r>
              <w:rPr>
                <w:rFonts w:ascii="Arial" w:hAnsi="Arial"/>
                <w:b w:val="0"/>
                <w:sz w:val="15"/>
              </w:rPr>
              <w:t>Decide whether the procedure verifies a server-side session token instead of the caller's user id (sec.UserSession.TokenHash is already in the model). Recommended. Then add a test that a wrong token is refused.</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Open decision. Writes are refused for both statuses (rls.fn_BoundWrite). Reads are allowed for a new bind and lost for an existing one.</w:t>
            </w:r>
          </w:p>
        </w:tc>
        <w:tc>
          <w:tcPr>
            <w:tcW w:type="dxa" w:w="2721"/>
            <w:shd w:val="clear" w:color="auto" w:fill="E8EEF6"/>
          </w:tcPr>
          <w:p>
            <w:pPr>
              <w:spacing w:after="0" w:before="0"/>
            </w:pPr>
            <w:r/>
            <w:r>
              <w:rPr>
                <w:rFonts w:ascii="Arial" w:hAnsi="Arial"/>
                <w:b w:val="0"/>
                <w:sz w:val="15"/>
              </w:rPr>
              <w:t>Decide: (a) bind a SUSPENDED tenant only for its account administrator, which needs the role check in the procedure, or (b) refuse binds for SUSPENDED too and keep the revocation. Then align db/static/030 and the test T27.</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Open decision. The NULL allowance is written into the design (BR-PLT-001: NULL is a platform event). A tenant connection should not create platform events.</w:t>
            </w:r>
          </w:p>
        </w:tc>
        <w:tc>
          <w:tcPr>
            <w:tcW w:type="dxa" w:w="2721"/>
          </w:tcPr>
          <w:p>
            <w:pPr>
              <w:spacing w:after="0" w:before="0"/>
            </w:pPr>
            <w:r/>
            <w:r>
              <w:rPr>
                <w:rFonts w:ascii="Arial" w:hAnsi="Arial"/>
                <w:b w:val="0"/>
                <w:sz w:val="15"/>
              </w:rPr>
              <w:t>Decide: refuse NULL TenantId for non-platform connections in rls.fn_AuditWrite and let only tp_platform write platform events. Then add a test.</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Open. No check covers references to mixed-scope tables.</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Open. This follows from SQL Server constraint checking, not from a missing predicate, so the filters cannot prevent it.</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Open, low. Cursors and error codes are not covered by the row filters.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or password-reset token (30 minutes) (FR-PLT-013)</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764</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580</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505</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