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195 tables · 20 schemas · 764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195 tables in 20 schemas; 764 foreign keys; 515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195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12</w:t>
            </w:r>
          </w:p>
        </w:tc>
        <w:tc>
          <w:tcPr>
            <w:tcW w:type="dxa" w:w="1701"/>
            <w:shd w:val="clear" w:color="auto" w:fill="E8EEF6"/>
          </w:tcPr>
          <w:p>
            <w:pPr>
              <w:spacing w:after="0" w:before="0"/>
            </w:pPr>
            <w:r/>
            <w:r>
              <w:rPr>
                <w:rFonts w:ascii="Arial" w:hAnsi="Arial"/>
                <w:b w:val="0"/>
                <w:sz w:val="17"/>
              </w:rPr>
              <w:t>11</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lc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79 diagrams cover 195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39</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6</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21</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platform operators</w:t>
      </w:r>
    </w:p>
    <w:p>
      <w:pPr>
        <w:spacing w:after="80"/>
      </w:pPr>
      <w:r>
        <w:rPr>
          <w:rFonts w:ascii="Arial" w:hAnsi="Arial"/>
          <w:b w:val="0"/>
          <w:i/>
          <w:color w:val="6B7280"/>
          <w:sz w:val="18"/>
        </w:rPr>
        <w:t>plat schema: tenants, subscriptions, modules, support access, platform operators</w:t>
      </w:r>
    </w:p>
    <w:p>
      <w:pPr>
        <w:keepNext/>
        <w:jc w:val="center"/>
      </w:pPr>
      <w:r>
        <w:drawing>
          <wp:inline xmlns:a="http://schemas.openxmlformats.org/drawingml/2006/main" xmlns:pic="http://schemas.openxmlformats.org/drawingml/2006/picture">
            <wp:extent cx="6292850" cy="5199706"/>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199706"/>
                    </a:xfrm>
                    <a:prstGeom prst="rect"/>
                  </pic:spPr>
                </pic:pic>
              </a:graphicData>
            </a:graphic>
          </wp:inline>
        </w:drawing>
      </w:r>
    </w:p>
    <w:p>
      <w:pPr>
        <w:spacing w:after="120"/>
        <w:jc w:val="center"/>
      </w:pPr>
      <w:r>
        <w:rPr>
          <w:rFonts w:ascii="Arial" w:hAnsi="Arial"/>
          <w:b w:val="0"/>
          <w:i/>
          <w:color w:val="6B7280"/>
          <w:sz w:val="16"/>
        </w:rPr>
        <w:t>Figure 2  Tenancy, plans and platform operators  ·  7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plat.Plan</w:t>
            </w:r>
          </w:p>
        </w:tc>
        <w:tc>
          <w:tcPr>
            <w:tcW w:type="dxa" w:w="6690"/>
          </w:tcPr>
          <w:p>
            <w:pPr>
              <w:spacing w:after="0" w:before="0"/>
            </w:pPr>
            <w:r/>
            <w:r>
              <w:rPr>
                <w:rFonts w:ascii="Arial" w:hAnsi="Arial"/>
                <w:b w:val="0"/>
                <w:sz w:val="15"/>
              </w:rPr>
              <w:t>Subscription plan: a bundle of modules and soft limits (FR-PLT-003/004, Q-PLT-11)</w:t>
            </w:r>
          </w:p>
        </w:tc>
        <w:tc>
          <w:tcPr>
            <w:tcW w:type="dxa" w:w="2948"/>
          </w:tcPr>
          <w:p>
            <w:pPr>
              <w:spacing w:after="0" w:before="0"/>
            </w:pPr>
            <w:r/>
            <w:r>
              <w:rPr>
                <w:rFonts w:ascii="Arial" w:hAnsi="Arial"/>
                <w:b w:val="0"/>
                <w:sz w:val="15"/>
              </w:rPr>
              <w:t>PlanId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plat.PlanModule</w:t>
            </w:r>
          </w:p>
        </w:tc>
        <w:tc>
          <w:tcPr>
            <w:tcW w:type="dxa" w:w="6690"/>
            <w:shd w:val="clear" w:color="auto" w:fill="E8EEF6"/>
          </w:tcPr>
          <w:p>
            <w:pPr>
              <w:spacing w:after="0" w:before="0"/>
            </w:pPr>
            <w:r/>
            <w:r>
              <w:rPr>
                <w:rFonts w:ascii="Arial" w:hAnsi="Arial"/>
                <w:b w:val="0"/>
                <w:sz w:val="15"/>
              </w:rPr>
              <w:t>Modules included in a plan (replaces the Plan.IncludedModules JSON column)</w:t>
            </w:r>
          </w:p>
        </w:tc>
        <w:tc>
          <w:tcPr>
            <w:tcW w:type="dxa" w:w="2948"/>
            <w:shd w:val="clear" w:color="auto" w:fill="E8EEF6"/>
          </w:tcPr>
          <w:p>
            <w:pPr>
              <w:spacing w:after="0" w:before="0"/>
            </w:pPr>
            <w:r/>
            <w:r>
              <w:rPr>
                <w:rFonts w:ascii="Arial" w:hAnsi="Arial"/>
                <w:b w:val="0"/>
                <w:sz w:val="15"/>
              </w:rPr>
              <w:t>PlanId, ModuleCode</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plat.ReservedSubdomain</w:t>
            </w:r>
          </w:p>
        </w:tc>
        <w:tc>
          <w:tcPr>
            <w:tcW w:type="dxa" w:w="6690"/>
            <w:shd w:val="clear" w:color="auto" w:fill="E8EEF6"/>
          </w:tcPr>
          <w:p>
            <w:pPr>
              <w:spacing w:after="0" w:before="0"/>
            </w:pPr>
            <w:r/>
            <w:r>
              <w:rPr>
                <w:rFonts w:ascii="Arial" w:hAnsi="Arial"/>
                <w:b w:val="0"/>
                <w:sz w:val="15"/>
              </w:rPr>
              <w:t>Subdomains reserved for the system: www, admin, api, app and others (FR-PLT-046)</w:t>
            </w:r>
          </w:p>
        </w:tc>
        <w:tc>
          <w:tcPr>
            <w:tcW w:type="dxa" w:w="2948"/>
            <w:shd w:val="clear" w:color="auto" w:fill="E8EEF6"/>
          </w:tcPr>
          <w:p>
            <w:pPr>
              <w:spacing w:after="0" w:before="0"/>
            </w:pPr>
            <w:r/>
            <w:r>
              <w:rPr>
                <w:rFonts w:ascii="Arial" w:hAnsi="Arial"/>
                <w:b w:val="0"/>
                <w:sz w:val="15"/>
              </w:rPr>
              <w:t>ReservedSubdomainId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plat.SupportAccessGrant</w:t>
            </w:r>
          </w:p>
        </w:tc>
        <w:tc>
          <w:tcPr>
            <w:tcW w:type="dxa" w:w="6690"/>
          </w:tcPr>
          <w:p>
            <w:pPr>
              <w:spacing w:after="0" w:before="0"/>
            </w:pPr>
            <w:r/>
            <w:r>
              <w:rPr>
                <w:rFonts w:ascii="Arial" w:hAnsi="Arial"/>
                <w:b w:val="0"/>
                <w:sz w:val="15"/>
              </w:rPr>
              <w:t>Temporary support access, activated by the tenant's account administrator (FR-PLT-007, BR-PLT-017)</w:t>
            </w:r>
          </w:p>
        </w:tc>
        <w:tc>
          <w:tcPr>
            <w:tcW w:type="dxa" w:w="2948"/>
          </w:tcPr>
          <w:p>
            <w:pPr>
              <w:spacing w:after="0" w:before="0"/>
            </w:pPr>
            <w:r/>
            <w:r>
              <w:rPr>
                <w:rFonts w:ascii="Arial" w:hAnsi="Arial"/>
                <w:b w:val="0"/>
                <w:sz w:val="15"/>
              </w:rPr>
              <w:t>SupportAccessGrantId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w:t>
            </w:r>
          </w:p>
        </w:tc>
        <w:tc>
          <w:tcPr>
            <w:tcW w:type="dxa" w:w="6690"/>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shd w:val="clear" w:color="auto" w:fill="E8EEF6"/>
          </w:tcPr>
          <w:p>
            <w:pPr>
              <w:spacing w:after="0" w:before="0"/>
            </w:pPr>
            <w:r/>
            <w:r>
              <w:rPr>
                <w:rFonts w:ascii="Arial" w:hAnsi="Arial"/>
                <w:b w:val="0"/>
                <w:sz w:val="15"/>
              </w:rPr>
              <w:t>TenantId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plat.TenantModule</w:t>
            </w:r>
          </w:p>
        </w:tc>
        <w:tc>
          <w:tcPr>
            <w:tcW w:type="dxa" w:w="6690"/>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tcPr>
          <w:p>
            <w:pPr>
              <w:spacing w:after="0" w:before="0"/>
            </w:pPr>
            <w:r/>
            <w:r>
              <w:rPr>
                <w:rFonts w:ascii="Arial" w:hAnsi="Arial"/>
                <w:b w:val="0"/>
                <w:sz w:val="15"/>
              </w:rPr>
              <w:t>TenantModuleId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GrantedBy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RevokedBy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plat.TenantModule</w:t>
            </w:r>
          </w:p>
        </w:tc>
        <w:tc>
          <w:tcPr>
            <w:tcW w:type="dxa" w:w="2948"/>
          </w:tcPr>
          <w:p>
            <w:pPr>
              <w:spacing w:after="0" w:before="0"/>
            </w:pPr>
            <w:r/>
            <w:r>
              <w:rPr>
                <w:rFonts w:ascii="Arial" w:hAnsi="Arial"/>
                <w:b w:val="0"/>
                <w:sz w:val="15"/>
              </w:rPr>
              <w:t>EnabledBy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3" name="Picture 3"/>
            <wp:cNvGraphicFramePr>
              <a:graphicFrameLocks noChangeAspect="1"/>
            </wp:cNvGraphicFramePr>
            <a:graphic>
              <a:graphicData uri="http://schemas.openxmlformats.org/drawingml/2006/picture">
                <pic:pic>
                  <pic:nvPicPr>
                    <pic:cNvPr id="0" name="m0_identity.png"/>
                    <pic:cNvPicPr/>
                  </pic:nvPicPr>
                  <pic:blipFill>
                    <a:blip r:embed="rId13"/>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3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PERMISSION_LOCKED is enforced by the service (BR-PLT-019)</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4" name="Picture 4"/>
            <wp:cNvGraphicFramePr>
              <a:graphicFrameLocks noChangeAspect="1"/>
            </wp:cNvGraphicFramePr>
            <a:graphic>
              <a:graphicData uri="http://schemas.openxmlformats.org/drawingml/2006/picture">
                <pic:pic>
                  <pic:nvPicPr>
                    <pic:cNvPr id="0" name="m0_sessions_1.png"/>
                    <pic:cNvPicPr/>
                  </pic:nvPicPr>
                  <pic:blipFill>
                    <a:blip r:embed="rId14"/>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4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the permanent trace is in aud.AuditLog (BR-PLT-005)</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5" name="Picture 5"/>
            <wp:cNvGraphicFramePr>
              <a:graphicFrameLocks noChangeAspect="1"/>
            </wp:cNvGraphicFramePr>
            <a:graphic>
              <a:graphicData uri="http://schemas.openxmlformats.org/drawingml/2006/picture">
                <pic:pic>
                  <pic:nvPicPr>
                    <pic:cNvPr id="0" name="m0_sessions_2.png"/>
                    <pic:cNvPicPr/>
                  </pic:nvPicPr>
                  <pic:blipFill>
                    <a:blip r:embed="rId15"/>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5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or password-reset token (30 minutes) (FR-PLT-013)</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863590" cy="3632017"/>
            <wp:docPr id="6" name="Picture 6"/>
            <wp:cNvGraphicFramePr>
              <a:graphicFrameLocks noChangeAspect="1"/>
            </wp:cNvGraphicFramePr>
            <a:graphic>
              <a:graphicData uri="http://schemas.openxmlformats.org/drawingml/2006/picture">
                <pic:pic>
                  <pic:nvPicPr>
                    <pic:cNvPr id="0" name="m0_sessions_3.png"/>
                    <pic:cNvPicPr/>
                  </pic:nvPicPr>
                  <pic:blipFill>
                    <a:blip r:embed="rId16"/>
                    <a:stretch>
                      <a:fillRect/>
                    </a:stretch>
                  </pic:blipFill>
                  <pic:spPr>
                    <a:xfrm>
                      <a:off x="0" y="0"/>
                      <a:ext cx="5863590" cy="3632017"/>
                    </a:xfrm>
                    <a:prstGeom prst="rect"/>
                  </pic:spPr>
                </pic:pic>
              </a:graphicData>
            </a:graphic>
          </wp:inline>
        </w:drawing>
      </w:r>
    </w:p>
    <w:p>
      <w:pPr>
        <w:spacing w:after="120"/>
        <w:jc w:val="center"/>
      </w:pPr>
      <w:r>
        <w:rPr>
          <w:rFonts w:ascii="Arial" w:hAnsi="Arial"/>
          <w:b w:val="0"/>
          <w:i/>
          <w:color w:val="6B7280"/>
          <w:sz w:val="16"/>
        </w:rPr>
        <w:t>Figure 6  Sessions, keys and authentication attempts (part 3 of 3)  ·  4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1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094730" cy="1941499"/>
            <wp:docPr id="7" name="Picture 7"/>
            <wp:cNvGraphicFramePr>
              <a:graphicFrameLocks noChangeAspect="1"/>
            </wp:cNvGraphicFramePr>
            <a:graphic>
              <a:graphicData uri="http://schemas.openxmlformats.org/drawingml/2006/picture">
                <pic:pic>
                  <pic:nvPicPr>
                    <pic:cNvPr id="0" name="m0_audit_docs_1.png"/>
                    <pic:cNvPicPr/>
                  </pic:nvPicPr>
                  <pic:blipFill>
                    <a:blip r:embed="rId17"/>
                    <a:stretch>
                      <a:fillRect/>
                    </a:stretch>
                  </pic:blipFill>
                  <pic:spPr>
                    <a:xfrm>
                      <a:off x="0" y="0"/>
                      <a:ext cx="6094730" cy="1941499"/>
                    </a:xfrm>
                    <a:prstGeom prst="rect"/>
                  </pic:spPr>
                </pic:pic>
              </a:graphicData>
            </a:graphic>
          </wp:inline>
        </w:drawing>
      </w:r>
    </w:p>
    <w:p>
      <w:pPr>
        <w:spacing w:after="120"/>
        <w:jc w:val="center"/>
      </w:pPr>
      <w:r>
        <w:rPr>
          <w:rFonts w:ascii="Arial" w:hAnsi="Arial"/>
          <w:b w:val="0"/>
          <w:i/>
          <w:color w:val="6B7280"/>
          <w:sz w:val="16"/>
        </w:rPr>
        <w:t>Figure 7  Audit trail and documents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2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642100" cy="3853083"/>
            <wp:docPr id="8" name="Picture 8"/>
            <wp:cNvGraphicFramePr>
              <a:graphicFrameLocks noChangeAspect="1"/>
            </wp:cNvGraphicFramePr>
            <a:graphic>
              <a:graphicData uri="http://schemas.openxmlformats.org/drawingml/2006/picture">
                <pic:pic>
                  <pic:nvPicPr>
                    <pic:cNvPr id="0" name="m0_audit_docs_2.png"/>
                    <pic:cNvPicPr/>
                  </pic:nvPicPr>
                  <pic:blipFill>
                    <a:blip r:embed="rId18"/>
                    <a:stretch>
                      <a:fillRect/>
                    </a:stretch>
                  </pic:blipFill>
                  <pic:spPr>
                    <a:xfrm>
                      <a:off x="0" y="0"/>
                      <a:ext cx="6642100" cy="3853083"/>
                    </a:xfrm>
                    <a:prstGeom prst="rect"/>
                  </pic:spPr>
                </pic:pic>
              </a:graphicData>
            </a:graphic>
          </wp:inline>
        </w:drawing>
      </w:r>
    </w:p>
    <w:p>
      <w:pPr>
        <w:spacing w:after="120"/>
        <w:jc w:val="center"/>
      </w:pPr>
      <w:r>
        <w:rPr>
          <w:rFonts w:ascii="Arial" w:hAnsi="Arial"/>
          <w:b w:val="0"/>
          <w:i/>
          <w:color w:val="6B7280"/>
          <w:sz w:val="16"/>
        </w:rPr>
        <w:t>Figure 8  Audit trail and documents (part 2 of 3)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OwnerCompanyId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CurrentVersionId</w:t>
            </w:r>
          </w:p>
        </w:tc>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DocumentVersionId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SupersededByDocumentId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DeletedBy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3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196330" cy="3345436"/>
            <wp:docPr id="9" name="Picture 9"/>
            <wp:cNvGraphicFramePr>
              <a:graphicFrameLocks noChangeAspect="1"/>
            </wp:cNvGraphicFramePr>
            <a:graphic>
              <a:graphicData uri="http://schemas.openxmlformats.org/drawingml/2006/picture">
                <pic:pic>
                  <pic:nvPicPr>
                    <pic:cNvPr id="0" name="m0_audit_docs_3.png"/>
                    <pic:cNvPicPr/>
                  </pic:nvPicPr>
                  <pic:blipFill>
                    <a:blip r:embed="rId19"/>
                    <a:stretch>
                      <a:fillRect/>
                    </a:stretch>
                  </pic:blipFill>
                  <pic:spPr>
                    <a:xfrm>
                      <a:off x="0" y="0"/>
                      <a:ext cx="6196330" cy="3345436"/>
                    </a:xfrm>
                    <a:prstGeom prst="rect"/>
                  </pic:spPr>
                </pic:pic>
              </a:graphicData>
            </a:graphic>
          </wp:inline>
        </w:drawing>
      </w:r>
    </w:p>
    <w:p>
      <w:pPr>
        <w:spacing w:after="120"/>
        <w:jc w:val="center"/>
      </w:pPr>
      <w:r>
        <w:rPr>
          <w:rFonts w:ascii="Arial" w:hAnsi="Arial"/>
          <w:b w:val="0"/>
          <w:i/>
          <w:color w:val="6B7280"/>
          <w:sz w:val="16"/>
        </w:rPr>
        <w:t>Figure 9  Audit trail and documents (part 3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doc.DocumentLink</w:t>
            </w:r>
          </w:p>
        </w:tc>
        <w:tc>
          <w:tcPr>
            <w:tcW w:type="dxa" w:w="6690"/>
          </w:tcPr>
          <w:p>
            <w:pPr>
              <w:spacing w:after="0" w:before="0"/>
            </w:pPr>
            <w:r/>
            <w:r>
              <w:rPr>
                <w:rFonts w:ascii="Arial" w:hAnsi="Arial"/>
                <w:b w:val="0"/>
                <w:sz w:val="15"/>
              </w:rPr>
              <w:t>Links a document to any entity with a role and a reference page; unlinking is logical (FR-PLT-028)</w:t>
            </w:r>
          </w:p>
        </w:tc>
        <w:tc>
          <w:tcPr>
            <w:tcW w:type="dxa" w:w="2948"/>
          </w:tcPr>
          <w:p>
            <w:pPr>
              <w:spacing w:after="0" w:before="0"/>
            </w:pPr>
            <w:r/>
            <w:r>
              <w:rPr>
                <w:rFonts w:ascii="Arial" w:hAnsi="Arial"/>
                <w:b w:val="0"/>
                <w:sz w:val="15"/>
              </w:rPr>
              <w:t>DocumentLinkId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doc.DocumentVersion</w:t>
            </w:r>
          </w:p>
        </w:tc>
        <w:tc>
          <w:tcPr>
            <w:tcW w:type="dxa" w:w="6690"/>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2948"/>
            <w:shd w:val="clear" w:color="auto" w:fill="E8EEF6"/>
          </w:tcPr>
          <w:p>
            <w:pPr>
              <w:spacing w:after="0" w:before="0"/>
            </w:pPr>
            <w:r/>
            <w:r>
              <w:rPr>
                <w:rFonts w:ascii="Arial" w:hAnsi="Arial"/>
                <w:b w:val="0"/>
                <w:sz w:val="15"/>
              </w:rPr>
              <w:t>DocumentVersionId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3229932"/>
            <wp:docPr id="10" name="Picture 10"/>
            <wp:cNvGraphicFramePr>
              <a:graphicFrameLocks noChangeAspect="1"/>
            </wp:cNvGraphicFramePr>
            <a:graphic>
              <a:graphicData uri="http://schemas.openxmlformats.org/drawingml/2006/picture">
                <pic:pic>
                  <pic:nvPicPr>
                    <pic:cNvPr id="0" name="m0_config_1.png"/>
                    <pic:cNvPicPr/>
                  </pic:nvPicPr>
                  <pic:blipFill>
                    <a:blip r:embed="rId20"/>
                    <a:stretch>
                      <a:fillRect/>
                    </a:stretch>
                  </pic:blipFill>
                  <pic:spPr>
                    <a:xfrm>
                      <a:off x="0" y="0"/>
                      <a:ext cx="5965190" cy="3229932"/>
                    </a:xfrm>
                    <a:prstGeom prst="rect"/>
                  </pic:spPr>
                </pic:pic>
              </a:graphicData>
            </a:graphic>
          </wp:inline>
        </w:drawing>
      </w:r>
    </w:p>
    <w:p>
      <w:pPr>
        <w:spacing w:after="120"/>
        <w:jc w:val="center"/>
      </w:pPr>
      <w:r>
        <w:rPr>
          <w:rFonts w:ascii="Arial" w:hAnsi="Arial"/>
          <w:b w:val="0"/>
          <w:i/>
          <w:color w:val="6B7280"/>
          <w:sz w:val="16"/>
        </w:rPr>
        <w:t>Figure 10  Configuration and background jobs (part 1 of 3)  ·  3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2650" cy="7869867"/>
            <wp:docPr id="11" name="Picture 11"/>
            <wp:cNvGraphicFramePr>
              <a:graphicFrameLocks noChangeAspect="1"/>
            </wp:cNvGraphicFramePr>
            <a:graphic>
              <a:graphicData uri="http://schemas.openxmlformats.org/drawingml/2006/picture">
                <pic:pic>
                  <pic:nvPicPr>
                    <pic:cNvPr id="0" name="m0_config_2.png"/>
                    <pic:cNvPicPr/>
                  </pic:nvPicPr>
                  <pic:blipFill>
                    <a:blip r:embed="rId21"/>
                    <a:stretch>
                      <a:fillRect/>
                    </a:stretch>
                  </pic:blipFill>
                  <pic:spPr>
                    <a:xfrm>
                      <a:off x="0" y="0"/>
                      <a:ext cx="5962650" cy="7869867"/>
                    </a:xfrm>
                    <a:prstGeom prst="rect"/>
                  </pic:spPr>
                </pic:pic>
              </a:graphicData>
            </a:graphic>
          </wp:inline>
        </w:drawing>
      </w:r>
    </w:p>
    <w:p>
      <w:pPr>
        <w:spacing w:after="120"/>
        <w:jc w:val="center"/>
      </w:pPr>
      <w:r>
        <w:rPr>
          <w:rFonts w:ascii="Arial" w:hAnsi="Arial"/>
          <w:b w:val="0"/>
          <w:i/>
          <w:color w:val="6B7280"/>
          <w:sz w:val="16"/>
        </w:rPr>
        <w:t>Figure 11  Configuration and background jobs (part 2 of 3)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cfg.JobRun</w:t>
            </w:r>
          </w:p>
        </w:tc>
        <w:tc>
          <w:tcPr>
            <w:tcW w:type="dxa" w:w="6690"/>
          </w:tcPr>
          <w:p>
            <w:pPr>
              <w:spacing w:after="0" w:before="0"/>
            </w:pPr>
            <w:r/>
            <w:r>
              <w:rPr>
                <w:rFonts w:ascii="Arial" w:hAnsi="Arial"/>
                <w:b w:val="0"/>
                <w:sz w:val="15"/>
              </w:rPr>
              <w:t>Background job run log: last run, duration and result, visible to the account administrator (FR-PLT-044)</w:t>
            </w:r>
          </w:p>
        </w:tc>
        <w:tc>
          <w:tcPr>
            <w:tcW w:type="dxa" w:w="2948"/>
          </w:tcPr>
          <w:p>
            <w:pPr>
              <w:spacing w:after="0" w:before="0"/>
            </w:pPr>
            <w:r/>
            <w:r>
              <w:rPr>
                <w:rFonts w:ascii="Arial" w:hAnsi="Arial"/>
                <w:b w:val="0"/>
                <w:sz w:val="15"/>
              </w:rPr>
              <w:t>JobRunId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cfg.NonWorkingDay</w:t>
            </w:r>
          </w:p>
        </w:tc>
        <w:tc>
          <w:tcPr>
            <w:tcW w:type="dxa" w:w="6690"/>
            <w:shd w:val="clear" w:color="auto" w:fill="E8EEF6"/>
          </w:tcPr>
          <w:p>
            <w:pPr>
              <w:spacing w:after="0" w:before="0"/>
            </w:pPr>
            <w:r/>
            <w:r>
              <w:rPr>
                <w:rFonts w:ascii="Arial" w:hAnsi="Arial"/>
                <w:b w:val="0"/>
                <w:sz w:val="15"/>
              </w:rPr>
              <w:t>Non-working day; NULL TenantId = platform holiday, read-only (FR-PLT-035, BR-PLT-014)</w:t>
            </w:r>
          </w:p>
        </w:tc>
        <w:tc>
          <w:tcPr>
            <w:tcW w:type="dxa" w:w="2948"/>
            <w:shd w:val="clear" w:color="auto" w:fill="E8EEF6"/>
          </w:tcPr>
          <w:p>
            <w:pPr>
              <w:spacing w:after="0" w:before="0"/>
            </w:pPr>
            <w:r/>
            <w:r>
              <w:rPr>
                <w:rFonts w:ascii="Arial" w:hAnsi="Arial"/>
                <w:b w:val="0"/>
                <w:sz w:val="15"/>
              </w:rPr>
              <w:t>NonWorkingDayId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3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468110" cy="6206226"/>
            <wp:docPr id="12" name="Picture 12"/>
            <wp:cNvGraphicFramePr>
              <a:graphicFrameLocks noChangeAspect="1"/>
            </wp:cNvGraphicFramePr>
            <a:graphic>
              <a:graphicData uri="http://schemas.openxmlformats.org/drawingml/2006/picture">
                <pic:pic>
                  <pic:nvPicPr>
                    <pic:cNvPr id="0" name="m0_config_3.png"/>
                    <pic:cNvPicPr/>
                  </pic:nvPicPr>
                  <pic:blipFill>
                    <a:blip r:embed="rId22"/>
                    <a:stretch>
                      <a:fillRect/>
                    </a:stretch>
                  </pic:blipFill>
                  <pic:spPr>
                    <a:xfrm>
                      <a:off x="0" y="0"/>
                      <a:ext cx="6468110" cy="6206226"/>
                    </a:xfrm>
                    <a:prstGeom prst="rect"/>
                  </pic:spPr>
                </pic:pic>
              </a:graphicData>
            </a:graphic>
          </wp:inline>
        </w:drawing>
      </w:r>
    </w:p>
    <w:p>
      <w:pPr>
        <w:spacing w:after="120"/>
        <w:jc w:val="center"/>
      </w:pPr>
      <w:r>
        <w:rPr>
          <w:rFonts w:ascii="Arial" w:hAnsi="Arial"/>
          <w:b w:val="0"/>
          <w:i/>
          <w:color w:val="6B7280"/>
          <w:sz w:val="16"/>
        </w:rPr>
        <w:t>Figure 12  Configuration and background jobs (part 3 of 3)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(FR-PLT-042)</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658350" cy="5834906"/>
            <wp:docPr id="13" name="Picture 13"/>
            <wp:cNvGraphicFramePr>
              <a:graphicFrameLocks noChangeAspect="1"/>
            </wp:cNvGraphicFramePr>
            <a:graphic>
              <a:graphicData uri="http://schemas.openxmlformats.org/drawingml/2006/picture">
                <pic:pic>
                  <pic:nvPicPr>
                    <pic:cNvPr id="0" name="m1_company_1.png"/>
                    <pic:cNvPicPr/>
                  </pic:nvPicPr>
                  <pic:blipFill>
                    <a:blip r:embed="rId23"/>
                    <a:stretch>
                      <a:fillRect/>
                    </a:stretch>
                  </pic:blipFill>
                  <pic:spPr>
                    <a:xfrm>
                      <a:off x="0" y="0"/>
                      <a:ext cx="9658350" cy="5834906"/>
                    </a:xfrm>
                    <a:prstGeom prst="rect"/>
                  </pic:spPr>
                </pic:pic>
              </a:graphicData>
            </a:graphic>
          </wp:inline>
        </w:drawing>
      </w:r>
    </w:p>
    <w:p>
      <w:pPr>
        <w:spacing w:after="120"/>
        <w:jc w:val="center"/>
      </w:pPr>
      <w:r>
        <w:rPr>
          <w:rFonts w:ascii="Arial" w:hAnsi="Arial"/>
          <w:b w:val="0"/>
          <w:i/>
          <w:color w:val="6B7280"/>
          <w:sz w:val="16"/>
        </w:rPr>
        <w:t>Figure 13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4" name="Picture 14"/>
            <wp:cNvGraphicFramePr>
              <a:graphicFrameLocks noChangeAspect="1"/>
            </wp:cNvGraphicFramePr>
            <a:graphic>
              <a:graphicData uri="http://schemas.openxmlformats.org/drawingml/2006/picture">
                <pic:pic>
                  <pic:nvPicPr>
                    <pic:cNvPr id="0" name="m1_company_2.png"/>
                    <pic:cNvPicPr/>
                  </pic:nvPicPr>
                  <pic:blipFill>
                    <a:blip r:embed="rId24"/>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14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207760" cy="7674520"/>
            <wp:docPr id="15" name="Picture 15"/>
            <wp:cNvGraphicFramePr>
              <a:graphicFrameLocks noChangeAspect="1"/>
            </wp:cNvGraphicFramePr>
            <a:graphic>
              <a:graphicData uri="http://schemas.openxmlformats.org/drawingml/2006/picture">
                <pic:pic>
                  <pic:nvPicPr>
                    <pic:cNvPr id="0" name="m1_company_3.png"/>
                    <pic:cNvPicPr/>
                  </pic:nvPicPr>
                  <pic:blipFill>
                    <a:blip r:embed="rId25"/>
                    <a:stretch>
                      <a:fillRect/>
                    </a:stretch>
                  </pic:blipFill>
                  <pic:spPr>
                    <a:xfrm>
                      <a:off x="0" y="0"/>
                      <a:ext cx="6207760" cy="7674520"/>
                    </a:xfrm>
                    <a:prstGeom prst="rect"/>
                  </pic:spPr>
                </pic:pic>
              </a:graphicData>
            </a:graphic>
          </wp:inline>
        </w:drawing>
      </w:r>
    </w:p>
    <w:p>
      <w:pPr>
        <w:spacing w:after="120"/>
        <w:jc w:val="center"/>
      </w:pPr>
      <w:r>
        <w:rPr>
          <w:rFonts w:ascii="Arial" w:hAnsi="Arial"/>
          <w:b w:val="0"/>
          <w:i/>
          <w:color w:val="6B7280"/>
          <w:sz w:val="16"/>
        </w:rPr>
        <w:t>Figure 15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6" name="Picture 16"/>
            <wp:cNvGraphicFramePr>
              <a:graphicFrameLocks noChangeAspect="1"/>
            </wp:cNvGraphicFramePr>
            <a:graphic>
              <a:graphicData uri="http://schemas.openxmlformats.org/drawingml/2006/picture">
                <pic:pic>
                  <pic:nvPicPr>
                    <pic:cNvPr id="0" name="m1_company_kyc_1.png"/>
                    <pic:cNvPicPr/>
                  </pic:nvPicPr>
                  <pic:blipFill>
                    <a:blip r:embed="rId26"/>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16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7" name="Picture 17"/>
            <wp:cNvGraphicFramePr>
              <a:graphicFrameLocks noChangeAspect="1"/>
            </wp:cNvGraphicFramePr>
            <a:graphic>
              <a:graphicData uri="http://schemas.openxmlformats.org/drawingml/2006/picture">
                <pic:pic>
                  <pic:nvPicPr>
                    <pic:cNvPr id="0" name="m1_company_kyc_2.png"/>
                    <pic:cNvPicPr/>
                  </pic:nvPicPr>
                  <pic:blipFill>
                    <a:blip r:embed="rId27"/>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17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8" name="Picture 18"/>
            <wp:cNvGraphicFramePr>
              <a:graphicFrameLocks noChangeAspect="1"/>
            </wp:cNvGraphicFramePr>
            <a:graphic>
              <a:graphicData uri="http://schemas.openxmlformats.org/drawingml/2006/picture">
                <pic:pic>
                  <pic:nvPicPr>
                    <pic:cNvPr id="0" name="m1_party_1.png"/>
                    <pic:cNvPicPr/>
                  </pic:nvPicPr>
                  <pic:blipFill>
                    <a:blip r:embed="rId28"/>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18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500870" cy="4043895"/>
            <wp:docPr id="19" name="Picture 19"/>
            <wp:cNvGraphicFramePr>
              <a:graphicFrameLocks noChangeAspect="1"/>
            </wp:cNvGraphicFramePr>
            <a:graphic>
              <a:graphicData uri="http://schemas.openxmlformats.org/drawingml/2006/picture">
                <pic:pic>
                  <pic:nvPicPr>
                    <pic:cNvPr id="0" name="m1_party_2.png"/>
                    <pic:cNvPicPr/>
                  </pic:nvPicPr>
                  <pic:blipFill>
                    <a:blip r:embed="rId29"/>
                    <a:stretch>
                      <a:fillRect/>
                    </a:stretch>
                  </pic:blipFill>
                  <pic:spPr>
                    <a:xfrm>
                      <a:off x="0" y="0"/>
                      <a:ext cx="9500870" cy="4043895"/>
                    </a:xfrm>
                    <a:prstGeom prst="rect"/>
                  </pic:spPr>
                </pic:pic>
              </a:graphicData>
            </a:graphic>
          </wp:inline>
        </w:drawing>
      </w:r>
    </w:p>
    <w:p>
      <w:pPr>
        <w:spacing w:after="120"/>
        <w:jc w:val="center"/>
      </w:pPr>
      <w:r>
        <w:rPr>
          <w:rFonts w:ascii="Arial" w:hAnsi="Arial"/>
          <w:b w:val="0"/>
          <w:i/>
          <w:color w:val="6B7280"/>
          <w:sz w:val="16"/>
        </w:rPr>
        <w:t>Figure 19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6924841"/>
            <wp:docPr id="20" name="Picture 20"/>
            <wp:cNvGraphicFramePr>
              <a:graphicFrameLocks noChangeAspect="1"/>
            </wp:cNvGraphicFramePr>
            <a:graphic>
              <a:graphicData uri="http://schemas.openxmlformats.org/drawingml/2006/picture">
                <pic:pic>
                  <pic:nvPicPr>
                    <pic:cNvPr id="0" name="m1_party_3.png"/>
                    <pic:cNvPicPr/>
                  </pic:nvPicPr>
                  <pic:blipFill>
                    <a:blip r:embed="rId30"/>
                    <a:stretch>
                      <a:fillRect/>
                    </a:stretch>
                  </pic:blipFill>
                  <pic:spPr>
                    <a:xfrm>
                      <a:off x="0" y="0"/>
                      <a:ext cx="9398000" cy="6924841"/>
                    </a:xfrm>
                    <a:prstGeom prst="rect"/>
                  </pic:spPr>
                </pic:pic>
              </a:graphicData>
            </a:graphic>
          </wp:inline>
        </w:drawing>
      </w:r>
    </w:p>
    <w:p>
      <w:pPr>
        <w:spacing w:after="120"/>
        <w:jc w:val="center"/>
      </w:pPr>
      <w:r>
        <w:rPr>
          <w:rFonts w:ascii="Arial" w:hAnsi="Arial"/>
          <w:b w:val="0"/>
          <w:i/>
          <w:color w:val="6B7280"/>
          <w:sz w:val="16"/>
        </w:rPr>
        <w:t>Figure 20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LinkedCompanyId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MergedIntoPartyId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21" name="Picture 21"/>
            <wp:cNvGraphicFramePr>
              <a:graphicFrameLocks noChangeAspect="1"/>
            </wp:cNvGraphicFramePr>
            <a:graphic>
              <a:graphicData uri="http://schemas.openxmlformats.org/drawingml/2006/picture">
                <pic:pic>
                  <pic:nvPicPr>
                    <pic:cNvPr id="0" name="m1_party_4.png"/>
                    <pic:cNvPicPr/>
                  </pic:nvPicPr>
                  <pic:blipFill>
                    <a:blip r:embed="rId31"/>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21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2" name="Picture 22"/>
            <wp:cNvGraphicFramePr>
              <a:graphicFrameLocks noChangeAspect="1"/>
            </wp:cNvGraphicFramePr>
            <a:graphic>
              <a:graphicData uri="http://schemas.openxmlformats.org/drawingml/2006/picture">
                <pic:pic>
                  <pic:nvPicPr>
                    <pic:cNvPr id="0" name="m2_3_institutions_1.png"/>
                    <pic:cNvPicPr/>
                  </pic:nvPicPr>
                  <pic:blipFill>
                    <a:blip r:embed="rId32"/>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3" name="Picture 23"/>
            <wp:cNvGraphicFramePr>
              <a:graphicFrameLocks noChangeAspect="1"/>
            </wp:cNvGraphicFramePr>
            <a:graphic>
              <a:graphicData uri="http://schemas.openxmlformats.org/drawingml/2006/picture">
                <pic:pic>
                  <pic:nvPicPr>
                    <pic:cNvPr id="0" name="m2_3_institutions_2.png"/>
                    <pic:cNvPicPr/>
                  </pic:nvPicPr>
                  <pic:blipFill>
                    <a:blip r:embed="rId33"/>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4" name="Picture 24"/>
            <wp:cNvGraphicFramePr>
              <a:graphicFrameLocks noChangeAspect="1"/>
            </wp:cNvGraphicFramePr>
            <a:graphic>
              <a:graphicData uri="http://schemas.openxmlformats.org/drawingml/2006/picture">
                <pic:pic>
                  <pic:nvPicPr>
                    <pic:cNvPr id="0" name="m2_3_institutions_3.png"/>
                    <pic:cNvPicPr/>
                  </pic:nvPicPr>
                  <pic:blipFill>
                    <a:blip r:embed="rId34"/>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5" name="Picture 25"/>
            <wp:cNvGraphicFramePr>
              <a:graphicFrameLocks noChangeAspect="1"/>
            </wp:cNvGraphicFramePr>
            <a:graphic>
              <a:graphicData uri="http://schemas.openxmlformats.org/drawingml/2006/picture">
                <pic:pic>
                  <pic:nvPicPr>
                    <pic:cNvPr id="0" name="m2_3_institutions_4.png"/>
                    <pic:cNvPicPr/>
                  </pic:nvPicPr>
                  <pic:blipFill>
                    <a:blip r:embed="rId35"/>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6" name="Picture 26"/>
            <wp:cNvGraphicFramePr>
              <a:graphicFrameLocks noChangeAspect="1"/>
            </wp:cNvGraphicFramePr>
            <a:graphic>
              <a:graphicData uri="http://schemas.openxmlformats.org/drawingml/2006/picture">
                <pic:pic>
                  <pic:nvPicPr>
                    <pic:cNvPr id="0" name="m2_3_institutions_5.png"/>
                    <pic:cNvPicPr/>
                  </pic:nvPicPr>
                  <pic:blipFill>
                    <a:blip r:embed="rId36"/>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7" name="Picture 27"/>
            <wp:cNvGraphicFramePr>
              <a:graphicFrameLocks noChangeAspect="1"/>
            </wp:cNvGraphicFramePr>
            <a:graphic>
              <a:graphicData uri="http://schemas.openxmlformats.org/drawingml/2006/picture">
                <pic:pic>
                  <pic:nvPicPr>
                    <pic:cNvPr id="0" name="m2_3_institutions_6.png"/>
                    <pic:cNvPicPr/>
                  </pic:nvPicPr>
                  <pic:blipFill>
                    <a:blip r:embed="rId37"/>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27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8" name="Picture 28"/>
            <wp:cNvGraphicFramePr>
              <a:graphicFrameLocks noChangeAspect="1"/>
            </wp:cNvGraphicFramePr>
            <a:graphic>
              <a:graphicData uri="http://schemas.openxmlformats.org/drawingml/2006/picture">
                <pic:pic>
                  <pic:nvPicPr>
                    <pic:cNvPr id="0" name="m2_3_institutions_7.png"/>
                    <pic:cNvPicPr/>
                  </pic:nvPicPr>
                  <pic:blipFill>
                    <a:blip r:embed="rId38"/>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28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9602470" cy="3587415"/>
            <wp:docPr id="29" name="Picture 29"/>
            <wp:cNvGraphicFramePr>
              <a:graphicFrameLocks noChangeAspect="1"/>
            </wp:cNvGraphicFramePr>
            <a:graphic>
              <a:graphicData uri="http://schemas.openxmlformats.org/drawingml/2006/picture">
                <pic:pic>
                  <pic:nvPicPr>
                    <pic:cNvPr id="0" name="m4_products_1.png"/>
                    <pic:cNvPicPr/>
                  </pic:nvPicPr>
                  <pic:blipFill>
                    <a:blip r:embed="rId39"/>
                    <a:stretch>
                      <a:fillRect/>
                    </a:stretch>
                  </pic:blipFill>
                  <pic:spPr>
                    <a:xfrm>
                      <a:off x="0" y="0"/>
                      <a:ext cx="9602470" cy="3587415"/>
                    </a:xfrm>
                    <a:prstGeom prst="rect"/>
                  </pic:spPr>
                </pic:pic>
              </a:graphicData>
            </a:graphic>
          </wp:inline>
        </w:drawing>
      </w:r>
    </w:p>
    <w:p>
      <w:pPr>
        <w:spacing w:after="120"/>
        <w:jc w:val="center"/>
      </w:pPr>
      <w:r>
        <w:rPr>
          <w:rFonts w:ascii="Arial" w:hAnsi="Arial"/>
          <w:b w:val="0"/>
          <w:i/>
          <w:color w:val="6B7280"/>
          <w:sz w:val="16"/>
        </w:rPr>
        <w:t>Figure 29  Products, fees, financing and collateral types (part 1 of 3)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5687060" cy="3155321"/>
            <wp:docPr id="30" name="Picture 30"/>
            <wp:cNvGraphicFramePr>
              <a:graphicFrameLocks noChangeAspect="1"/>
            </wp:cNvGraphicFramePr>
            <a:graphic>
              <a:graphicData uri="http://schemas.openxmlformats.org/drawingml/2006/picture">
                <pic:pic>
                  <pic:nvPicPr>
                    <pic:cNvPr id="0" name="m4_products_2.png"/>
                    <pic:cNvPicPr/>
                  </pic:nvPicPr>
                  <pic:blipFill>
                    <a:blip r:embed="rId40"/>
                    <a:stretch>
                      <a:fillRect/>
                    </a:stretch>
                  </pic:blipFill>
                  <pic:spPr>
                    <a:xfrm>
                      <a:off x="0" y="0"/>
                      <a:ext cx="5687060" cy="3155321"/>
                    </a:xfrm>
                    <a:prstGeom prst="rect"/>
                  </pic:spPr>
                </pic:pic>
              </a:graphicData>
            </a:graphic>
          </wp:inline>
        </w:drawing>
      </w:r>
    </w:p>
    <w:p>
      <w:pPr>
        <w:spacing w:after="120"/>
        <w:jc w:val="center"/>
      </w:pPr>
      <w:r>
        <w:rPr>
          <w:rFonts w:ascii="Arial" w:hAnsi="Arial"/>
          <w:b w:val="0"/>
          <w:i/>
          <w:color w:val="6B7280"/>
          <w:sz w:val="16"/>
        </w:rPr>
        <w:t>Figure 30  Products, fees, financing and collateral types (part 2 of 3)  ·  3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3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12510" cy="2264662"/>
            <wp:docPr id="31" name="Picture 31"/>
            <wp:cNvGraphicFramePr>
              <a:graphicFrameLocks noChangeAspect="1"/>
            </wp:cNvGraphicFramePr>
            <a:graphic>
              <a:graphicData uri="http://schemas.openxmlformats.org/drawingml/2006/picture">
                <pic:pic>
                  <pic:nvPicPr>
                    <pic:cNvPr id="0" name="m4_products_3.png"/>
                    <pic:cNvPicPr/>
                  </pic:nvPicPr>
                  <pic:blipFill>
                    <a:blip r:embed="rId41"/>
                    <a:stretch>
                      <a:fillRect/>
                    </a:stretch>
                  </pic:blipFill>
                  <pic:spPr>
                    <a:xfrm>
                      <a:off x="0" y="0"/>
                      <a:ext cx="6112510" cy="2264662"/>
                    </a:xfrm>
                    <a:prstGeom prst="rect"/>
                  </pic:spPr>
                </pic:pic>
              </a:graphicData>
            </a:graphic>
          </wp:inline>
        </w:drawing>
      </w:r>
    </w:p>
    <w:p>
      <w:pPr>
        <w:spacing w:after="120"/>
        <w:jc w:val="center"/>
      </w:pPr>
      <w:r>
        <w:rPr>
          <w:rFonts w:ascii="Arial" w:hAnsi="Arial"/>
          <w:b w:val="0"/>
          <w:i/>
          <w:color w:val="6B7280"/>
          <w:sz w:val="16"/>
        </w:rPr>
        <w:t>Figure 31  Products, fees, financing and collateral types (part 3 of 3)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cat.CollateralType</w:t>
            </w:r>
          </w:p>
        </w:tc>
        <w:tc>
          <w:tcPr>
            <w:tcW w:type="dxa" w:w="6690"/>
          </w:tcPr>
          <w:p>
            <w:pPr>
              <w:spacing w:after="0" w:before="0"/>
            </w:pPr>
            <w:r/>
            <w:r>
              <w:rPr>
                <w:rFonts w:ascii="Arial" w:hAnsi="Arial"/>
                <w:b w:val="0"/>
                <w:sz w:val="15"/>
              </w:rPr>
              <w:t>Collateral type with its structure type and attribute template (FR-CAT-013)</w:t>
            </w:r>
          </w:p>
        </w:tc>
        <w:tc>
          <w:tcPr>
            <w:tcW w:type="dxa" w:w="2948"/>
          </w:tcPr>
          <w:p>
            <w:pPr>
              <w:spacing w:after="0" w:before="0"/>
            </w:pPr>
            <w:r/>
            <w:r>
              <w:rPr>
                <w:rFonts w:ascii="Arial" w:hAnsi="Arial"/>
                <w:b w:val="0"/>
                <w:sz w:val="15"/>
              </w:rPr>
              <w:t>CollateralTypeId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cat.CollateralTypeAttribute</w:t>
            </w:r>
          </w:p>
        </w:tc>
        <w:tc>
          <w:tcPr>
            <w:tcW w:type="dxa" w:w="6690"/>
            <w:shd w:val="clear" w:color="auto" w:fill="E8EEF6"/>
          </w:tcPr>
          <w:p>
            <w:pPr>
              <w:spacing w:after="0" w:before="0"/>
            </w:pPr>
            <w:r/>
            <w:r>
              <w:rPr>
                <w:rFonts w:ascii="Arial" w:hAnsi="Arial"/>
                <w:b w:val="0"/>
                <w:sz w:val="15"/>
              </w:rPr>
              <w:t>Attribute in a collateral-type template; never deleted, only marked Retired (BR-CAT-009)</w:t>
            </w:r>
          </w:p>
        </w:tc>
        <w:tc>
          <w:tcPr>
            <w:tcW w:type="dxa" w:w="2948"/>
            <w:shd w:val="clear" w:color="auto" w:fill="E8EEF6"/>
          </w:tcPr>
          <w:p>
            <w:pPr>
              <w:spacing w:after="0" w:before="0"/>
            </w:pPr>
            <w:r/>
            <w:r>
              <w:rPr>
                <w:rFonts w:ascii="Arial" w:hAnsi="Arial"/>
                <w:b w:val="0"/>
                <w:sz w:val="15"/>
              </w:rPr>
              <w:t>CollateralTypeAttributeId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cat.ObligationType</w:t>
            </w:r>
          </w:p>
        </w:tc>
        <w:tc>
          <w:tcPr>
            <w:tcW w:type="dxa" w:w="6690"/>
          </w:tcPr>
          <w:p>
            <w:pPr>
              <w:spacing w:after="0" w:before="0"/>
            </w:pPr>
            <w:r/>
            <w:r>
              <w:rPr>
                <w:rFonts w:ascii="Arial" w:hAnsi="Arial"/>
                <w:b w:val="0"/>
                <w:sz w:val="15"/>
              </w:rPr>
              <w:t>Obligation type with four families (FR-CAT-014, BR-CAT-010)</w:t>
            </w:r>
          </w:p>
        </w:tc>
        <w:tc>
          <w:tcPr>
            <w:tcW w:type="dxa" w:w="2948"/>
          </w:tcPr>
          <w:p>
            <w:pPr>
              <w:spacing w:after="0" w:before="0"/>
            </w:pPr>
            <w:r/>
            <w:r>
              <w:rPr>
                <w:rFonts w:ascii="Arial" w:hAnsi="Arial"/>
                <w:b w:val="0"/>
                <w:sz w:val="15"/>
              </w:rPr>
              <w:t>ObligationTypeId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cat.CollateralTypeAttribute</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32" name="Picture 32"/>
            <wp:cNvGraphicFramePr>
              <a:graphicFrameLocks noChangeAspect="1"/>
            </wp:cNvGraphicFramePr>
            <a:graphic>
              <a:graphicData uri="http://schemas.openxmlformats.org/drawingml/2006/picture">
                <pic:pic>
                  <pic:nvPicPr>
                    <pic:cNvPr id="0" name="m4_reference.png"/>
                    <pic:cNvPicPr/>
                  </pic:nvPicPr>
                  <pic:blipFill>
                    <a:blip r:embed="rId42"/>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32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529328"/>
            <wp:docPr id="33" name="Picture 33"/>
            <wp:cNvGraphicFramePr>
              <a:graphicFrameLocks noChangeAspect="1"/>
            </wp:cNvGraphicFramePr>
            <a:graphic>
              <a:graphicData uri="http://schemas.openxmlformats.org/drawingml/2006/picture">
                <pic:pic>
                  <pic:nvPicPr>
                    <pic:cNvPr id="0" name="m4_rates_lookups.png"/>
                    <pic:cNvPicPr/>
                  </pic:nvPicPr>
                  <pic:blipFill>
                    <a:blip r:embed="rId43"/>
                    <a:stretch>
                      <a:fillRect/>
                    </a:stretch>
                  </pic:blipFill>
                  <pic:spPr>
                    <a:xfrm>
                      <a:off x="0" y="0"/>
                      <a:ext cx="9438640" cy="6529328"/>
                    </a:xfrm>
                    <a:prstGeom prst="rect"/>
                  </pic:spPr>
                </pic:pic>
              </a:graphicData>
            </a:graphic>
          </wp:inline>
        </w:drawing>
      </w:r>
    </w:p>
    <w:p>
      <w:pPr>
        <w:spacing w:after="120"/>
        <w:jc w:val="center"/>
      </w:pPr>
      <w:r>
        <w:rPr>
          <w:rFonts w:ascii="Arial" w:hAnsi="Arial"/>
          <w:b w:val="0"/>
          <w:i/>
          <w:color w:val="6B7280"/>
          <w:sz w:val="16"/>
        </w:rPr>
        <w:t>Figure 33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cat.BaseRateAlias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SupersedesId</w:t>
            </w:r>
          </w:p>
        </w:tc>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BaseRateValueId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4" name="Picture 34"/>
            <wp:cNvGraphicFramePr>
              <a:graphicFrameLocks noChangeAspect="1"/>
            </wp:cNvGraphicFramePr>
            <a:graphic>
              <a:graphicData uri="http://schemas.openxmlformats.org/drawingml/2006/picture">
                <pic:pic>
                  <pic:nvPicPr>
                    <pic:cNvPr id="0" name="m4_global_ref.png"/>
                    <pic:cNvPicPr/>
                  </pic:nvPicPr>
                  <pic:blipFill>
                    <a:blip r:embed="rId44"/>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34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5" name="Picture 35"/>
            <wp:cNvGraphicFramePr>
              <a:graphicFrameLocks noChangeAspect="1"/>
            </wp:cNvGraphicFramePr>
            <a:graphic>
              <a:graphicData uri="http://schemas.openxmlformats.org/drawingml/2006/picture">
                <pic:pic>
                  <pic:nvPicPr>
                    <pic:cNvPr id="0" name="m5_facility_core_1.png"/>
                    <pic:cNvPicPr/>
                  </pic:nvPicPr>
                  <pic:blipFill>
                    <a:blip r:embed="rId45"/>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35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6" name="Picture 36"/>
            <wp:cNvGraphicFramePr>
              <a:graphicFrameLocks noChangeAspect="1"/>
            </wp:cNvGraphicFramePr>
            <a:graphic>
              <a:graphicData uri="http://schemas.openxmlformats.org/drawingml/2006/picture">
                <pic:pic>
                  <pic:nvPicPr>
                    <pic:cNvPr id="0" name="m5_facility_core_2.png"/>
                    <pic:cNvPicPr/>
                  </pic:nvPicPr>
                  <pic:blipFill>
                    <a:blip r:embed="rId46"/>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36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7" name="Picture 37"/>
            <wp:cNvGraphicFramePr>
              <a:graphicFrameLocks noChangeAspect="1"/>
            </wp:cNvGraphicFramePr>
            <a:graphic>
              <a:graphicData uri="http://schemas.openxmlformats.org/drawingml/2006/picture">
                <pic:pic>
                  <pic:nvPicPr>
                    <pic:cNvPr id="0" name="m5_limits_1.png"/>
                    <pic:cNvPicPr/>
                  </pic:nvPicPr>
                  <pic:blipFill>
                    <a:blip r:embed="rId47"/>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37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153164"/>
            <wp:docPr id="38" name="Picture 38"/>
            <wp:cNvGraphicFramePr>
              <a:graphicFrameLocks noChangeAspect="1"/>
            </wp:cNvGraphicFramePr>
            <a:graphic>
              <a:graphicData uri="http://schemas.openxmlformats.org/drawingml/2006/picture">
                <pic:pic>
                  <pic:nvPicPr>
                    <pic:cNvPr id="0" name="m5_limits_2.png"/>
                    <pic:cNvPicPr/>
                  </pic:nvPicPr>
                  <pic:blipFill>
                    <a:blip r:embed="rId48"/>
                    <a:stretch>
                      <a:fillRect/>
                    </a:stretch>
                  </pic:blipFill>
                  <pic:spPr>
                    <a:xfrm>
                      <a:off x="0" y="0"/>
                      <a:ext cx="13150850" cy="7153164"/>
                    </a:xfrm>
                    <a:prstGeom prst="rect"/>
                  </pic:spPr>
                </pic:pic>
              </a:graphicData>
            </a:graphic>
          </wp:inline>
        </w:drawing>
      </w:r>
    </w:p>
    <w:p>
      <w:pPr>
        <w:spacing w:after="120"/>
        <w:jc w:val="center"/>
      </w:pPr>
      <w:r>
        <w:rPr>
          <w:rFonts w:ascii="Arial" w:hAnsi="Arial"/>
          <w:b w:val="0"/>
          <w:i/>
          <w:color w:val="6B7280"/>
          <w:sz w:val="16"/>
        </w:rPr>
        <w:t>Figure 38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ConvertedUtilizationId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LimitReservationId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9" name="Picture 39"/>
            <wp:cNvGraphicFramePr>
              <a:graphicFrameLocks noChangeAspect="1"/>
            </wp:cNvGraphicFramePr>
            <a:graphic>
              <a:graphicData uri="http://schemas.openxmlformats.org/drawingml/2006/picture">
                <pic:pic>
                  <pic:nvPicPr>
                    <pic:cNvPr id="0" name="m5_pricing_1.png"/>
                    <pic:cNvPicPr/>
                  </pic:nvPicPr>
                  <pic:blipFill>
                    <a:blip r:embed="rId49"/>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39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40" name="Picture 40"/>
            <wp:cNvGraphicFramePr>
              <a:graphicFrameLocks noChangeAspect="1"/>
            </wp:cNvGraphicFramePr>
            <a:graphic>
              <a:graphicData uri="http://schemas.openxmlformats.org/drawingml/2006/picture">
                <pic:pic>
                  <pic:nvPicPr>
                    <pic:cNvPr id="0" name="m5_pricing_2.png"/>
                    <pic:cNvPicPr/>
                  </pic:nvPicPr>
                  <pic:blipFill>
                    <a:blip r:embed="rId50"/>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40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41" name="Picture 41"/>
            <wp:cNvGraphicFramePr>
              <a:graphicFrameLocks noChangeAspect="1"/>
            </wp:cNvGraphicFramePr>
            <a:graphic>
              <a:graphicData uri="http://schemas.openxmlformats.org/drawingml/2006/picture">
                <pic:pic>
                  <pic:nvPicPr>
                    <pic:cNvPr id="0" name="m5_pricing_3.png"/>
                    <pic:cNvPicPr/>
                  </pic:nvPicPr>
                  <pic:blipFill>
                    <a:blip r:embed="rId51"/>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41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42" name="Picture 42"/>
            <wp:cNvGraphicFramePr>
              <a:graphicFrameLocks noChangeAspect="1"/>
            </wp:cNvGraphicFramePr>
            <a:graphic>
              <a:graphicData uri="http://schemas.openxmlformats.org/drawingml/2006/picture">
                <pic:pic>
                  <pic:nvPicPr>
                    <pic:cNvPr id="0" name="m5_pricing_4.png"/>
                    <pic:cNvPicPr/>
                  </pic:nvPicPr>
                  <pic:blipFill>
                    <a:blip r:embed="rId52"/>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42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3" name="Picture 43"/>
            <wp:cNvGraphicFramePr>
              <a:graphicFrameLocks noChangeAspect="1"/>
            </wp:cNvGraphicFramePr>
            <a:graphic>
              <a:graphicData uri="http://schemas.openxmlformats.org/drawingml/2006/picture">
                <pic:pic>
                  <pic:nvPicPr>
                    <pic:cNvPr id="0" name="m5_pricing_5.png"/>
                    <pic:cNvPicPr/>
                  </pic:nvPicPr>
                  <pic:blipFill>
                    <a:blip r:embed="rId53"/>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43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46870" cy="6807358"/>
            <wp:docPr id="44" name="Picture 44"/>
            <wp:cNvGraphicFramePr>
              <a:graphicFrameLocks noChangeAspect="1"/>
            </wp:cNvGraphicFramePr>
            <a:graphic>
              <a:graphicData uri="http://schemas.openxmlformats.org/drawingml/2006/picture">
                <pic:pic>
                  <pic:nvPicPr>
                    <pic:cNvPr id="0" name="m5_collateral_1.png"/>
                    <pic:cNvPicPr/>
                  </pic:nvPicPr>
                  <pic:blipFill>
                    <a:blip r:embed="rId54"/>
                    <a:stretch>
                      <a:fillRect/>
                    </a:stretch>
                  </pic:blipFill>
                  <pic:spPr>
                    <a:xfrm>
                      <a:off x="0" y="0"/>
                      <a:ext cx="9246870" cy="6807358"/>
                    </a:xfrm>
                    <a:prstGeom prst="rect"/>
                  </pic:spPr>
                </pic:pic>
              </a:graphicData>
            </a:graphic>
          </wp:inline>
        </w:drawing>
      </w:r>
    </w:p>
    <w:p>
      <w:pPr>
        <w:spacing w:after="120"/>
        <w:jc w:val="center"/>
      </w:pPr>
      <w:r>
        <w:rPr>
          <w:rFonts w:ascii="Arial" w:hAnsi="Arial"/>
          <w:b w:val="0"/>
          <w:i/>
          <w:color w:val="6B7280"/>
          <w:sz w:val="16"/>
        </w:rPr>
        <w:t>Figure 44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445250" cy="5813606"/>
            <wp:docPr id="45" name="Picture 45"/>
            <wp:cNvGraphicFramePr>
              <a:graphicFrameLocks noChangeAspect="1"/>
            </wp:cNvGraphicFramePr>
            <a:graphic>
              <a:graphicData uri="http://schemas.openxmlformats.org/drawingml/2006/picture">
                <pic:pic>
                  <pic:nvPicPr>
                    <pic:cNvPr id="0" name="m5_collateral_2.png"/>
                    <pic:cNvPicPr/>
                  </pic:nvPicPr>
                  <pic:blipFill>
                    <a:blip r:embed="rId55"/>
                    <a:stretch>
                      <a:fillRect/>
                    </a:stretch>
                  </pic:blipFill>
                  <pic:spPr>
                    <a:xfrm>
                      <a:off x="0" y="0"/>
                      <a:ext cx="6445250" cy="5813606"/>
                    </a:xfrm>
                    <a:prstGeom prst="rect"/>
                  </pic:spPr>
                </pic:pic>
              </a:graphicData>
            </a:graphic>
          </wp:inline>
        </w:drawing>
      </w:r>
    </w:p>
    <w:p>
      <w:pPr>
        <w:spacing w:after="120"/>
        <w:jc w:val="center"/>
      </w:pPr>
      <w:r>
        <w:rPr>
          <w:rFonts w:ascii="Arial" w:hAnsi="Arial"/>
          <w:b w:val="0"/>
          <w:i/>
          <w:color w:val="6B7280"/>
          <w:sz w:val="16"/>
        </w:rPr>
        <w:t>Figure 45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03690" cy="4290067"/>
            <wp:docPr id="46" name="Picture 46"/>
            <wp:cNvGraphicFramePr>
              <a:graphicFrameLocks noChangeAspect="1"/>
            </wp:cNvGraphicFramePr>
            <a:graphic>
              <a:graphicData uri="http://schemas.openxmlformats.org/drawingml/2006/picture">
                <pic:pic>
                  <pic:nvPicPr>
                    <pic:cNvPr id="0" name="m5_collateral_3.png"/>
                    <pic:cNvPicPr/>
                  </pic:nvPicPr>
                  <pic:blipFill>
                    <a:blip r:embed="rId56"/>
                    <a:stretch>
                      <a:fillRect/>
                    </a:stretch>
                  </pic:blipFill>
                  <pic:spPr>
                    <a:xfrm>
                      <a:off x="0" y="0"/>
                      <a:ext cx="9203690" cy="4290067"/>
                    </a:xfrm>
                    <a:prstGeom prst="rect"/>
                  </pic:spPr>
                </pic:pic>
              </a:graphicData>
            </a:graphic>
          </wp:inline>
        </w:drawing>
      </w:r>
    </w:p>
    <w:p>
      <w:pPr>
        <w:spacing w:after="120"/>
        <w:jc w:val="center"/>
      </w:pPr>
      <w:r>
        <w:rPr>
          <w:rFonts w:ascii="Arial" w:hAnsi="Arial"/>
          <w:b w:val="0"/>
          <w:i/>
          <w:color w:val="6B7280"/>
          <w:sz w:val="16"/>
        </w:rPr>
        <w:t>Figure 46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278620" cy="4822221"/>
            <wp:docPr id="47" name="Picture 47"/>
            <wp:cNvGraphicFramePr>
              <a:graphicFrameLocks noChangeAspect="1"/>
            </wp:cNvGraphicFramePr>
            <a:graphic>
              <a:graphicData uri="http://schemas.openxmlformats.org/drawingml/2006/picture">
                <pic:pic>
                  <pic:nvPicPr>
                    <pic:cNvPr id="0" name="m5_obligations_1.png"/>
                    <pic:cNvPicPr/>
                  </pic:nvPicPr>
                  <pic:blipFill>
                    <a:blip r:embed="rId57"/>
                    <a:stretch>
                      <a:fillRect/>
                    </a:stretch>
                  </pic:blipFill>
                  <pic:spPr>
                    <a:xfrm>
                      <a:off x="0" y="0"/>
                      <a:ext cx="9278620" cy="4822221"/>
                    </a:xfrm>
                    <a:prstGeom prst="rect"/>
                  </pic:spPr>
                </pic:pic>
              </a:graphicData>
            </a:graphic>
          </wp:inline>
        </w:drawing>
      </w:r>
    </w:p>
    <w:p>
      <w:pPr>
        <w:spacing w:after="120"/>
        <w:jc w:val="center"/>
      </w:pPr>
      <w:r>
        <w:rPr>
          <w:rFonts w:ascii="Arial" w:hAnsi="Arial"/>
          <w:b w:val="0"/>
          <w:i/>
          <w:color w:val="6B7280"/>
          <w:sz w:val="16"/>
        </w:rPr>
        <w:t>Figure 47  Obligations, covenants and reporting (part 1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750560" cy="2999930"/>
            <wp:docPr id="48" name="Picture 48"/>
            <wp:cNvGraphicFramePr>
              <a:graphicFrameLocks noChangeAspect="1"/>
            </wp:cNvGraphicFramePr>
            <a:graphic>
              <a:graphicData uri="http://schemas.openxmlformats.org/drawingml/2006/picture">
                <pic:pic>
                  <pic:nvPicPr>
                    <pic:cNvPr id="0" name="m5_obligations_2.png"/>
                    <pic:cNvPicPr/>
                  </pic:nvPicPr>
                  <pic:blipFill>
                    <a:blip r:embed="rId58"/>
                    <a:stretch>
                      <a:fillRect/>
                    </a:stretch>
                  </pic:blipFill>
                  <pic:spPr>
                    <a:xfrm>
                      <a:off x="0" y="0"/>
                      <a:ext cx="5750560" cy="2999930"/>
                    </a:xfrm>
                    <a:prstGeom prst="rect"/>
                  </pic:spPr>
                </pic:pic>
              </a:graphicData>
            </a:graphic>
          </wp:inline>
        </w:drawing>
      </w:r>
    </w:p>
    <w:p>
      <w:pPr>
        <w:spacing w:after="120"/>
        <w:jc w:val="center"/>
      </w:pPr>
      <w:r>
        <w:rPr>
          <w:rFonts w:ascii="Arial" w:hAnsi="Arial"/>
          <w:b w:val="0"/>
          <w:i/>
          <w:color w:val="6B7280"/>
          <w:sz w:val="16"/>
        </w:rPr>
        <w:t>Figure 48  Obligations, covenants and reporting (part 2 of 4)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993130" cy="5066315"/>
            <wp:docPr id="49" name="Picture 49"/>
            <wp:cNvGraphicFramePr>
              <a:graphicFrameLocks noChangeAspect="1"/>
            </wp:cNvGraphicFramePr>
            <a:graphic>
              <a:graphicData uri="http://schemas.openxmlformats.org/drawingml/2006/picture">
                <pic:pic>
                  <pic:nvPicPr>
                    <pic:cNvPr id="0" name="m5_obligations_3.png"/>
                    <pic:cNvPicPr/>
                  </pic:nvPicPr>
                  <pic:blipFill>
                    <a:blip r:embed="rId59"/>
                    <a:stretch>
                      <a:fillRect/>
                    </a:stretch>
                  </pic:blipFill>
                  <pic:spPr>
                    <a:xfrm>
                      <a:off x="0" y="0"/>
                      <a:ext cx="5993130" cy="5066315"/>
                    </a:xfrm>
                    <a:prstGeom prst="rect"/>
                  </pic:spPr>
                </pic:pic>
              </a:graphicData>
            </a:graphic>
          </wp:inline>
        </w:drawing>
      </w:r>
    </w:p>
    <w:p>
      <w:pPr>
        <w:spacing w:after="120"/>
        <w:jc w:val="center"/>
      </w:pPr>
      <w:r>
        <w:rPr>
          <w:rFonts w:ascii="Arial" w:hAnsi="Arial"/>
          <w:b w:val="0"/>
          <w:i/>
          <w:color w:val="6B7280"/>
          <w:sz w:val="16"/>
        </w:rPr>
        <w:t>Figure 49  Obligations, covenants and reporting (part 3 of 4)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w:t>
            </w:r>
          </w:p>
        </w:tc>
        <w:tc>
          <w:tcPr>
            <w:tcW w:type="dxa" w:w="6690"/>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tcPr>
          <w:p>
            <w:pPr>
              <w:spacing w:after="0" w:before="0"/>
            </w:pPr>
            <w:r/>
            <w:r>
              <w:rPr>
                <w:rFonts w:ascii="Arial" w:hAnsi="Arial"/>
                <w:b w:val="0"/>
                <w:sz w:val="15"/>
              </w:rPr>
              <w:t>ObligationId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286740" cy="7239756"/>
            <wp:docPr id="50" name="Picture 50"/>
            <wp:cNvGraphicFramePr>
              <a:graphicFrameLocks noChangeAspect="1"/>
            </wp:cNvGraphicFramePr>
            <a:graphic>
              <a:graphicData uri="http://schemas.openxmlformats.org/drawingml/2006/picture">
                <pic:pic>
                  <pic:nvPicPr>
                    <pic:cNvPr id="0" name="m5_obligations_4.png"/>
                    <pic:cNvPicPr/>
                  </pic:nvPicPr>
                  <pic:blipFill>
                    <a:blip r:embed="rId60"/>
                    <a:stretch>
                      <a:fillRect/>
                    </a:stretch>
                  </pic:blipFill>
                  <pic:spPr>
                    <a:xfrm>
                      <a:off x="0" y="0"/>
                      <a:ext cx="13286740" cy="7239756"/>
                    </a:xfrm>
                    <a:prstGeom prst="rect"/>
                  </pic:spPr>
                </pic:pic>
              </a:graphicData>
            </a:graphic>
          </wp:inline>
        </w:drawing>
      </w:r>
    </w:p>
    <w:p>
      <w:pPr>
        <w:spacing w:after="120"/>
        <w:jc w:val="center"/>
      </w:pPr>
      <w:r>
        <w:rPr>
          <w:rFonts w:ascii="Arial" w:hAnsi="Arial"/>
          <w:b w:val="0"/>
          <w:i/>
          <w:color w:val="6B7280"/>
          <w:sz w:val="16"/>
        </w:rPr>
        <w:t>Figure 50  Obligations, covenants and reporting (part 4 of 4)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7528388"/>
            <wp:docPr id="51" name="Picture 51"/>
            <wp:cNvGraphicFramePr>
              <a:graphicFrameLocks noChangeAspect="1"/>
            </wp:cNvGraphicFramePr>
            <a:graphic>
              <a:graphicData uri="http://schemas.openxmlformats.org/drawingml/2006/picture">
                <pic:pic>
                  <pic:nvPicPr>
                    <pic:cNvPr id="0" name="m5_financials_1.png"/>
                    <pic:cNvPicPr/>
                  </pic:nvPicPr>
                  <pic:blipFill>
                    <a:blip r:embed="rId61"/>
                    <a:stretch>
                      <a:fillRect/>
                    </a:stretch>
                  </pic:blipFill>
                  <pic:spPr>
                    <a:xfrm>
                      <a:off x="0" y="0"/>
                      <a:ext cx="5908040" cy="7528388"/>
                    </a:xfrm>
                    <a:prstGeom prst="rect"/>
                  </pic:spPr>
                </pic:pic>
              </a:graphicData>
            </a:graphic>
          </wp:inline>
        </w:drawing>
      </w:r>
    </w:p>
    <w:p>
      <w:pPr>
        <w:spacing w:after="120"/>
        <w:jc w:val="center"/>
      </w:pPr>
      <w:r>
        <w:rPr>
          <w:rFonts w:ascii="Arial" w:hAnsi="Arial"/>
          <w:b w:val="0"/>
          <w:i/>
          <w:color w:val="6B7280"/>
          <w:sz w:val="16"/>
        </w:rPr>
        <w:t>Figure 51  Financial statements and balances (part 1 of 5)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711190" cy="3001076"/>
            <wp:docPr id="52" name="Picture 52"/>
            <wp:cNvGraphicFramePr>
              <a:graphicFrameLocks noChangeAspect="1"/>
            </wp:cNvGraphicFramePr>
            <a:graphic>
              <a:graphicData uri="http://schemas.openxmlformats.org/drawingml/2006/picture">
                <pic:pic>
                  <pic:nvPicPr>
                    <pic:cNvPr id="0" name="m5_financials_2.png"/>
                    <pic:cNvPicPr/>
                  </pic:nvPicPr>
                  <pic:blipFill>
                    <a:blip r:embed="rId62"/>
                    <a:stretch>
                      <a:fillRect/>
                    </a:stretch>
                  </pic:blipFill>
                  <pic:spPr>
                    <a:xfrm>
                      <a:off x="0" y="0"/>
                      <a:ext cx="5711190" cy="3001076"/>
                    </a:xfrm>
                    <a:prstGeom prst="rect"/>
                  </pic:spPr>
                </pic:pic>
              </a:graphicData>
            </a:graphic>
          </wp:inline>
        </w:drawing>
      </w:r>
    </w:p>
    <w:p>
      <w:pPr>
        <w:spacing w:after="120"/>
        <w:jc w:val="center"/>
      </w:pPr>
      <w:r>
        <w:rPr>
          <w:rFonts w:ascii="Arial" w:hAnsi="Arial"/>
          <w:b w:val="0"/>
          <w:i/>
          <w:color w:val="6B7280"/>
          <w:sz w:val="16"/>
        </w:rPr>
        <w:t>Figure 52  Financial statements and balances (part 2 of 5)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2485390" cy="1072291"/>
            <wp:docPr id="53" name="Picture 53"/>
            <wp:cNvGraphicFramePr>
              <a:graphicFrameLocks noChangeAspect="1"/>
            </wp:cNvGraphicFramePr>
            <a:graphic>
              <a:graphicData uri="http://schemas.openxmlformats.org/drawingml/2006/picture">
                <pic:pic>
                  <pic:nvPicPr>
                    <pic:cNvPr id="0" name="m5_financials_3.png"/>
                    <pic:cNvPicPr/>
                  </pic:nvPicPr>
                  <pic:blipFill>
                    <a:blip r:embed="rId63"/>
                    <a:stretch>
                      <a:fillRect/>
                    </a:stretch>
                  </pic:blipFill>
                  <pic:spPr>
                    <a:xfrm>
                      <a:off x="0" y="0"/>
                      <a:ext cx="2485390" cy="1072291"/>
                    </a:xfrm>
                    <a:prstGeom prst="rect"/>
                  </pic:spPr>
                </pic:pic>
              </a:graphicData>
            </a:graphic>
          </wp:inline>
        </w:drawing>
      </w:r>
    </w:p>
    <w:p>
      <w:pPr>
        <w:spacing w:after="120"/>
        <w:jc w:val="center"/>
      </w:pPr>
      <w:r>
        <w:rPr>
          <w:rFonts w:ascii="Arial" w:hAnsi="Arial"/>
          <w:b w:val="0"/>
          <w:i/>
          <w:color w:val="6B7280"/>
          <w:sz w:val="16"/>
        </w:rPr>
        <w:t>Figure 53  Financial statements and balances (part 3 of 5)  ·  1 table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w:t>
            </w:r>
          </w:p>
        </w:tc>
        <w:tc>
          <w:tcPr>
            <w:tcW w:type="dxa" w:w="6690"/>
          </w:tcPr>
          <w:p>
            <w:pPr>
              <w:spacing w:after="0" w:before="0"/>
            </w:pPr>
            <w:r/>
            <w:r>
              <w:rPr>
                <w:rFonts w:ascii="Arial" w:hAnsi="Arial"/>
                <w:b w:val="0"/>
                <w:sz w:val="15"/>
              </w:rPr>
              <w:t>Standard statement line item; 39 items seeded; system items used in formulas cannot be deleted (FR-FIN-001, CatalogBase)</w:t>
            </w:r>
          </w:p>
        </w:tc>
        <w:tc>
          <w:tcPr>
            <w:tcW w:type="dxa" w:w="2948"/>
          </w:tcPr>
          <w:p>
            <w:pPr>
              <w:spacing w:after="0" w:before="0"/>
            </w:pPr>
            <w:r/>
            <w:r>
              <w:rPr>
                <w:rFonts w:ascii="Arial" w:hAnsi="Arial"/>
                <w:b w:val="0"/>
                <w:sz w:val="15"/>
              </w:rPr>
              <w:t>LineCatalogItemId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p>
      <w:pPr>
        <w:pStyle w:val="Heading3"/>
      </w:pPr>
      <w:r>
        <w:rPr>
          <w:rFonts w:ascii="Arial" w:hAnsi="Arial"/>
          <w:color w:val="1F3A5F"/>
        </w:rPr>
        <w:t>Financial statements and balances (part 4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19190" cy="6472780"/>
            <wp:docPr id="54" name="Picture 54"/>
            <wp:cNvGraphicFramePr>
              <a:graphicFrameLocks noChangeAspect="1"/>
            </wp:cNvGraphicFramePr>
            <a:graphic>
              <a:graphicData uri="http://schemas.openxmlformats.org/drawingml/2006/picture">
                <pic:pic>
                  <pic:nvPicPr>
                    <pic:cNvPr id="0" name="m5_financials_4.png"/>
                    <pic:cNvPicPr/>
                  </pic:nvPicPr>
                  <pic:blipFill>
                    <a:blip r:embed="rId64"/>
                    <a:stretch>
                      <a:fillRect/>
                    </a:stretch>
                  </pic:blipFill>
                  <pic:spPr>
                    <a:xfrm>
                      <a:off x="0" y="0"/>
                      <a:ext cx="6219190" cy="6472780"/>
                    </a:xfrm>
                    <a:prstGeom prst="rect"/>
                  </pic:spPr>
                </pic:pic>
              </a:graphicData>
            </a:graphic>
          </wp:inline>
        </w:drawing>
      </w:r>
    </w:p>
    <w:p>
      <w:pPr>
        <w:spacing w:after="120"/>
        <w:jc w:val="center"/>
      </w:pPr>
      <w:r>
        <w:rPr>
          <w:rFonts w:ascii="Arial" w:hAnsi="Arial"/>
          <w:b w:val="0"/>
          <w:i/>
          <w:color w:val="6B7280"/>
          <w:sz w:val="16"/>
        </w:rPr>
        <w:t>Figure 54  Financial statements and balances (part 4 of 5)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5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116198"/>
            <wp:docPr id="55" name="Picture 55"/>
            <wp:cNvGraphicFramePr>
              <a:graphicFrameLocks noChangeAspect="1"/>
            </wp:cNvGraphicFramePr>
            <a:graphic>
              <a:graphicData uri="http://schemas.openxmlformats.org/drawingml/2006/picture">
                <pic:pic>
                  <pic:nvPicPr>
                    <pic:cNvPr id="0" name="m5_financials_5.png"/>
                    <pic:cNvPicPr/>
                  </pic:nvPicPr>
                  <pic:blipFill>
                    <a:blip r:embed="rId65"/>
                    <a:stretch>
                      <a:fillRect/>
                    </a:stretch>
                  </pic:blipFill>
                  <pic:spPr>
                    <a:xfrm>
                      <a:off x="0" y="0"/>
                      <a:ext cx="6015990" cy="2116198"/>
                    </a:xfrm>
                    <a:prstGeom prst="rect"/>
                  </pic:spPr>
                </pic:pic>
              </a:graphicData>
            </a:graphic>
          </wp:inline>
        </w:drawing>
      </w:r>
    </w:p>
    <w:p>
      <w:pPr>
        <w:spacing w:after="120"/>
        <w:jc w:val="center"/>
      </w:pPr>
      <w:r>
        <w:rPr>
          <w:rFonts w:ascii="Arial" w:hAnsi="Arial"/>
          <w:b w:val="0"/>
          <w:i/>
          <w:color w:val="6B7280"/>
          <w:sz w:val="16"/>
        </w:rPr>
        <w:t>Figure 55  Financial statements and balances (part 5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6" name="Picture 56"/>
            <wp:cNvGraphicFramePr>
              <a:graphicFrameLocks noChangeAspect="1"/>
            </wp:cNvGraphicFramePr>
            <a:graphic>
              <a:graphicData uri="http://schemas.openxmlformats.org/drawingml/2006/picture">
                <pic:pic>
                  <pic:nvPicPr>
                    <pic:cNvPr id="0" name="m6_wf_templates_1.png"/>
                    <pic:cNvPicPr/>
                  </pic:nvPicPr>
                  <pic:blipFill>
                    <a:blip r:embed="rId66"/>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56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7" name="Picture 57"/>
            <wp:cNvGraphicFramePr>
              <a:graphicFrameLocks noChangeAspect="1"/>
            </wp:cNvGraphicFramePr>
            <a:graphic>
              <a:graphicData uri="http://schemas.openxmlformats.org/drawingml/2006/picture">
                <pic:pic>
                  <pic:nvPicPr>
                    <pic:cNvPr id="0" name="m6_wf_templates_2.png"/>
                    <pic:cNvPicPr/>
                  </pic:nvPicPr>
                  <pic:blipFill>
                    <a:blip r:embed="rId67"/>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57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8" name="Picture 58"/>
            <wp:cNvGraphicFramePr>
              <a:graphicFrameLocks noChangeAspect="1"/>
            </wp:cNvGraphicFramePr>
            <a:graphic>
              <a:graphicData uri="http://schemas.openxmlformats.org/drawingml/2006/picture">
                <pic:pic>
                  <pic:nvPicPr>
                    <pic:cNvPr id="0" name="m6_wf_templates_3.png"/>
                    <pic:cNvPicPr/>
                  </pic:nvPicPr>
                  <pic:blipFill>
                    <a:blip r:embed="rId68"/>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58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9" name="Picture 59"/>
            <wp:cNvGraphicFramePr>
              <a:graphicFrameLocks noChangeAspect="1"/>
            </wp:cNvGraphicFramePr>
            <a:graphic>
              <a:graphicData uri="http://schemas.openxmlformats.org/drawingml/2006/picture">
                <pic:pic>
                  <pic:nvPicPr>
                    <pic:cNvPr id="0" name="m6_wf_templates_4.png"/>
                    <pic:cNvPicPr/>
                  </pic:nvPicPr>
                  <pic:blipFill>
                    <a:blip r:embed="rId69"/>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59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39567"/>
            <wp:docPr id="60" name="Picture 60"/>
            <wp:cNvGraphicFramePr>
              <a:graphicFrameLocks noChangeAspect="1"/>
            </wp:cNvGraphicFramePr>
            <a:graphic>
              <a:graphicData uri="http://schemas.openxmlformats.org/drawingml/2006/picture">
                <pic:pic>
                  <pic:nvPicPr>
                    <pic:cNvPr id="0" name="m6_requests_1.png"/>
                    <pic:cNvPicPr/>
                  </pic:nvPicPr>
                  <pic:blipFill>
                    <a:blip r:embed="rId70"/>
                    <a:stretch>
                      <a:fillRect/>
                    </a:stretch>
                  </pic:blipFill>
                  <pic:spPr>
                    <a:xfrm>
                      <a:off x="0" y="0"/>
                      <a:ext cx="6405880" cy="8039567"/>
                    </a:xfrm>
                    <a:prstGeom prst="rect"/>
                  </pic:spPr>
                </pic:pic>
              </a:graphicData>
            </a:graphic>
          </wp:inline>
        </w:drawing>
      </w:r>
    </w:p>
    <w:p>
      <w:pPr>
        <w:spacing w:after="120"/>
        <w:jc w:val="center"/>
      </w:pPr>
      <w:r>
        <w:rPr>
          <w:rFonts w:ascii="Arial" w:hAnsi="Arial"/>
          <w:b w:val="0"/>
          <w:i/>
          <w:color w:val="6B7280"/>
          <w:sz w:val="16"/>
        </w:rPr>
        <w:t>Figure 60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923027"/>
            <wp:docPr id="61" name="Picture 61"/>
            <wp:cNvGraphicFramePr>
              <a:graphicFrameLocks noChangeAspect="1"/>
            </wp:cNvGraphicFramePr>
            <a:graphic>
              <a:graphicData uri="http://schemas.openxmlformats.org/drawingml/2006/picture">
                <pic:pic>
                  <pic:nvPicPr>
                    <pic:cNvPr id="0" name="m6_requests_2.png"/>
                    <pic:cNvPicPr/>
                  </pic:nvPicPr>
                  <pic:blipFill>
                    <a:blip r:embed="rId71"/>
                    <a:stretch>
                      <a:fillRect/>
                    </a:stretch>
                  </pic:blipFill>
                  <pic:spPr>
                    <a:xfrm>
                      <a:off x="0" y="0"/>
                      <a:ext cx="6422390" cy="7923027"/>
                    </a:xfrm>
                    <a:prstGeom prst="rect"/>
                  </pic:spPr>
                </pic:pic>
              </a:graphicData>
            </a:graphic>
          </wp:inline>
        </w:drawing>
      </w:r>
    </w:p>
    <w:p>
      <w:pPr>
        <w:spacing w:after="120"/>
        <w:jc w:val="center"/>
      </w:pPr>
      <w:r>
        <w:rPr>
          <w:rFonts w:ascii="Arial" w:hAnsi="Arial"/>
          <w:b w:val="0"/>
          <w:i/>
          <w:color w:val="6B7280"/>
          <w:sz w:val="16"/>
        </w:rPr>
        <w:t>Figure 61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62" name="Picture 62"/>
            <wp:cNvGraphicFramePr>
              <a:graphicFrameLocks noChangeAspect="1"/>
            </wp:cNvGraphicFramePr>
            <a:graphic>
              <a:graphicData uri="http://schemas.openxmlformats.org/drawingml/2006/picture">
                <pic:pic>
                  <pic:nvPicPr>
                    <pic:cNvPr id="0" name="m6_requests_3.png"/>
                    <pic:cNvPicPr/>
                  </pic:nvPicPr>
                  <pic:blipFill>
                    <a:blip r:embed="rId72"/>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62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63" name="Picture 63"/>
            <wp:cNvGraphicFramePr>
              <a:graphicFrameLocks noChangeAspect="1"/>
            </wp:cNvGraphicFramePr>
            <a:graphic>
              <a:graphicData uri="http://schemas.openxmlformats.org/drawingml/2006/picture">
                <pic:pic>
                  <pic:nvPicPr>
                    <pic:cNvPr id="0" name="m6_requests_4.png"/>
                    <pic:cNvPicPr/>
                  </pic:nvPicPr>
                  <pic:blipFill>
                    <a:blip r:embed="rId73"/>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63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64" name="Picture 64"/>
            <wp:cNvGraphicFramePr>
              <a:graphicFrameLocks noChangeAspect="1"/>
            </wp:cNvGraphicFramePr>
            <a:graphic>
              <a:graphicData uri="http://schemas.openxmlformats.org/drawingml/2006/picture">
                <pic:pic>
                  <pic:nvPicPr>
                    <pic:cNvPr id="0" name="m6_requests_5.png"/>
                    <pic:cNvPicPr/>
                  </pic:nvPicPr>
                  <pic:blipFill>
                    <a:blip r:embed="rId74"/>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64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65" name="Picture 65"/>
            <wp:cNvGraphicFramePr>
              <a:graphicFrameLocks noChangeAspect="1"/>
            </wp:cNvGraphicFramePr>
            <a:graphic>
              <a:graphicData uri="http://schemas.openxmlformats.org/drawingml/2006/picture">
                <pic:pic>
                  <pic:nvPicPr>
                    <pic:cNvPr id="0" name="m6_requests_6.png"/>
                    <pic:cNvPicPr/>
                  </pic:nvPicPr>
                  <pic:blipFill>
                    <a:blip r:embed="rId75"/>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65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6" name="Picture 66"/>
            <wp:cNvGraphicFramePr>
              <a:graphicFrameLocks noChangeAspect="1"/>
            </wp:cNvGraphicFramePr>
            <a:graphic>
              <a:graphicData uri="http://schemas.openxmlformats.org/drawingml/2006/picture">
                <pic:pic>
                  <pic:nvPicPr>
                    <pic:cNvPr id="0" name="m6_notifications.png"/>
                    <pic:cNvPicPr/>
                  </pic:nvPicPr>
                  <pic:blipFill>
                    <a:blip r:embed="rId76"/>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66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7" name="Picture 67"/>
            <wp:cNvGraphicFramePr>
              <a:graphicFrameLocks noChangeAspect="1"/>
            </wp:cNvGraphicFramePr>
            <a:graphic>
              <a:graphicData uri="http://schemas.openxmlformats.org/drawingml/2006/picture">
                <pic:pic>
                  <pic:nvPicPr>
                    <pic:cNvPr id="0" name="m7_8_lc_terms_1.png"/>
                    <pic:cNvPicPr/>
                  </pic:nvPicPr>
                  <pic:blipFill>
                    <a:blip r:embed="rId77"/>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67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8" name="Picture 68"/>
            <wp:cNvGraphicFramePr>
              <a:graphicFrameLocks noChangeAspect="1"/>
            </wp:cNvGraphicFramePr>
            <a:graphic>
              <a:graphicData uri="http://schemas.openxmlformats.org/drawingml/2006/picture">
                <pic:pic>
                  <pic:nvPicPr>
                    <pic:cNvPr id="0" name="m7_8_lc_terms_2.png"/>
                    <pic:cNvPicPr/>
                  </pic:nvPicPr>
                  <pic:blipFill>
                    <a:blip r:embed="rId78"/>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68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9" name="Picture 69"/>
            <wp:cNvGraphicFramePr>
              <a:graphicFrameLocks noChangeAspect="1"/>
            </wp:cNvGraphicFramePr>
            <a:graphic>
              <a:graphicData uri="http://schemas.openxmlformats.org/drawingml/2006/picture">
                <pic:pic>
                  <pic:nvPicPr>
                    <pic:cNvPr id="0" name="m7_8_lc_terms_3.png"/>
                    <pic:cNvPicPr/>
                  </pic:nvPicPr>
                  <pic:blipFill>
                    <a:blip r:embed="rId79"/>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69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70" name="Picture 70"/>
            <wp:cNvGraphicFramePr>
              <a:graphicFrameLocks noChangeAspect="1"/>
            </wp:cNvGraphicFramePr>
            <a:graphic>
              <a:graphicData uri="http://schemas.openxmlformats.org/drawingml/2006/picture">
                <pic:pic>
                  <pic:nvPicPr>
                    <pic:cNvPr id="0" name="m7_8_lc_terms_4.png"/>
                    <pic:cNvPicPr/>
                  </pic:nvPicPr>
                  <pic:blipFill>
                    <a:blip r:embed="rId80"/>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70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71" name="Picture 71"/>
            <wp:cNvGraphicFramePr>
              <a:graphicFrameLocks noChangeAspect="1"/>
            </wp:cNvGraphicFramePr>
            <a:graphic>
              <a:graphicData uri="http://schemas.openxmlformats.org/drawingml/2006/picture">
                <pic:pic>
                  <pic:nvPicPr>
                    <pic:cNvPr id="0" name="m7_8_lc_terms_5.png"/>
                    <pic:cNvPicPr/>
                  </pic:nvPicPr>
                  <pic:blipFill>
                    <a:blip r:embed="rId81"/>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71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665382"/>
            <wp:docPr id="72" name="Picture 72"/>
            <wp:cNvGraphicFramePr>
              <a:graphicFrameLocks noChangeAspect="1"/>
            </wp:cNvGraphicFramePr>
            <a:graphic>
              <a:graphicData uri="http://schemas.openxmlformats.org/drawingml/2006/picture">
                <pic:pic>
                  <pic:nvPicPr>
                    <pic:cNvPr id="0" name="m7_8_lc_ops_1.png"/>
                    <pic:cNvPicPr/>
                  </pic:nvPicPr>
                  <pic:blipFill>
                    <a:blip r:embed="rId82"/>
                    <a:stretch>
                      <a:fillRect/>
                    </a:stretch>
                  </pic:blipFill>
                  <pic:spPr>
                    <a:xfrm>
                      <a:off x="0" y="0"/>
                      <a:ext cx="5919470" cy="7665382"/>
                    </a:xfrm>
                    <a:prstGeom prst="rect"/>
                  </pic:spPr>
                </pic:pic>
              </a:graphicData>
            </a:graphic>
          </wp:inline>
        </w:drawing>
      </w:r>
    </w:p>
    <w:p>
      <w:pPr>
        <w:spacing w:after="120"/>
        <w:jc w:val="center"/>
      </w:pPr>
      <w:r>
        <w:rPr>
          <w:rFonts w:ascii="Arial" w:hAnsi="Arial"/>
          <w:b w:val="0"/>
          <w:i/>
          <w:color w:val="6B7280"/>
          <w:sz w:val="16"/>
        </w:rPr>
        <w:t>Figure 72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83580" cy="5933155"/>
            <wp:docPr id="73" name="Picture 73"/>
            <wp:cNvGraphicFramePr>
              <a:graphicFrameLocks noChangeAspect="1"/>
            </wp:cNvGraphicFramePr>
            <a:graphic>
              <a:graphicData uri="http://schemas.openxmlformats.org/drawingml/2006/picture">
                <pic:pic>
                  <pic:nvPicPr>
                    <pic:cNvPr id="0" name="m7_8_lc_ops_2.png"/>
                    <pic:cNvPicPr/>
                  </pic:nvPicPr>
                  <pic:blipFill>
                    <a:blip r:embed="rId83"/>
                    <a:stretch>
                      <a:fillRect/>
                    </a:stretch>
                  </pic:blipFill>
                  <pic:spPr>
                    <a:xfrm>
                      <a:off x="0" y="0"/>
                      <a:ext cx="5783580" cy="5933155"/>
                    </a:xfrm>
                    <a:prstGeom prst="rect"/>
                  </pic:spPr>
                </pic:pic>
              </a:graphicData>
            </a:graphic>
          </wp:inline>
        </w:drawing>
      </w:r>
    </w:p>
    <w:p>
      <w:pPr>
        <w:spacing w:after="120"/>
        <w:jc w:val="center"/>
      </w:pPr>
      <w:r>
        <w:rPr>
          <w:rFonts w:ascii="Arial" w:hAnsi="Arial"/>
          <w:b w:val="0"/>
          <w:i/>
          <w:color w:val="6B7280"/>
          <w:sz w:val="16"/>
        </w:rPr>
        <w:t>Figure 73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74" name="Picture 74"/>
            <wp:cNvGraphicFramePr>
              <a:graphicFrameLocks noChangeAspect="1"/>
            </wp:cNvGraphicFramePr>
            <a:graphic>
              <a:graphicData uri="http://schemas.openxmlformats.org/drawingml/2006/picture">
                <pic:pic>
                  <pic:nvPicPr>
                    <pic:cNvPr id="0" name="m7_8_lc_ops_3.png"/>
                    <pic:cNvPicPr/>
                  </pic:nvPicPr>
                  <pic:blipFill>
                    <a:blip r:embed="rId84"/>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74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699760" cy="5936731"/>
            <wp:docPr id="75" name="Picture 75"/>
            <wp:cNvGraphicFramePr>
              <a:graphicFrameLocks noChangeAspect="1"/>
            </wp:cNvGraphicFramePr>
            <a:graphic>
              <a:graphicData uri="http://schemas.openxmlformats.org/drawingml/2006/picture">
                <pic:pic>
                  <pic:nvPicPr>
                    <pic:cNvPr id="0" name="m7_8_lc_ops_4.png"/>
                    <pic:cNvPicPr/>
                  </pic:nvPicPr>
                  <pic:blipFill>
                    <a:blip r:embed="rId85"/>
                    <a:stretch>
                      <a:fillRect/>
                    </a:stretch>
                  </pic:blipFill>
                  <pic:spPr>
                    <a:xfrm>
                      <a:off x="0" y="0"/>
                      <a:ext cx="5699760" cy="5936731"/>
                    </a:xfrm>
                    <a:prstGeom prst="rect"/>
                  </pic:spPr>
                </pic:pic>
              </a:graphicData>
            </a:graphic>
          </wp:inline>
        </w:drawing>
      </w:r>
    </w:p>
    <w:p>
      <w:pPr>
        <w:spacing w:after="120"/>
        <w:jc w:val="center"/>
      </w:pPr>
      <w:r>
        <w:rPr>
          <w:rFonts w:ascii="Arial" w:hAnsi="Arial"/>
          <w:b w:val="0"/>
          <w:i/>
          <w:color w:val="6B7280"/>
          <w:sz w:val="16"/>
        </w:rPr>
        <w:t>Figure 75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6" name="Picture 76"/>
            <wp:cNvGraphicFramePr>
              <a:graphicFrameLocks noChangeAspect="1"/>
            </wp:cNvGraphicFramePr>
            <a:graphic>
              <a:graphicData uri="http://schemas.openxmlformats.org/drawingml/2006/picture">
                <pic:pic>
                  <pic:nvPicPr>
                    <pic:cNvPr id="0" name="m7_8_lc_ops_5.png"/>
                    <pic:cNvPicPr/>
                  </pic:nvPicPr>
                  <pic:blipFill>
                    <a:blip r:embed="rId86"/>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76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7" name="Picture 77"/>
            <wp:cNvGraphicFramePr>
              <a:graphicFrameLocks noChangeAspect="1"/>
            </wp:cNvGraphicFramePr>
            <a:graphic>
              <a:graphicData uri="http://schemas.openxmlformats.org/drawingml/2006/picture">
                <pic:pic>
                  <pic:nvPicPr>
                    <pic:cNvPr id="0" name="m7_8_lc_ops_6.png"/>
                    <pic:cNvPicPr/>
                  </pic:nvPicPr>
                  <pic:blipFill>
                    <a:blip r:embed="rId87"/>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77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28080" cy="6805600"/>
            <wp:docPr id="78" name="Picture 78"/>
            <wp:cNvGraphicFramePr>
              <a:graphicFrameLocks noChangeAspect="1"/>
            </wp:cNvGraphicFramePr>
            <a:graphic>
              <a:graphicData uri="http://schemas.openxmlformats.org/drawingml/2006/picture">
                <pic:pic>
                  <pic:nvPicPr>
                    <pic:cNvPr id="0" name="m7_8_lc_ops_7.png"/>
                    <pic:cNvPicPr/>
                  </pic:nvPicPr>
                  <pic:blipFill>
                    <a:blip r:embed="rId88"/>
                    <a:stretch>
                      <a:fillRect/>
                    </a:stretch>
                  </pic:blipFill>
                  <pic:spPr>
                    <a:xfrm>
                      <a:off x="0" y="0"/>
                      <a:ext cx="6228080" cy="6805600"/>
                    </a:xfrm>
                    <a:prstGeom prst="rect"/>
                  </pic:spPr>
                </pic:pic>
              </a:graphicData>
            </a:graphic>
          </wp:inline>
        </w:drawing>
      </w:r>
    </w:p>
    <w:p>
      <w:pPr>
        <w:spacing w:after="120"/>
        <w:jc w:val="center"/>
      </w:pPr>
      <w:r>
        <w:rPr>
          <w:rFonts w:ascii="Arial" w:hAnsi="Arial"/>
          <w:b w:val="0"/>
          <w:i/>
          <w:color w:val="6B7280"/>
          <w:sz w:val="16"/>
        </w:rPr>
        <w:t>Figure 78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the application prevents edits after issue;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9" name="Picture 79"/>
            <wp:cNvGraphicFramePr>
              <a:graphicFrameLocks noChangeAspect="1"/>
            </wp:cNvGraphicFramePr>
            <a:graphic>
              <a:graphicData uri="http://schemas.openxmlformats.org/drawingml/2006/picture">
                <pic:pic>
                  <pic:nvPicPr>
                    <pic:cNvPr id="0" name="m7_8_lc_ops_8.png"/>
                    <pic:cNvPicPr/>
                  </pic:nvPicPr>
                  <pic:blipFill>
                    <a:blip r:embed="rId89"/>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79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80" name="Picture 80"/>
            <wp:cNvGraphicFramePr>
              <a:graphicFrameLocks noChangeAspect="1"/>
            </wp:cNvGraphicFramePr>
            <a:graphic>
              <a:graphicData uri="http://schemas.openxmlformats.org/drawingml/2006/picture">
                <pic:pic>
                  <pic:nvPicPr>
                    <pic:cNvPr id="0" name="m7_8_lc_ops_9.png"/>
                    <pic:cNvPicPr/>
                  </pic:nvPicPr>
                  <pic:blipFill>
                    <a:blip r:embed="rId90"/>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80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(194 tables, 20 schemas, 763 foreign keys, 515 unique constraints, 1,158 CHECK constraints, 700 indexes). A CI gate runs the same steps on every change to db/, tools/dbgen/ or tools/ci/ (tools/ci/db_ci.sh, .github/workflows/db-ci.yml). The gate has passed locally; its first run on GitHub is pending. Not yet run on the production server.</w:t>
            </w:r>
          </w:p>
        </w:tc>
        <w:tc>
          <w:tcPr>
            <w:tcW w:type="dxa" w:w="2721"/>
            <w:shd w:val="clear" w:color="auto" w:fill="E8EEF6"/>
          </w:tcPr>
          <w:p>
            <w:pPr>
              <w:spacing w:after="0" w:before="0"/>
            </w:pPr>
            <w:r/>
            <w:r>
              <w:rPr>
                <w:rFonts w:ascii="Arial" w:hAnsi="Arial"/>
                <w:b w:val="0"/>
                <w:sz w:val="15"/>
              </w:rPr>
              <w:t>Check the first GitHub run in the Actions tab, then run tools\deploy\deploy.ps1 on the target Windows server. The Windows path has not been run yet; the Linux path is tested by CI through tools/deploy/deploy.sh.</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Add the test script to CI. Decide the behaviour for a lender change after approval, which the trigger currently rejects.</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Assign an owner and a review date to each question; resolve the critical ones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24 cases as the application role and the reporting role (cross-tenant reads, inserts, updates and deletes, global rows, the audit log, the context procedure,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Open. Range allocation is proposed; no decision recorded.</w:t>
            </w:r>
          </w:p>
        </w:tc>
        <w:tc>
          <w:tcPr>
            <w:tcW w:type="dxa" w:w="2721"/>
            <w:shd w:val="clear" w:color="auto" w:fill="E8EEF6"/>
          </w:tcPr>
          <w:p>
            <w:pPr>
              <w:spacing w:after="0" w:before="0"/>
            </w:pPr>
            <w:r/>
            <w:r>
              <w:rPr>
                <w:rFonts w:ascii="Arial" w:hAnsi="Arial"/>
                <w:b w:val="0"/>
                <w:sz w:val="15"/>
              </w:rPr>
              <w:t>Legal and operational decision on whether gaps are acceptable, then a numbering design.</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Open. The two cascade rules are in db/model/11-organization-party.model and have not been reviewed against this rule.</w:t>
            </w:r>
          </w:p>
        </w:tc>
        <w:tc>
          <w:tcPr>
            <w:tcW w:type="dxa" w:w="2721"/>
          </w:tcPr>
          <w:p>
            <w:pPr>
              <w:spacing w:after="0" w:before="0"/>
            </w:pPr>
            <w:r/>
            <w:r>
              <w:rPr>
                <w:rFonts w:ascii="Arial" w:hAnsi="Arial"/>
                <w:b w:val="0"/>
                <w:sz w:val="15"/>
              </w:rPr>
              <w:t>Review the two rules; replace cascade with archive or close where the data is credit or audit data.</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Residual risks: O-17 (the caller names the user) and O-18 to O-22.</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Open decision. Writes are refused for both statuses (rls.fn_BoundWrite). Reads are allowed for a new bind and lost for an existing one.</w:t>
            </w:r>
          </w:p>
        </w:tc>
        <w:tc>
          <w:tcPr>
            <w:tcW w:type="dxa" w:w="2721"/>
            <w:shd w:val="clear" w:color="auto" w:fill="E8EEF6"/>
          </w:tcPr>
          <w:p>
            <w:pPr>
              <w:spacing w:after="0" w:before="0"/>
            </w:pPr>
            <w:r/>
            <w:r>
              <w:rPr>
                <w:rFonts w:ascii="Arial" w:hAnsi="Arial"/>
                <w:b w:val="0"/>
                <w:sz w:val="15"/>
              </w:rPr>
              <w:t>Decide: (a) bind a SUSPENDED tenant only for its account administrator, which needs the role check in the procedure, or (b) refuse binds for SUSPENDED too and keep the revocation. Then align db/static/030 and the test T27.</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Open decision. The NULL allowance is written into the design (BR-PLT-001: NULL is a platform event). A tenant connection should not create platform events.</w:t>
            </w:r>
          </w:p>
        </w:tc>
        <w:tc>
          <w:tcPr>
            <w:tcW w:type="dxa" w:w="2721"/>
          </w:tcPr>
          <w:p>
            <w:pPr>
              <w:spacing w:after="0" w:before="0"/>
            </w:pPr>
            <w:r/>
            <w:r>
              <w:rPr>
                <w:rFonts w:ascii="Arial" w:hAnsi="Arial"/>
                <w:b w:val="0"/>
                <w:sz w:val="15"/>
              </w:rPr>
              <w:t>Decide: refuse NULL TenantId for non-platform connections in rls.fn_AuditWrite and let only tp_platform write platform events. Then add a test.</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Open. No check covers references to mixed-scope tables.</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Open. This follows from SQL Server constraint checking, not from a missing predicate, so the filters cannot prevent it.</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Open, low. Cursors and error codes are not covered by the row filters.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of a user of its own tenant (password change and reset flows), the TOTP check is trusted to the application (sec.usp_ConfirmMfa records its result), and the application extends the idle expiry of a session. None of these crosses a tenant boundary.</w:t>
            </w:r>
          </w:p>
        </w:tc>
        <w:tc>
          <w:tcPr>
            <w:tcW w:type="dxa" w:w="4819"/>
            <w:shd w:val="clear" w:color="auto" w:fill="E8EEF6"/>
          </w:tcPr>
          <w:p>
            <w:pPr>
              <w:spacing w:after="0" w:before="0"/>
            </w:pPr>
            <w:r/>
            <w:r>
              <w:rPr>
                <w:rFonts w:ascii="Arial" w:hAnsi="Arial"/>
                <w:b w:val="0"/>
                <w:sz w:val="15"/>
              </w:rPr>
              <w:t>Open, medium. Cross-tenant access needs the target user's password; same-tenant impersonation by a compromised application connection is still possible through the password update.</w:t>
            </w:r>
          </w:p>
        </w:tc>
        <w:tc>
          <w:tcPr>
            <w:tcW w:type="dxa" w:w="2721"/>
            <w:shd w:val="clear" w:color="auto" w:fill="E8EEF6"/>
          </w:tcPr>
          <w:p>
            <w:pPr>
              <w:spacing w:after="0" w:before="0"/>
            </w:pPr>
            <w:r/>
            <w:r>
              <w:rPr>
                <w:rFonts w:ascii="Arial" w:hAnsi="Arial"/>
                <w:b w:val="0"/>
                <w:sz w:val="15"/>
              </w:rPr>
              <w:t>Decide whether password change and administrator reset go through procedures (old-password proof or reset token, BR-PLT-004 history check) and whether tp_app loses UPDATE on PasswordHash. Decide the same for the idle extension.</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195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m0_audit_docs_1</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m0_audit_docs_1</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m4_products_3</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(FR-PLT-042)</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m0_audit_docs_2</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m0_audit_docs_3</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1701"/>
            <w:shd w:val="clear" w:color="auto" w:fill="E8EEF6"/>
          </w:tcPr>
          <w:p>
            <w:pPr>
              <w:spacing w:after="0" w:before="0"/>
            </w:pPr>
            <w:r/>
            <w:r>
              <w:rPr>
                <w:rFonts w:ascii="Arial" w:hAnsi="Arial"/>
                <w:b w:val="0"/>
                <w:sz w:val="15"/>
              </w:rPr>
              <w:t>m0_audit_docs_3</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fac.FacilityRevision</w:t>
            </w:r>
          </w:p>
        </w:tc>
        <w:tc>
          <w:tcPr>
            <w:tcW w:type="dxa" w:w="10205"/>
            <w:shd w:val="clear" w:color="auto" w:fill="E8EEF6"/>
          </w:tcPr>
          <w:p>
            <w:pPr>
              <w:spacing w:after="0" w:before="0"/>
            </w:pPr>
            <w:r/>
            <w:r>
              <w:rPr>
                <w:rFonts w:ascii="Arial" w:hAnsi="Arial"/>
                <w:b w:val="0"/>
                <w:sz w:val="15"/>
              </w:rPr>
              <w:t>Preparer and approver revision of facility terms (FR-FAC-024, BR-FAC-003/004, section 8)</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fac.Limit</w:t>
            </w:r>
          </w:p>
        </w:tc>
        <w:tc>
          <w:tcPr>
            <w:tcW w:type="dxa" w:w="10205"/>
          </w:tcPr>
          <w:p>
            <w:pPr>
              <w:spacing w:after="0" w:before="0"/>
            </w:pPr>
            <w:r/>
            <w:r>
              <w:rPr>
                <w:rFonts w:ascii="Arial" w:hAnsi="Arial"/>
                <w:b w:val="0"/>
                <w:sz w:val="15"/>
              </w:rPr>
              <w:t>Limit-tree node (FR-FAC-010/011, BR-FAC-009/010, V-FAC-04..07)</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fac.LimitCompanyRule</w:t>
            </w:r>
          </w:p>
        </w:tc>
        <w:tc>
          <w:tcPr>
            <w:tcW w:type="dxa" w:w="10205"/>
            <w:shd w:val="clear" w:color="auto" w:fill="E8EEF6"/>
          </w:tcPr>
          <w:p>
            <w:pPr>
              <w:spacing w:after="0" w:before="0"/>
            </w:pPr>
            <w:r/>
            <w:r>
              <w:rPr>
                <w:rFonts w:ascii="Arial" w:hAnsi="Arial"/>
                <w:b w:val="0"/>
                <w:sz w:val="15"/>
              </w:rPr>
              <w:t>Company rule on a limit: allowed, excluded or allocated (FR-FAC-013, BR-FAC-012, V-FAC-09)</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fac.LimitMovement</w:t>
            </w:r>
          </w:p>
        </w:tc>
        <w:tc>
          <w:tcPr>
            <w:tcW w:type="dxa" w:w="10205"/>
          </w:tcPr>
          <w:p>
            <w:pPr>
              <w:spacing w:after="0" w:before="0"/>
            </w:pPr>
            <w:r/>
            <w:r>
              <w:rPr>
                <w:rFonts w:ascii="Arial" w:hAnsi="Arial"/>
                <w:b w:val="0"/>
                <w:sz w:val="15"/>
              </w:rPr>
              <w:t>Movement record on a reservation or usage; no update or delete; duplicate-prevention key (BR-FAC-015, BR-FAC-020)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fac.LimitProductLine</w:t>
            </w:r>
          </w:p>
        </w:tc>
        <w:tc>
          <w:tcPr>
            <w:tcW w:type="dxa" w:w="10205"/>
            <w:shd w:val="clear" w:color="auto" w:fill="E8EEF6"/>
          </w:tcPr>
          <w:p>
            <w:pPr>
              <w:spacing w:after="0" w:before="0"/>
            </w:pPr>
            <w:r/>
            <w:r>
              <w:rPr>
                <w:rFonts w:ascii="Arial" w:hAnsi="Arial"/>
                <w:b w:val="0"/>
                <w:sz w:val="15"/>
              </w:rPr>
              <w:t>Product line within a limit, with an optional SHARED_CAP ceiling (FR-FAC-012, V-FAC-08)</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fac.LimitReservation</w:t>
            </w:r>
          </w:p>
        </w:tc>
        <w:tc>
          <w:tcPr>
            <w:tcW w:type="dxa" w:w="10205"/>
          </w:tcPr>
          <w:p>
            <w:pPr>
              <w:spacing w:after="0" w:before="0"/>
            </w:pPr>
            <w:r/>
            <w:r>
              <w:rPr>
                <w:rFonts w:ascii="Arial" w:hAnsi="Arial"/>
                <w:b w:val="0"/>
                <w:sz w:val="15"/>
              </w:rPr>
              <w:t>Amount reserved for a request, equal to ExposureAmount (FR-FAC-017/018/020, BR-FAC-015)</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fac.OutstandingSnapshot</w:t>
            </w:r>
          </w:p>
        </w:tc>
        <w:tc>
          <w:tcPr>
            <w:tcW w:type="dxa" w:w="10205"/>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fac.ProductLineTerm</w:t>
            </w:r>
          </w:p>
        </w:tc>
        <w:tc>
          <w:tcPr>
            <w:tcW w:type="dxa" w:w="10205"/>
          </w:tcPr>
          <w:p>
            <w:pPr>
              <w:spacing w:after="0" w:before="0"/>
            </w:pPr>
            <w:r/>
            <w:r>
              <w:rPr>
                <w:rFonts w:ascii="Arial" w:hAnsi="Arial"/>
                <w:b w:val="0"/>
                <w:sz w:val="15"/>
              </w:rPr>
              <w:t>Operational terms of a product line with effective dates; NULL means 'not specified', not zero (FR-FAC-014, BR-FAC-016)</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fac.Utilization</w:t>
            </w:r>
          </w:p>
        </w:tc>
        <w:tc>
          <w:tcPr>
            <w:tcW w:type="dxa" w:w="10205"/>
            <w:shd w:val="clear" w:color="auto" w:fill="E8EEF6"/>
          </w:tcPr>
          <w:p>
            <w:pPr>
              <w:spacing w:after="0" w:before="0"/>
            </w:pPr>
            <w:r/>
            <w:r>
              <w:rPr>
                <w:rFonts w:ascii="Arial" w:hAnsi="Arial"/>
                <w:b w:val="0"/>
                <w:sz w:val="15"/>
              </w:rPr>
              <w:t>Active utilisation item: manual or linked to a letter of credit; never deleted (FR-FAC-016/030, BR-FAC-013/020)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fac.ValueConflict</w:t>
            </w:r>
          </w:p>
        </w:tc>
        <w:tc>
          <w:tcPr>
            <w:tcW w:type="dxa" w:w="10205"/>
          </w:tcPr>
          <w:p>
            <w:pPr>
              <w:spacing w:after="0" w:before="0"/>
            </w:pPr>
            <w:r/>
            <w:r>
              <w:rPr>
                <w:rFonts w:ascii="Arial" w:hAnsi="Arial"/>
                <w:b w:val="0"/>
                <w:sz w:val="15"/>
              </w:rPr>
              <w:t>Conflict between two values of one field, and its resolution (FR-FAC-026, BR-FAC-019, BR-FAC-008)</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fin.AccountMonthlyStat</w:t>
            </w:r>
          </w:p>
        </w:tc>
        <w:tc>
          <w:tcPr>
            <w:tcW w:type="dxa" w:w="10205"/>
            <w:shd w:val="clear" w:color="auto" w:fill="E8EEF6"/>
          </w:tcPr>
          <w:p>
            <w:pPr>
              <w:spacing w:after="0" w:before="0"/>
            </w:pPr>
            <w:r/>
            <w:r>
              <w:rPr>
                <w:rFonts w:ascii="Arial" w:hAnsi="Arial"/>
                <w:b w:val="0"/>
                <w:sz w:val="15"/>
              </w:rPr>
              <w:t>Monthly balance of an account in the account currency (FR-FIN-008, BR-FIN-005/006, V-FIN-02)</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39 items seeded; system items used in formulas cannot be deleted (FR-FIN-001, CatalogBase)</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m5_financials_5</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the rendered text is frozen at lock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the application prevents edits after issue;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m1_company_3</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the permanent trace is in aud.AuditLog (BR-PLT-005)</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PERMISSION_LOCKED is enforced by the service (BR-PLT-019)</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sec.SessionBinding</w:t>
            </w:r>
          </w:p>
        </w:tc>
        <w:tc>
          <w:tcPr>
            <w:tcW w:type="dxa" w:w="10205"/>
            <w:shd w:val="clear" w:color="auto" w:fill="E8EEF6"/>
          </w:tcPr>
          <w:p>
            <w:pPr>
              <w:spacing w:after="0" w:before="0"/>
            </w:pPr>
            <w:r/>
            <w:r>
              <w:rPr>
                <w:rFonts w:ascii="Arial" w:hAnsi="Arial"/>
                <w:b w:val="0"/>
                <w:sz w:val="15"/>
              </w:rPr>
              <w:t>Connection binding for the row filters (O-16)</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sec.TenantKey</w:t>
            </w:r>
          </w:p>
        </w:tc>
        <w:tc>
          <w:tcPr>
            <w:tcW w:type="dxa" w:w="10205"/>
          </w:tcPr>
          <w:p>
            <w:pPr>
              <w:spacing w:after="0" w:before="0"/>
            </w:pPr>
            <w:r/>
            <w:r>
              <w:rPr>
                <w:rFonts w:ascii="Arial" w:hAnsi="Arial"/>
                <w:b w:val="0"/>
                <w:sz w:val="15"/>
              </w:rPr>
              <w:t>Tenant key register; each key is wrapped by a master key held outside the database (FR-PLT-037, BR-PLT-015)</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sec.UserCompanyScope</w:t>
            </w:r>
          </w:p>
        </w:tc>
        <w:tc>
          <w:tcPr>
            <w:tcW w:type="dxa" w:w="10205"/>
            <w:shd w:val="clear" w:color="auto" w:fill="E8EEF6"/>
          </w:tcPr>
          <w:p>
            <w:pPr>
              <w:spacing w:after="0" w:before="0"/>
            </w:pPr>
            <w:r/>
            <w:r>
              <w:rPr>
                <w:rFonts w:ascii="Arial" w:hAnsi="Arial"/>
                <w:b w:val="0"/>
                <w:sz w:val="15"/>
              </w:rPr>
              <w:t>Companies a user can see; ignored when CompanyScopeMode = ALL (FR-PLT-020)</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sec.UserPasswordHistory</w:t>
            </w:r>
          </w:p>
        </w:tc>
        <w:tc>
          <w:tcPr>
            <w:tcW w:type="dxa" w:w="10205"/>
          </w:tcPr>
          <w:p>
            <w:pPr>
              <w:spacing w:after="0" w:before="0"/>
            </w:pPr>
            <w:r/>
            <w:r>
              <w:rPr>
                <w:rFonts w:ascii="Arial" w:hAnsi="Arial"/>
                <w:b w:val="0"/>
                <w:sz w:val="15"/>
              </w:rPr>
              <w:t>Last five passwords, to prevent reuse (BR-PLT-004)</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sec.UserRole</w:t>
            </w:r>
          </w:p>
        </w:tc>
        <w:tc>
          <w:tcPr>
            <w:tcW w:type="dxa" w:w="10205"/>
            <w:shd w:val="clear" w:color="auto" w:fill="E8EEF6"/>
          </w:tcPr>
          <w:p>
            <w:pPr>
              <w:spacing w:after="0" w:before="0"/>
            </w:pPr>
            <w:r/>
            <w:r>
              <w:rPr>
                <w:rFonts w:ascii="Arial" w:hAnsi="Arial"/>
                <w:b w:val="0"/>
                <w:sz w:val="15"/>
              </w:rPr>
              <w:t>User–role link; permissions are the union of the roles (BR-PLT-007,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sec.UserSession</w:t>
            </w:r>
          </w:p>
        </w:tc>
        <w:tc>
          <w:tcPr>
            <w:tcW w:type="dxa" w:w="10205"/>
          </w:tcPr>
          <w:p>
            <w:pPr>
              <w:spacing w:after="0" w:before="0"/>
            </w:pPr>
            <w:r/>
            <w:r>
              <w:rPr>
                <w:rFonts w:ascii="Arial" w:hAnsi="Arial"/>
                <w:b w:val="0"/>
                <w:sz w:val="15"/>
              </w:rPr>
              <w:t>User sessions: 30-minute idle timeout and 12-hour absolute timeout (FR-PLT-014)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sec.UserToken</w:t>
            </w:r>
          </w:p>
        </w:tc>
        <w:tc>
          <w:tcPr>
            <w:tcW w:type="dxa" w:w="10205"/>
            <w:shd w:val="clear" w:color="auto" w:fill="E8EEF6"/>
          </w:tcPr>
          <w:p>
            <w:pPr>
              <w:spacing w:after="0" w:before="0"/>
            </w:pPr>
            <w:r/>
            <w:r>
              <w:rPr>
                <w:rFonts w:ascii="Arial" w:hAnsi="Arial"/>
                <w:b w:val="0"/>
                <w:sz w:val="15"/>
              </w:rPr>
              <w:t>Single-use invitation link (48 hours) or password-reset token (30 minutes) (FR-PLT-013)</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wfl.ExternalPhase</w:t>
            </w:r>
          </w:p>
        </w:tc>
        <w:tc>
          <w:tcPr>
            <w:tcW w:type="dxa" w:w="10205"/>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wfl.HookExecution</w:t>
            </w:r>
          </w:p>
        </w:tc>
        <w:tc>
          <w:tcPr>
            <w:tcW w:type="dxa" w:w="10205"/>
            <w:shd w:val="clear" w:color="auto" w:fill="E8EEF6"/>
          </w:tcPr>
          <w:p>
            <w:pPr>
              <w:spacing w:after="0" w:before="0"/>
            </w:pPr>
            <w:r/>
            <w:r>
              <w:rPr>
                <w:rFonts w:ascii="Arial" w:hAnsi="Arial"/>
                <w:b w:val="0"/>
                <w:sz w:val="15"/>
              </w:rPr>
              <w:t>Execution of a hook with an idempotency key; a repeat returns the stored result (FR-WFL-021, BR-WFL-015)</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w:t>
            </w:r>
          </w:p>
        </w:tc>
        <w:tc>
          <w:tcPr>
            <w:tcW w:type="dxa" w:w="10205"/>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tcPr>
          <w:p>
            <w:pPr>
              <w:spacing w:after="0" w:before="0"/>
            </w:pPr>
            <w:r/>
            <w:r>
              <w:rPr>
                <w:rFonts w:ascii="Arial" w:hAnsi="Arial"/>
                <w:b w:val="0"/>
                <w:sz w:val="15"/>
              </w:rPr>
              <w:t>m6_requests_2</w:t>
            </w:r>
          </w:p>
        </w:tc>
      </w:tr>
      <w:tr>
        <w:trPr>
          <w:cantSplit w:val="true"/>
        </w:trPr>
        <w:tc>
          <w:tcPr>
            <w:tcW w:type="dxa" w:w="3515"/>
            <w:shd w:val="clear" w:color="auto" w:fill="E8EEF6"/>
          </w:tcPr>
          <w:p>
            <w:pPr>
              <w:spacing w:after="0" w:before="0"/>
            </w:pPr>
            <w:r/>
            <w:r>
              <w:rPr>
                <w:rFonts w:ascii="Arial" w:hAnsi="Arial"/>
                <w:b w:val="0"/>
                <w:sz w:val="15"/>
              </w:rPr>
              <w:t>wfl.RequestAction</w:t>
            </w:r>
          </w:p>
        </w:tc>
        <w:tc>
          <w:tcPr>
            <w:tcW w:type="dxa" w:w="10205"/>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wfl.RequestApproval</w:t>
            </w:r>
          </w:p>
        </w:tc>
        <w:tc>
          <w:tcPr>
            <w:tcW w:type="dxa" w:w="10205"/>
          </w:tcPr>
          <w:p>
            <w:pPr>
              <w:spacing w:after="0" w:before="0"/>
            </w:pPr>
            <w:r/>
            <w:r>
              <w:rPr>
                <w:rFonts w:ascii="Arial" w:hAnsi="Arial"/>
                <w:b w:val="0"/>
                <w:sz w:val="15"/>
              </w:rPr>
              <w:t>Approval slot created per entry and cycle; a new cycle creates new slots (BR-WFL-003, FR-WFL-007/008/011)</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wfl.RequestAttachment</w:t>
            </w:r>
          </w:p>
        </w:tc>
        <w:tc>
          <w:tcPr>
            <w:tcW w:type="dxa" w:w="10205"/>
            <w:shd w:val="clear" w:color="auto" w:fill="E8EEF6"/>
          </w:tcPr>
          <w:p>
            <w:pPr>
              <w:spacing w:after="0" w:before="0"/>
            </w:pPr>
            <w:r/>
            <w:r>
              <w:rPr>
                <w:rFonts w:ascii="Arial" w:hAnsi="Arial"/>
                <w:b w:val="0"/>
                <w:sz w:val="15"/>
              </w:rPr>
              <w:t>Links a document to a request and creates a DocumentLink (EntityType = Request) (FR-REQ-006, BR-REQ-005)</w:t>
            </w:r>
          </w:p>
        </w:tc>
        <w:tc>
          <w:tcPr>
            <w:tcW w:type="dxa" w:w="1701"/>
            <w:shd w:val="clear" w:color="auto" w:fill="E8EEF6"/>
          </w:tcPr>
          <w:p>
            <w:pPr>
              <w:spacing w:after="0" w:before="0"/>
            </w:pPr>
            <w:r/>
            <w:r>
              <w:rPr>
                <w:rFonts w:ascii="Arial" w:hAnsi="Arial"/>
                <w:b w:val="0"/>
                <w:sz w:val="15"/>
              </w:rPr>
              <w:t>m6_requests_4</w:t>
            </w:r>
          </w:p>
        </w:tc>
      </w:tr>
      <w:tr>
        <w:trPr>
          <w:cantSplit w:val="true"/>
        </w:trPr>
        <w:tc>
          <w:tcPr>
            <w:tcW w:type="dxa" w:w="3515"/>
          </w:tcPr>
          <w:p>
            <w:pPr>
              <w:spacing w:after="0" w:before="0"/>
            </w:pPr>
            <w:r/>
            <w:r>
              <w:rPr>
                <w:rFonts w:ascii="Arial" w:hAnsi="Arial"/>
                <w:b w:val="0"/>
                <w:sz w:val="15"/>
              </w:rPr>
              <w:t>wfl.RequestComment</w:t>
            </w:r>
          </w:p>
        </w:tc>
        <w:tc>
          <w:tcPr>
            <w:tcW w:type="dxa" w:w="10205"/>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tcPr>
          <w:p>
            <w:pPr>
              <w:spacing w:after="0" w:before="0"/>
            </w:pPr>
            <w:r/>
            <w:r>
              <w:rPr>
                <w:rFonts w:ascii="Arial" w:hAnsi="Arial"/>
                <w:b w:val="0"/>
                <w:sz w:val="15"/>
              </w:rPr>
              <w:t>m6_requests_3</w:t>
            </w:r>
          </w:p>
        </w:tc>
      </w:tr>
      <w:tr>
        <w:trPr>
          <w:cantSplit w:val="true"/>
        </w:trPr>
        <w:tc>
          <w:tcPr>
            <w:tcW w:type="dxa" w:w="3515"/>
            <w:shd w:val="clear" w:color="auto" w:fill="E8EEF6"/>
          </w:tcPr>
          <w:p>
            <w:pPr>
              <w:spacing w:after="0" w:before="0"/>
            </w:pPr>
            <w:r/>
            <w:r>
              <w:rPr>
                <w:rFonts w:ascii="Arial" w:hAnsi="Arial"/>
                <w:b w:val="0"/>
                <w:sz w:val="15"/>
              </w:rPr>
              <w:t>wfl.RequestExternalRef</w:t>
            </w:r>
          </w:p>
        </w:tc>
        <w:tc>
          <w:tcPr>
            <w:tcW w:type="dxa" w:w="10205"/>
            <w:shd w:val="clear" w:color="auto" w:fill="E8EEF6"/>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wfl.RequestStageInstance</w:t>
            </w:r>
          </w:p>
        </w:tc>
        <w:tc>
          <w:tcPr>
            <w:tcW w:type="dxa" w:w="10205"/>
          </w:tcPr>
          <w:p>
            <w:pPr>
              <w:spacing w:after="0" w:before="0"/>
            </w:pPr>
            <w:r/>
            <w:r>
              <w:rPr>
                <w:rFonts w:ascii="Arial" w:hAnsi="Arial"/>
                <w:b w:val="0"/>
                <w:sz w:val="15"/>
              </w:rPr>
              <w:t>Entry of a request into a stage; source of the cycle-time, withdrawal and SLA metrics (BR-WFL-002/007/012, section 8)</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wfl.RequestType</w:t>
            </w:r>
          </w:p>
        </w:tc>
        <w:tc>
          <w:tcPr>
            <w:tcW w:type="dxa" w:w="10205"/>
            <w:shd w:val="clear" w:color="auto" w:fill="E8EEF6"/>
          </w:tcPr>
          <w:p>
            <w:pPr>
              <w:spacing w:after="0" w:before="0"/>
            </w:pPr>
            <w:r/>
            <w:r>
              <w:rPr>
                <w:rFonts w:ascii="Arial" w:hAnsi="Arial"/>
                <w:b w:val="0"/>
                <w:sz w:val="15"/>
              </w:rPr>
              <w:t>Request type definition (FR-REQ-001, BR-REQ-001, V-REQ-01); new types need no code (FR-REQ-021)</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wfl.RequestTypeAudience</w:t>
            </w:r>
          </w:p>
        </w:tc>
        <w:tc>
          <w:tcPr>
            <w:tcW w:type="dxa" w:w="10205"/>
          </w:tcPr>
          <w:p>
            <w:pPr>
              <w:spacing w:after="0" w:before="0"/>
            </w:pPr>
            <w:r/>
            <w:r>
              <w:rPr>
                <w:rFonts w:ascii="Arial" w:hAnsi="Arial"/>
                <w:b w:val="0"/>
                <w:sz w:val="15"/>
              </w:rPr>
              <w:t>Audience of a request type: who may raise it; no rows = nobody (fail closed) (FR-REQ-007)</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wfl.StageApprover</w:t>
            </w:r>
          </w:p>
        </w:tc>
        <w:tc>
          <w:tcPr>
            <w:tcW w:type="dxa" w:w="10205"/>
            <w:shd w:val="clear" w:color="auto" w:fill="E8EEF6"/>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wfl.TemplateAttachmentRule</w:t>
            </w:r>
          </w:p>
        </w:tc>
        <w:tc>
          <w:tcPr>
            <w:tcW w:type="dxa" w:w="10205"/>
          </w:tcPr>
          <w:p>
            <w:pPr>
              <w:spacing w:after="0" w:before="0"/>
            </w:pPr>
            <w:r/>
            <w:r>
              <w:rPr>
                <w:rFonts w:ascii="Arial" w:hAnsi="Arial"/>
                <w:b w:val="0"/>
                <w:sz w:val="15"/>
              </w:rPr>
              <w:t>Attachment rule on a template version (FR-REQ-006, BR-REQ-005, FR-WFL-024/025)</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wfl.TemplateField</w:t>
            </w:r>
          </w:p>
        </w:tc>
        <w:tc>
          <w:tcPr>
            <w:tcW w:type="dxa" w:w="10205"/>
            <w:shd w:val="clear" w:color="auto" w:fill="E8EEF6"/>
          </w:tcPr>
          <w:p>
            <w:pPr>
              <w:spacing w:after="0" w:before="0"/>
            </w:pPr>
            <w:r/>
            <w:r>
              <w:rPr>
                <w:rFonts w:ascii="Arial" w:hAnsi="Arial"/>
                <w:b w:val="0"/>
                <w:sz w:val="15"/>
              </w:rPr>
              <w:t>Field in a template version; the form UI is generated without code (FR-REQ-002..005, BR-REQ-003/004)</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wfl.UserDelegation</w:t>
            </w:r>
          </w:p>
        </w:tc>
        <w:tc>
          <w:tcPr>
            <w:tcW w:type="dxa" w:w="10205"/>
          </w:tcPr>
          <w:p>
            <w:pPr>
              <w:spacing w:after="0" w:before="0"/>
            </w:pPr>
            <w:r/>
            <w:r>
              <w:rPr>
                <w:rFonts w:ascii="Arial" w:hAnsi="Arial"/>
                <w:b w:val="0"/>
                <w:sz w:val="15"/>
              </w:rPr>
              <w:t>Task delegation with a period and scope; no chained delegation (FR-WFL-020, BR-WFL-021, V-WFL-06)</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wfl.WorkflowStage</w:t>
            </w:r>
          </w:p>
        </w:tc>
        <w:tc>
          <w:tcPr>
            <w:tcW w:type="dxa" w:w="10205"/>
            <w:shd w:val="clear" w:color="auto" w:fill="E8EEF6"/>
          </w:tcPr>
          <w:p>
            <w:pPr>
              <w:spacing w:after="0" w:before="0"/>
            </w:pPr>
            <w:r/>
            <w:r>
              <w:rPr>
                <w:rFonts w:ascii="Arial" w:hAnsi="Arial"/>
                <w:b w:val="0"/>
                <w:sz w:val="15"/>
              </w:rPr>
              <w:t>Stage in a template version (FR-WFL-003/004/005, BR-WFL-002/010/012); physical delete only for a draft version</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wfl.WorkflowStageHook</w:t>
            </w:r>
          </w:p>
        </w:tc>
        <w:tc>
          <w:tcPr>
            <w:tcW w:type="dxa" w:w="10205"/>
          </w:tcPr>
          <w:p>
            <w:pPr>
              <w:spacing w:after="0" w:before="0"/>
            </w:pPr>
            <w:r/>
            <w:r>
              <w:rPr>
                <w:rFonts w:ascii="Arial" w:hAnsi="Arial"/>
                <w:b w:val="0"/>
                <w:sz w:val="15"/>
              </w:rPr>
              <w:t>Hook registered on a stage: a key and parameters, no code (FR-WFL-021, BR-WFL-015, section 5.4)</w:t>
            </w:r>
          </w:p>
        </w:tc>
        <w:tc>
          <w:tcPr>
            <w:tcW w:type="dxa" w:w="1701"/>
          </w:tcPr>
          <w:p>
            <w:pPr>
              <w:spacing w:after="0" w:before="0"/>
            </w:pPr>
            <w:r/>
            <w:r>
              <w:rPr>
                <w:rFonts w:ascii="Arial" w:hAnsi="Arial"/>
                <w:b w:val="0"/>
                <w:sz w:val="15"/>
              </w:rPr>
              <w:t>m6_wf_templates_3</w:t>
            </w:r>
          </w:p>
        </w:tc>
      </w:tr>
      <w:tr>
        <w:trPr>
          <w:cantSplit w:val="true"/>
        </w:trPr>
        <w:tc>
          <w:tcPr>
            <w:tcW w:type="dxa" w:w="3515"/>
            <w:shd w:val="clear" w:color="auto" w:fill="E8EEF6"/>
          </w:tcPr>
          <w:p>
            <w:pPr>
              <w:spacing w:after="0" w:before="0"/>
            </w:pPr>
            <w:r/>
            <w:r>
              <w:rPr>
                <w:rFonts w:ascii="Arial" w:hAnsi="Arial"/>
                <w:b w:val="0"/>
                <w:sz w:val="15"/>
              </w:rPr>
              <w:t>wfl.WorkflowTemplate</w:t>
            </w:r>
          </w:p>
        </w:tc>
        <w:tc>
          <w:tcPr>
            <w:tcW w:type="dxa" w:w="10205"/>
            <w:shd w:val="clear" w:color="auto" w:fill="E8EEF6"/>
          </w:tcPr>
          <w:p>
            <w:pPr>
              <w:spacing w:after="0" w:before="0"/>
            </w:pPr>
            <w:r/>
            <w:r>
              <w:rPr>
                <w:rFonts w:ascii="Arial" w:hAnsi="Arial"/>
                <w:b w:val="0"/>
                <w:sz w:val="15"/>
              </w:rPr>
              <w:t>Workflow template version; a published version is immutable (FR-WFL-001/028, BR-WFL-019, AC-WFL-6)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wfl.WorkflowTransition</w:t>
            </w:r>
          </w:p>
        </w:tc>
        <w:tc>
          <w:tcPr>
            <w:tcW w:type="dxa" w:w="10205"/>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195</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764</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184</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580</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505</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515</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700</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80</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