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 بندًا من البنود المعيارية (db/seed/104)، تُعرض منها 51 أولًا (S2-ب OQ-1)؛ يولّدها </w:t>
            </w:r>
            <w:r>
              <w:rPr>
                <w:rFonts w:ascii="Courier New" w:cs="Courier New" w:eastAsia="Courier New" w:hAnsi="Courier New"/>
                <w:b w:val="false"/>
                <w:bCs w:val="false"/>
                <w:color w:val="1F2937"/>
                <w:sz w:val="16"/>
                <w:szCs w:val="16"/>
                <w:shd w:fill="F1F3F5" w:color="auto" w:val="clear"/>
                <w:rtl/>
              </w:rPr>
              <w:t xml:space="preserve">‎tools/dbgen/fin_lines_pack.py‎</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db/model/14-collateral-obligations-financials.model:422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2026-10-24T21:55:24.255Z</dcterms:created>
  <dcterms:modified xsi:type="dcterms:W3CDTF">2026-10-24T21:55:24.255Z</dcterms:modified>
</cp:coreProperties>
</file>

<file path=docProps/custom.xml><?xml version="1.0" encoding="utf-8"?>
<Properties xmlns="http://schemas.openxmlformats.org/officeDocument/2006/custom-properties" xmlns:vt="http://schemas.openxmlformats.org/officeDocument/2006/docPropsVTypes"/>
</file>