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896"/>
        <w:gridCol w:w="896"/>
        <w:gridCol w:w="1665"/>
        <w:gridCol w:w="5383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الدفعة (أ) منفّذة، والباقي شروط دخول شرائحه (ADR 0011)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2026-10-13T19:40:54.742Z</dcterms:created>
  <dcterms:modified xsi:type="dcterms:W3CDTF">2026-10-13T19:40:54.742Z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