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DOC-F02 — تدفقات البيانات الحساسة (DFD المستوى 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معماري قاعدة البيانات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FR-PLT-011، FR-PLT-013، FR-PLT-014، FR-PLT-022، FR-PLT-023، FR-PLT-027، FR-PLT-030، FR-PLT-037، FR-PLT-039، FR-PLT-042، FR-PTY-006 إلى FR-PTY-009، FR-PTY-026، FR-PTY-027، FR-REQ-024، BR-PLT-004، BR-PLT-006، BR-PLT-009، BR-PLT-015، BR-PLT-016، BR-PTY-002، BR-PTY-008، BR-PTY-009، BR-REQ-003، O-24 (erd_open_items)، DR-08، DR-11، DR-13، DR-18، DR-25، DR-31، DR-46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(معرّفات TB والفاعلين والمخازن). يُستكمل بـDOC-S02 (المفاتيح) وDOC-S06 (التصنيف) وDOC-S07 (الخصوصية)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db/model/*.model، db/generated/tsql/006_sensitive_columns.sql، db/generated/tsql/005_delete_grants.sql، db/generated/tsql/007_table_grants.sql، db/static/010_rls.sql، db/static/020_roles_and_grants.sql، db/static/030_session_context.sql، tools/dbgen/dbgen.py، tools/dbgen/check_grants.py، docs/20-database-design.md، docs/10-detailed-analysis/10-m0-m1-platform-organization.md، docs/10-detailed-analysis/13-m6-workflow-engine-notifications.md، docs/review/design-review-2026-10-11.json، tools/dbgen/erd_open_items.py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جرد القيم الحساسة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وسوم الحساسية في النموذج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DFD-1: بيانات الدخول (V-01 إلى V-06)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DFD-2: أرقام الهويات وصورها (V-08، V-09)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DFD-3: أرقام الحسابات وIBAN ونسخها (V-10، V-13)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DFD-4: المفاتيح والنسخ الاحتياطية (V-07)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النسخ الجانبية: الإثبات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الحذف والاحتفاظ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قواعد ملزمة للتنفيذ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القرارات المطلوبة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يتتبع هذا المستند كل قيمة سرّية أو مقيّدة: أين تُنشأ، وأين تُنسخ وتُخزَّن وتُصدَّر وتُسجَّل وتُحذف.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إثبات أن كل نسخة من قيمة مقيّدة مشفّرة أو مقنَّعة أو مجزّأة، أو تسمية النسخة التي لا تحقق ذلك ومعالجتها.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معرّفات الحدود (TB) والفاعلين (A) والمخازن (D) من DOC-F01. معرّفات التدفقات هنا SD-nn.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مستويات التصنيف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(docs/10-detailed-analysis/10-m0-m1-platform-organization.md:581): عامة، داخلية،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سرّية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مقيّدة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قيم التصنيف التفصيلية (DOC-S06)، سلسلة المفاتيح وتدويرها (DOC-S02)، مدد الاحتفاظ القانونية (DOC-S07)، تسلسل الدخول (DOC-F03).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جرد القيم الحساسة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1862"/>
        <w:gridCol w:w="2072"/>
        <w:gridCol w:w="1335"/>
        <w:gridCol w:w="2110"/>
        <w:gridCol w:w="1545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الإنشاء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التخزين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 والتصدير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السجلات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V-01 كلمة المرور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يكتبها المستخدم (SD-01)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تُخزَّن؛ تبقى في ذاكرة التطبيق لحساب Argon2id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ممنوعة في سجلات التطبيق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(docs/10-detailed-analysis/10-m0-m1-platform-organization.md:586)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تُمحى من الذاكرة بعد الحساب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V-02 تجزئة كلمة المرور (PHC)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(docs/adr/0002-login-and-session-bound-context.md:19)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(db/model/10-platform.model:124، :262، :69)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الملح والمعاملات تعود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التجزئة (db/static/030_session_context.sql:34)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5 في السجل (BR-PLT-004)؛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من السجل (db/generated/tsql/005_delete_grants.sql:15)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V-03 رمز الجلسة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32 بايت على الأقل (db/static/030_session_context.sql:53)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SHA-256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‎sec.UserSession.TokenHash‎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(db/static/030_session_context.sql:116-118)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الأصل في ملف تعريف الارتباط (DOC-S03)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الإنهاء يحذف الربط (db/static/030_session_context.sql:269-283)؛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الصف (db/generated/tsql/005_delete_grants.sql:12)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V-04 سر TOTP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عند التسجيل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‎sec.AppUser.MfaSecretEnc‎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بمفتاح DATA للمشترك (db/model/10-platform.model:127-129)؛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بمفتاح المنصة (:72-73)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يُعرض مرة للمستخدم (DF-04)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MFA تصفّره (BR-PLT-006)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V-05 رموز الاسترداد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10 رموز (FR-PLT-011)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‎sec.MfaRecoveryCode.CodeHash‎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(db/model/10-platform.model:238)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تُعرض مرة للمستخدم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الاستهلاك يُسجَّل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‎UsedIp‎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(db/generated/tsql/005_delete_grants.sql:13)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V-06 رمز الدعوة أو إعادة التعيين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‎sec.UserToken.TokenHash‎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(db/model/10-platform.model:247)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الأصل في رابط البريد (SD-09، TB-10)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‎SentTo‎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‎SendError‎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(:251-255)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48 ساعة أو 30 دقيقة (FR-PLT-013)؛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(db/generated/tsql/005_delete_grants.sql:14)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V-07 مفاتيح المشترك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المفاتيح (FR-PLT-037)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‎sec.TenantKey.WrappedKey‎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ملفوف بمفتاح رئيسي خارجي (db/model/10-platform.model:276-289)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المفتاح المفكوك في ذاكرة التطبيق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‎sec.KeyEvent‎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(:291-301)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‎RETIRED‎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لا 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V-08 رقم الهوية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(SD-12)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‎pty.IdentityDocument‎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(db/model/11-organization-party.model:294-296)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(SD-16)، حزمة الكفيل، 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بالقناع فقط (FR-PLT-023)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إخفاء الهوية بعد الاحتفاظ (FR-PTY-029)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V-09 صور الهويات والمستندات المقيّدة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(SD-14)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الملفات مشفّرًا بمفتاح FILE؛ المرجع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‎doc.DocumentVersion‎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(db/model/10-platform.model:386-408) والدور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‎IMAGE_FRONT‎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وأمثاله (:414)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العرض والتنزيل (FR-PLT-030)، الحزمة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(:332-355)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منطقي؛ الإتلاف بالاحتفاظ (BR-PLT-011)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V-10 رقم الحساب وIBAN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‎acc.BankAccount‎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(db/model/12-institutions-accounts-catalogs.model:386-392)؛ IBAN المستفيد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(db/model/16-letters-of-credit.model:186-188)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صريحة في المقارنة والنص الأصلي (§8)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القناع فقط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للحساب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V-11 بيانات الامتثال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‎pty.PartyCompliance‎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(db/model/11-organization-party.model:465)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الحزمة والتصدير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سجل مؤرخ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V-12 الحقل المخصص المقيّد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‎pty.PartyCustomField.ValueEnc‎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(db/model/11-organization-party.model:397-400)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‎CUSTOM_FIELD_REVEAL‎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الشخص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V-13 سمات الضمان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من الاتفاقية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‎col.Collateral.Attributes‎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JSON موسوم مقيّدًا وغير مشفّر (db/model/14-collateral-obligations-financials.model:32)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V-14 بيانات شخصية سرّية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 عمودًا موسومًا سرّيًا، مثل تاريخ الميلاد (db/model/11-organization-party.model:267-273) والرقم الضريبي (:470-471)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التصدير والحزمة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(FR-PLT-040)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V-15 أحداث التدقيق والوصول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(db/model/10-platform.model:304-330)،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(:332-355)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عارض التدقيق وتصديره (FR-PLT-024)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 السجل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ولا تعديل (db/static/020_roles_and_grants.sql:65)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V-16 بيانات التتبع الشخصية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IP ووكيل المستخدم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البريد المكتوب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‎LoginName‎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(db/model/10-platform.model:201-204، :226-227، :318-319)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 السجل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(DQ-F02-6)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V-17 حزمة التصدير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التصدير (FR-PLT-039)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‎cfg.DataExportJob‎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ومستند الحزمة (db/model/10-platform.model:502-521)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تنزيل المستخدم (DF-08)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‎DATA_EXPORT‎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7 أيام؛ حذف الملف غير محدد (DQ-F02-5)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وسوم الحساسية في النموذج</w:t>
      </w:r>
      <w:bookmarkEnd w:id="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المقيّد: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29 عمودًا. لكل 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‎DENY SELECT‎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(db/generated/tsql/006_sensitive_columns.sql:7-35). الفحص R7 يطابق العددين (tools/dbgen/check_grants.py:92-96)، والاختبار T21 يثبت الرفض (db/tests/tenant_isolation_tests.sql:704-711).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السرّي: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23 عمودًا موسومًا،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بلا DENY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لأي دور.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يقرؤها متى رأى الصف (DQ-F02-3).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التطبيق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يقرأ كل المقيّد في جداول المشترك عدا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‎sec.AppUser.PasswordHash‎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(db/static/030_session_context.sql:237؛ الاختبار T35)، ولا يصل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‎plat.PlatformOperator‎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لأنه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القيم المقيّدة في الأعمدة نص مشفّر أو تجزئة، فالقراءة وحدها لا تكشفها دون مفتاح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استثناء خطر: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‎sec.UserPasswordHistory.PasswordHash‎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(db/generated/tsql/007_table_grants.sql:46) بلا DENY. إن كتب التطبيق التجزئة الحالية في السجل، أمكن اتصالًا مربوطًا قراءتها وتمريرها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‎usp_StartSession‎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فيسقط شرط «لا إعادة تشغيل للتجزئة» في docs/adr/0002-login-and-session-bound-context.md:24. المعالجة مع O-24 (erd_open_items) في DOC-S01.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7"/>
        <w:gridCol w:w="5232"/>
        <w:gridCol w:w="1195"/>
      </w:tblGrid>
      <w:tr>
        <w:trPr>
          <w:cantSplit/>
          <w:tblHeader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الجدول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الأعمدة المقيّدة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تجزئة؛ تشفير بمفتاح المنصة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تجزئة؛ تشفير بمفتاح DATA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لف بمفتاح رئيسي خارجي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‎pty.IdentityDocument‎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‎pty.PartyCompliance‎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‎IsPep‎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‎IsRelatedToPep‎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‎IsSanctioned‎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‎IsUnderInvestigation‎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‎HasImmunity‎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‎Details‎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حجب عن التقارير فقط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‎acc.BankAccount‎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‎AccountNoEnc/Mask/Hash‎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‎IbanEnc/Mask/Hash‎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‎col.Collateral‎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‎Attributes‎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حجب عن التقارير فقط (DR-08)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‎BeneficiaryAccountIbanEnc/Mask/Hash‎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شكل الغلاف المشفّر وAAD والتدوير في docs/20-database-design.md:188-209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ويملكه DOC-S02.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DFD-1: بيانات الدخول (V-01 إلى V-06)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623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936"/>
        <w:gridCol w:w="3579"/>
        <w:gridCol w:w="4413"/>
      </w:tblGrid>
      <w:tr>
        <w:trPr>
          <w:cantSplit/>
          <w:tblHeader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SD-01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 نصًا عبر TB-1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(DOC-S05)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تصل إلى القاعدة أبدًا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SD-02، SD-03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البريد، ثم سلسلة PHC ورمز الجلسة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تنفيذ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(db/static/030_session_context.sql:27، :48)؛ مقارنة ثنائية (:85-86)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غير الموجود يعيد NULL (:31-36)، والتطبيق يجيب كما للكلمة الخاطئة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(docs/adr/0002-login-and-session-bound-context.md:33)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SD-03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المحاولة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البريد المكتوب لمجهول (db/static/030_session_context.sql:124-129)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يُخزَّن في المشترك الذي كُتب عنده، وقد يكون بريد مستخدم مشترك آخر (DQ-F02-6)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SD-04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 الأصلي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إلا SHA-256 (db/static/030_session_context.sql:117)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شكل ملف تعريف الارتباط في DOC-S03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SD-05، SD-06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TOTP، ثم النتيجة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‎@Passed‎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تسجل النتيجة فقط (db/static/030_session_context.sql:159-162)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في التطبيق لأن السر مشفّر بمفاتيحه (:11-12). الاتصال غير مربوط قبل MFA (:198)، فلا يرى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تحت RLS (db/static/010_rls.sql:52-57). لا مسار قراءة اليوم (DQ-F02-4)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SD-07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 في كل ربط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يُجزَّأ ويُقارن (db/static/030_session_context.sql:195)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الرمز في سياق الاتصال؛ يُخزَّن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‎BindingToken‎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عشوائي جديد (:177، :218)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SD-08، SD-09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الدعوة أو الإعادة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التجزئة في القاعدة والأصل في البريد فقط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لا يحمل بيانات مقيّدة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(FR-PLT-013)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SD-10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 كلمة جديدة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 لصيغة Argon2id (db/model/10-platform.model:154، :264)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مباشرة (db/generated/tsql/007_table_grants.sql:24) ويقرأ سجل التجزئات (:46)؛ الخطر في O-24 (erd_open_items) وDOC-S01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SD-11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 رموز الاسترداد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نوع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‎bin(32)‎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المصادر لا تحدد الخوارزمية ولا الملح (DQ-F02-7)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DFD-2: أرقام الهويات وصورها (V-08، V-09)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862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5"/>
        <w:gridCol w:w="965"/>
        <w:gridCol w:w="4029"/>
        <w:gridCol w:w="3905"/>
      </w:tblGrid>
      <w:tr>
        <w:trPr>
          <w:cantSplit/>
          <w:tblHeader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نقطة التقنيع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SD-12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نصًا عبر TB-1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صريحًا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(docs/20-database-design.md:186)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SD-13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مشفّر وقناع وبصمة HMAC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AES-256-GCM بمفتاح DATA؛ HMAC بمفتاح BLIND_INDEX مستقل (BR-PLT-015، BR-PTY-002)؛ أدنى طول للغلاف 29 بايت (docs/20-database-design.md:198)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القناع يُحسب عند الكتابة (BR-PTY-008)، فالعرض لا يفك التشفير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SD-14، SD-15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الصورة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FILE (db/model/10-platform.model:395)؛ بصمة الخادم (:393)؛ لا تنزيل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‎CLEAN‎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(:396)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مصغّرات لغير المخوَّل (FR-PLT-030)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SD-16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المفكوك عبر TB-1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 على TM وFO (BR-PLT-019) ونطاق الشركة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يُخفى بعد 60 ثانية ولا يُخزَّن في المتصفح (BR-PTY-009)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SD-17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الكشف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‎IDENTITY_REVEAL‎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وصف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 في التدقيق مقنَّعة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(FR-PLT-023، db/model/10-platform.model:315)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SD-18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التصدير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مختومة بكلمة لا تُخزَّن (db/model/10-platform.model:514)؛ موافقة إلزامية للمقيّد (:519)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 الكشف: بلا أرقام كاملة ولا صور (BR-PLT-016)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ثغرات هذا المسار: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الموافِق على تصدير مقيّد قد يكون الطالب نفسه، ومستند الحزمة يأخذ الافتراضي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(DR-13؛ db/model/10-platform.model:370).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‎StorageKey‎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فريد داخل المشترك فقط، ومحتوى الإصدار قابل للتعديل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(DR-11؛ db/generated/tsql/007_table_grants.sql:61).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حساسية المستند نسخة لا تُفرض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‎cat.DocumentType.IsSensitive‎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(DR-18).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DFD-3: أرقام الحسابات وIBAN ونسخها (V-10، V-13)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562225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الإطار المتقطع يعني نسخة غير محمية اليوم.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1"/>
        <w:gridCol w:w="1544"/>
        <w:gridCol w:w="6398"/>
        <w:gridCol w:w="961"/>
      </w:tblGrid>
      <w:tr>
        <w:trPr>
          <w:cantSplit/>
          <w:tblHeader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SD-20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الحساب وIBAN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 (db/model/12-institutions-accounts-catalogs.model:386-392؛ db/model/16-letters-of-credit.model:186-188)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محمي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SD-21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‎BaselineValue‎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‎ReceivedValue‎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‎FieldKey‎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ولا تشفير (db/model/16-letters-of-credit.model:691-692؛ db/generated/tsql/001_tables.sql:6359-6360)؛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يكتبها (db/generated/tsql/007_table_grants.sql:405)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DR-46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IBAN المستفيد قد يُنسخ نصًا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SD-22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الفروق بمفاتيح الحقول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(db/model/16-letters-of-credit.model:493)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DR-46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SD-23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بمفاتيح الحقول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العمود سرّي (db/model/15-workflow-notifications.model:283)، والمقيّد مشفّر داخله بقاعدة تطبيق (BR-REQ-003)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محمي بقاعدة تطبيق فقط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SD-24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لقطات النموذج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‎SnapshotJson‎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‎AvailabilitySnapshotJson‎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سرّيان (db/model/15-workflow-notifications.model:469، :438)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يرث تشفير المقيّد إن نُسخ كما هو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SD-25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البند كما في الاتفاقية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وسم في 11 جدولًا يضيفها المولّد (tools/dbgen/dbgen.py:207-209؛ db/generated/tsql/001_tables.sql:3000، :3051، :3101)،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‎CandidateAOriginalText‎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‎CandidateBOriginalText‎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(db/model/13-facilities-pricing-terms.model:335، :341)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DR-31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SD-26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سمات الضمان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موسوم مقيّدًا ومحجوب عن التقارير (db/model/14-collateral-obligations-financials.model:32؛ db/generated/tsql/006_sensitive_columns.sql:32)، لكنه غير مشفّر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 (DR-08 مطبّق)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DFD-4: المفاتيح والنسخ الاحتياطية (V-07)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6957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SD-31: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المفتاح الرئيسي لا يغادر مخزنه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التطبيق يرسل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ويستلم المفتاح المفكوك. مكان المخزن ونوعه غير محسومين (docs/adr/0001-schema-work-on-linux.md:26؛ docs/20-database-design.md:183). يملكه DOC-S02.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إنشاء وتدوير وفشل فك يُسجَّل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‎sec.KeyEvent‎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وهو للإضافة فقط (db/model/10-platform.model:291-301؛ db/generated/tsql/005_delete_grants.sql:46).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SD-33: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النسخة الاحتياطية تحمل النص المشفّر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معًا، ولا تحمل المفتاح الرئيسي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(BR-PLT-015). البيانات السرّية غير المقيّدة نص صريح في النسخة ما دام TDE غير منفّذ (لا كائن TDE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SD-34: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مختومة من المفتاح الرئيسي لدى مسؤولَين مستقلين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(docs/10-detailed-analysis/10-m0-m1-platform-organization.md:624). الإجراء نفسه غير مكتوب (DOC-S02).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ويكتب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‎sec.TenantKey‎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(db/generated/tsql/007_table_grants.sql:50). تعديل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يعطّل فك التشفير؛ يعالجه DOC-S01.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النسخ الجانبية: الإثبات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3"/>
        <w:gridCol w:w="2404"/>
        <w:gridCol w:w="853"/>
        <w:gridCol w:w="2775"/>
        <w:gridCol w:w="853"/>
        <w:gridCol w:w="2126"/>
      </w:tblGrid>
      <w:tr>
        <w:trPr>
          <w:cantSplit/>
          <w:tblHeader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قد تحمله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المعالجة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مقارنة الشروط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‎lc.LcTermsComparisonLine.BaselineValue/ReceivedValue‎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 (DR-46)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فروق التعديل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‎lc.LcAmendment.ChangedFieldsJson‎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 (DR-46)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الاتفاقية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‎CandidateA/BOriginalText‎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وحقول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الحرة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حسابات وIBAN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DQ-F02-2 (DR-31)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الضريبي للشركة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وVatNumber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‎org.v_CompanyTaxIdentity‎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ضريبي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سرّي؛ لا نسخة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(حُذفت)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مغلقة (ADR 0011)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 (DR-25)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الحقل المخصص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‎pty.PartyCustomField.ValueText‎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(db/model/11-organization-party.model:396، :400)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غير مقيّدة وقناع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القيد يمنع اجتماع النص والمشفّر (:403)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يختار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للحقل المقيّد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ولقطاته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‎wfl.Request.FormDataJson‎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‎SnapshotJson‎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حقول مقيّدة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داخل JSON بقاعدة تطبيق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يمسح JSON بحثًا عن نمط IBAN ورقم هوية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البحث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‎wfl.Request.SearchText‎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(db/model/15-workflow-notifications.model:282)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مطبَّع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المقيّد لا يدخله (BR-REQ-003)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نفسه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‎aud.AuditLog.BeforeJson/AfterJson‎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(db/model/10-platform.model:315-316)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الكيان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التقنيع قاعدة تطبيق (FR-PLT-023)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DQ-F02-9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‎cfg.OutboxEvent.PayloadJson‎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(db/model/10-platform.model:537)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تطبيق (FR-PLT-042)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‎ntf.Notification.Body‎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‎PayloadJson‎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(db/model/15-workflow-notifications.model:609، :622)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الرسالة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مقيّد (FR-NTF-013؛ docs/10-detailed-analysis/13-m6-workflow-engine-notifications.md:690)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عناصر نائبة من قائمة بيضاء (db/model/15-workflow-notifications.model:571)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رسائل الأخطاء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‎cfg.OutboxEvent.LastError‎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‎cfg.JobRun.ErrorMessage‎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‎DetailJson‎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‎sec.UserToken.SendError‎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(db/model/10-platform.model:545، :564-565، :253)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استثناء قد يحوي قيمة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منقّح للرسائل قبل الكتابة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سجلات التطبيق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D-04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قيمة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«بلا أسرار» (docs/10-detailed-analysis/10-m0-m1-platform-organization.md:586)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المنقّح نفسه وفحص دوري (DOC-S12)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‎sec.LoginAttempt.LoginName‎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(db/model/10-platform.model:201)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شخص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DQ-F02-6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D-05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ما سبق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المقيّد مشفّر؛ الباقي صريح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(DOC-S02، DOC-S09)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الحذف والاحتفاظ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3903"/>
        <w:gridCol w:w="4984"/>
      </w:tblGrid>
      <w:tr>
        <w:trPr>
          <w:cantSplit/>
          <w:tblHeader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الفئة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الحذف اليوم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ولا تعديل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(db/static/020_roles_and_grants.sql:65؛ الاختبار T15)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المقترح 10 سنوات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(docs/10-detailed-analysis/10-m0-m1-platform-organization.md:616)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الهويات وصورها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صلاحية حذف (الجدول ليس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‎deletable‎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إخفاء الهوية بعد الاحتفاظ بموافقة (FR-PTY-029)؛ 5 سنوات مقترحة (docs/10-detailed-analysis/10-m0-m1-platform-organization.md:616)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المستندات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منطقي بسبب وصلاحية (BR-PLT-011)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الإتلاف الفعلي بسير الاحتفاظ (FR-PLT-040)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ومحاولات الدخول ورموز الاسترداد والدعوات وسجل كلمات المرور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الصف (db/generated/tsql/005_delete_grants.sql:11-15)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مدة محددة؛ الحذف يمحو دليل الدخول (DQ-F02-6؛ DOC-S01)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(db/generated/tsql/005_delete_grants.sql:17)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الأحداث الميتة تُفقد (DR-14)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المغلق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30 يومًا ثم قراءة فقط؛ لا إتلاف تلقائي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(BR-PLT-002)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الإتلاف بموافقة المشترك الخطية (FR-PLT-040)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المفاتيح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‎RETIRED‎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لا حذف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مفاتيح مشترك بعد الاحتفاظ يجعل بياناته المشفّرة غير مقروءة حتى في النسخ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(DOC-S02)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قواعد ملزمة للتنفيذ</w:t>
      </w:r>
      <w:bookmarkEnd w:id="1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تُكتب في عمود غير موسوم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أي عمود ينسخ قيمة حقل يأخذ أعلى تصنيف بين الحقول التي قد يحملها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التقنيع واحدة: خدمة التشفير والتقنيع المشتركة (FR-PLT-037). التدقيق والإشعار والتصدير والسجلات تستدعيها ولا تبني القناع بنفسها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في حمولة Outbox أو الإشعار أو البريد أو رابط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(FR-PLT-042، FR-NTF-013، FR-PLT-013).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كشف أو عرض صورة أو تصدير مقيّد يكتب حدثين: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‎aud.SensitiveAccessLog‎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(BR-PTY-009؛ db/model/10-platform.model:332).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رسالة الاستثناء تمر بمنقّح قبل أي عمود خطأ أو سجل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 آلي في CI يقارن كل عمود نصي أو JSON في جداول تنسخ قيم حقول بقائمة الأعمدة الموسومة، ويفشل عند نسخة بلا وسم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(DOC-B01).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القرارات المطلوبة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6"/>
        <w:gridCol w:w="2932"/>
        <w:gridCol w:w="3334"/>
        <w:gridCol w:w="1066"/>
        <w:gridCol w:w="1466"/>
      </w:tblGrid>
      <w:tr>
        <w:trPr>
          <w:cantSplit/>
          <w:tblHeader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تُعامل القيم المقيّدة في المقارنة وفروق التعديل؟ (DR-46)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(O-15، ADR 0011) بصيغة DQ-F12-11: لا يُنسخ شيء، وقيد يمنع قيمة IBAN في سطور المقارنة، والأعمدة الثلاثة موسومة سرّية؛ خدمة المقارنة قبل S3. المقترح الأصلي: لا تُنسخ القيمة: يُخزَّن القناع وHMAC للحقل المقيّد فقط؛ ويوسم العمودان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‎sens=confidential‎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الأقل. بديل في DOC-F12 §8.3 (DQ-F12-11): لا نسخ للقناع ولا للبصمة لأنهما مقيّدان، والحكم من بصمة المصدر؛ يُحسمان معًا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M7 وM8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 (S4)، DOC-S06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DQ-F02-2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يُحمى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والنص الحر في جداول المصدر؟ (DR-31)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جزئيًا (ADR 0011): الوسم السرّي ومنع القراءة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النص الأصلي ونصي التعارض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‎ClauseText‎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الحجب عند الإدخال قبل S2 (DQ-S06-7). المقترح: وسم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‎sens=confidential‎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وDENY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حجب نمط IBAN ورقم الحساب عند الإدخال؛ الأصل يبقى في مخزن المستندات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M5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(إدخال الاتفاقيات)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DQ-F02-3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يُحجب السرّي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كالمقيّد؟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للبيانات الشخصية السرّية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التقارير تقرأها عبر عروض مقنَّعة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معماري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DOC-S06، DQ-F01-5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DQ-F02-4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يقرأ التطبيق سر TOTP ورموز الاسترداد قبل الربط؟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‎MfaLastUsedStep‎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لجلسة صالحة غير مكتملة MFA فقط، وإجراء يستهلك رمز استرداد بتجزئته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FR-PLT-011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DQ-F02-5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يحذف ملف حزمة التصدير بعد انتهائها؟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يومية تتلف الملف عند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وتسجّل الحدث؛ الحزمة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‎RESTRICTED‎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شملت المقيّد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مع مسؤول 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 (S5)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DQ-F02-6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مدة الاحتفاظ ببيانات التتبع (IP، وكيل المستخدم، البريد المكتوب) وبمحاولات الدخول؟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 يومًا لمحاولات الدخول والجلسات المنتهية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بحذف بمهمة لا بـ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الأثر الدائم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حماية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DOC-S07، DOC-S12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DQ-F02-7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خوارزمية تجزئة رموز الاسترداد؟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HMAC-SHA-256 بمفتاح منصة سري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أو Argon2id إن كان الرمز قصيرًا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 (DR-25)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حُذف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ويُقرأ الرقمان من الهوية الضريبية الحالية للمرآة في دولة التأسيس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‎org.v_CompanyTaxIdentity‎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المقترح: يُحذف ويُقرأ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عبر عرض؛ وإن بقي يوسم سرّيًا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DQ-F02-9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يُفرض تقنيع التدقيق في مكان واحد؟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مُسلسِل واحد للتدقيق يستبدل كل عمود موسوم مقيّدًا بقناعه، تولّد قائمته من النموذج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FR-PLT-023، DOC-B01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تعارضات وفجوات في المصادر</w:t>
      </w:r>
      <w:bookmarkEnd w:id="1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docs/20-database-design.md:166 يجعل السبب إلزاميًا لكل كشف وتصدير، وQ-PTY-05 (docs/10-detailed-analysis/10-m0-m1-platform-organization.md:639) لا يطلبه، والعمود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اختياري (db/model/10-platform.model:344). سجلته DR-12.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docs/20-database-design.md:218 يقول إن الأرقام الكاملة لمدير الخزينة و«موظف التسهيلات»، وBR-PLT-019 (docs/10-detailed-analysis/10-m0-m1-platform-organization.md:245) يقفلها على TM و«مسؤول التسهيلات (FO)».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مراجعة التصميم تشير إلى db/model/16 السطور 686-687 و490 (docs/review/design-review-2026-10-11.json، DR-46)؛ الأعمدة اليوم في db/model/16-letters-of-credit.model:691-692 و:493.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db/model/10-platform.model:199 يقول إن الأثر الدائم للدخول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لكن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‎sec.usp_StartSession‎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‎sec.LoginAttempt‎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 (db/static/030_session_context.sql:124-129)،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يحذف منه (db/generated/tsql/005_delete_grants.sql:11). سجّلته O-24 (tools/dbgen/erd_open_items.py:153).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docs/10-detailed-analysis/10-m0-m1-platform-organization.md:582 يذكر TDE للقاعدة، ولا كائن TDE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ليس تعارضًا في القرار، لكنه غير منفّذ قبل البيانات الحقيقية (docs/adr/0001-schema-work-on-linux.md:26).</w:t>
      </w:r>
    </w:p>
    <w:p>
      <w:pPr>
        <w:bidi/>
        <w:spacing w:after="6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التتبع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"/>
        <w:gridCol w:w="1856"/>
        <w:gridCol w:w="6964"/>
      </w:tblGrid>
      <w:tr>
        <w:trPr>
          <w:cantSplit/>
          <w:tblHeader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V-01 إلى V-03، SD-01 إلى SD-04، SD-07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FR-PLT-014، ADR 0002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db/static/030_session_context.sql:23-227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V-04، V-05، SD-05، SD-06، DQ-F02-4، DQ-F02-7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BR-PLT-006، O-24 (erd_open_items)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V-06، SD-08، SD-09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V-07، §7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BR-PLT-015، Q-PLT-12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V-08، V-09، §5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 إلى FR-PTY-009، BR-PTY-002، BR-PTY-008، BR-PTY-009، FR-PLT-030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db/model/11-organization-party.model:288-305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V-10، §6، DQ-F02-1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FR-REQ-024، FR-LCT-031، DR-46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db/model/16-letters-of-credit.model:186-188، :688-697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SD-25، DQ-F02-2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DR-31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tools/dbgen/dbgen.py:207-209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SD-26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DR-08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db/model/14-collateral-obligations-financials.model:32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R7، T21، T35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db/generated/tsql/006_sensitive_columns.sql:7-35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V-15، §8 التدقيق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FR-PLT-022، FR-PLT-023، BR-PLT-009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db/model/10-platform.model:304-355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V-17، DQ-F02-5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BR-PLT-016، DR-13، DR-18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db/model/10-platform.model:502-521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Outbox والإشعار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FR-NTF-013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FR-PTY-029، BR-PLT-002، Q-PLT-04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docs/10-detailed-analysis/10-m0-m1-platform-organization.md:616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DR-25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db/model/11-organization-party.model:26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DOC-F02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aacc15180b60545c1f08c38716e3d8c0225de17.png"/><Relationship Id="rId10" Type="http://schemas.openxmlformats.org/officeDocument/2006/relationships/image" Target="media/77781265c6f36d73134e8ddd5c553c5e6abbe968.png"/><Relationship Id="rId11" Type="http://schemas.openxmlformats.org/officeDocument/2006/relationships/image" Target="media/423d6859a0059665896a99b19d3c03b583d843e6.png"/><Relationship Id="rId12" Type="http://schemas.openxmlformats.org/officeDocument/2006/relationships/image" Target="media/4dd61323a7c790a6fbb6a5ee822072ac0d27f09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DOC-F02 — تدفقات البيانات الحساسة (DFD المستوى 1)</dc:title>
  <dc:creator>Claude</dc:creator>
  <dc:description>BankFas database design document</dc:description>
  <cp:lastModifiedBy>Un-named</cp:lastModifiedBy>
  <cp:revision>1</cp:revision>
  <dcterms:created xsi:type="dcterms:W3CDTF">2026-10-13T19:38:53.843Z</dcterms:created>
  <dcterms:modified xsi:type="dcterms:W3CDTF">2026-10-13T19:38:53.844Z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