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ونسخته الثانية ADR 0018)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(237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487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237</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3,946 مُعرَّفة في النماذج + الأعمدة الآلية = </w:t>
            </w:r>
            <w:r>
              <w:rPr>
                <w:rFonts w:ascii="Arial" w:cs="Arial" w:eastAsia="Arial" w:hAnsi="Arial"/>
                <w:b/>
                <w:bCs/>
                <w:sz w:val="18"/>
                <w:szCs w:val="18"/>
                <w:rtl/>
              </w:rPr>
              <w:t xml:space="preserve">4,536</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884</w:t>
            </w:r>
            <w:r>
              <w:rPr>
                <w:rFonts w:ascii="Arial" w:cs="Arial" w:eastAsia="Arial" w:hAnsi="Arial"/>
                <w:b w:val="false"/>
                <w:bCs w:val="false"/>
                <w:sz w:val="18"/>
                <w:szCs w:val="18"/>
                <w:rtl/>
              </w:rPr>
              <w:t xml:space="preserve"> = 204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564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+ 116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779 غير مجمّع (229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1,419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485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+ 148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 (199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الـ35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362075"/>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362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69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573 مفهرسًا و108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Facility, FacilityRevision, FacilityDocument, FacilityLender, OutstandingSnapshot,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الجداول الأربعة والثلاثون للتقييم الائتماني (ADR 0017 و0018):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و0018،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‎IndustryScenario‎</w:t>
            </w:r>
            <w:r>
              <w:rPr>
                <w:rFonts w:ascii="Arial" w:cs="Arial" w:eastAsia="Arial" w:hAnsi="Arial"/>
                <w:b w:val="false"/>
                <w:bCs w:val="false"/>
                <w:sz w:val="18"/>
                <w:szCs w:val="18"/>
                <w:rtl/>
              </w:rPr>
              <w:t xml:space="preserve"> (61 نشاطًا بمدى الدرجة المتوقع وسيناريو السوق الراكد والأزمة)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والسيناريوهان،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94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وثلاث بطاقات قطاعية معتمدة بأوزانها وشبكاتها و134 قاعدة بنود لكل منها و44 تعديلًا، و61 نشاطًا بسيناريوهاته، و15 فئة منتجات، و39 علاجًا، و10 خطط تقوية، و67 نصًا للتقرير، ADR 0017 و0018).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237 جدولًا / 3,946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237 جدولًا، 314 منحة مولّدة، 122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573 مفهرسًا، 108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15 (CA1–CA15، ADR 0017 و0018؛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الخمس والثلاثين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94 (47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و0018،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مخاطر الائتمان في البنك من المعايرة قبل استعمال الدرجة في قرار؛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394afd22ce9e6c7945c20880b9406609bf5a77f0.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2026-10-19T17:42:35.460Z</dcterms:created>
  <dcterms:modified xsi:type="dcterms:W3CDTF">2026-10-19T17:42:35.460Z</dcterms:modified>
</cp:coreProperties>
</file>

<file path=docProps/custom.xml><?xml version="1.0" encoding="utf-8"?>
<Properties xmlns="http://schemas.openxmlformats.org/officeDocument/2006/custom-properties" xmlns:vt="http://schemas.openxmlformats.org/officeDocument/2006/docPropsVTypes"/>
</file>