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الثاني)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7976"/>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8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2026-10-19 (يحل محل 1.0 المؤرخ 2026-10-18)</w:t>
            </w:r>
          </w:p>
        </w:tc>
      </w:tr>
      <w:tr>
        <w:trPr>
          <w:cantSplit/>
        </w:trPr>
        <w:tc>
          <w:tcPr>
            <w:tcW w:type="dxa" w:w="188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تنتظر اعتماد المالك وتحقق إدارة مخاطر الائتمان في البنك قبل أي قرار ائتماني (§20)</w:t>
            </w:r>
          </w:p>
        </w:tc>
      </w:tr>
      <w:tr>
        <w:trPr>
          <w:cantSplit/>
        </w:trPr>
        <w:tc>
          <w:tcPr>
            <w:tcW w:type="dxa" w:w="188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7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w:t>
            </w:r>
          </w:p>
        </w:tc>
      </w:tr>
      <w:tr>
        <w:trPr>
          <w:cantSplit/>
        </w:trPr>
        <w:tc>
          <w:tcPr>
            <w:tcW w:type="dxa" w:w="188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7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88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7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88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7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(94 حالة، الخطوة 19d) يقارن المحرك بالمرجع رقمًا برقم؛ واختبارات CA1 إلى CA15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35 حالة مراجعة (الخطوة 3)</w:t>
            </w:r>
          </w:p>
        </w:tc>
      </w:tr>
      <w:tr>
        <w:trPr>
          <w:cantSplit/>
        </w:trPr>
        <w:tc>
          <w:tcPr>
            <w:tcW w:type="dxa" w:w="188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7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القطاعات</w:t>
        </w:r>
      </w:hyperlink>
    </w:p>
    <w:p>
      <w:pPr>
        <w:bidi/>
        <w:spacing w:after="50" w:before="0"/>
        <w:ind w:left="0"/>
      </w:pPr>
      <w:hyperlink w:history="1" w:anchor="_sec19">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23">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24">
        <w:r>
          <w:rPr>
            <w:rFonts w:ascii="Arial" w:cs="Arial" w:eastAsia="Arial" w:hAnsi="Arial"/>
            <w:b/>
            <w:bCs/>
            <w:color w:val="1F3A5F"/>
            <w:sz w:val="20"/>
            <w:szCs w:val="20"/>
            <w:rtl/>
          </w:rPr>
          <w:t xml:space="preserve">10. السيولة</w:t>
        </w:r>
      </w:hyperlink>
    </w:p>
    <w:p>
      <w:pPr>
        <w:bidi/>
        <w:spacing w:after="50" w:before="0"/>
        <w:ind w:left="0"/>
      </w:pPr>
      <w:hyperlink w:history="1" w:anchor="_sec25">
        <w:r>
          <w:rPr>
            <w:rFonts w:ascii="Arial" w:cs="Arial" w:eastAsia="Arial" w:hAnsi="Arial"/>
            <w:b/>
            <w:bCs/>
            <w:color w:val="1F3A5F"/>
            <w:sz w:val="20"/>
            <w:szCs w:val="20"/>
            <w:rtl/>
          </w:rPr>
          <w:t xml:space="preserve">11. درجة التسهيلات والضمانات</w:t>
        </w:r>
      </w:hyperlink>
    </w:p>
    <w:p>
      <w:pPr>
        <w:bidi/>
        <w:spacing w:after="50" w:before="0"/>
        <w:ind w:left="0"/>
      </w:pPr>
      <w:hyperlink w:history="1" w:anchor="_sec26">
        <w:r>
          <w:rPr>
            <w:rFonts w:ascii="Arial" w:cs="Arial" w:eastAsia="Arial" w:hAnsi="Arial"/>
            <w:b/>
            <w:bCs/>
            <w:color w:val="1F3A5F"/>
            <w:sz w:val="20"/>
            <w:szCs w:val="20"/>
            <w:rtl/>
          </w:rPr>
          <w:t xml:space="preserve">12. تقرير سمة</w:t>
        </w:r>
      </w:hyperlink>
    </w:p>
    <w:p>
      <w:pPr>
        <w:bidi/>
        <w:spacing w:after="50" w:before="0"/>
        <w:ind w:left="0"/>
      </w:pPr>
      <w:hyperlink w:history="1" w:anchor="_sec27">
        <w:r>
          <w:rPr>
            <w:rFonts w:ascii="Arial" w:cs="Arial" w:eastAsia="Arial" w:hAnsi="Arial"/>
            <w:b/>
            <w:bCs/>
            <w:color w:val="1F3A5F"/>
            <w:sz w:val="20"/>
            <w:szCs w:val="20"/>
            <w:rtl/>
          </w:rPr>
          <w:t xml:space="preserve">13. النشاط والقطاع والمنتجات</w:t>
        </w:r>
      </w:hyperlink>
    </w:p>
    <w:p>
      <w:pPr>
        <w:bidi/>
        <w:spacing w:after="50" w:before="0"/>
        <w:ind w:left="0"/>
      </w:pPr>
      <w:hyperlink w:history="1" w:anchor="_sec28">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29">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32">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33">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34">
        <w:r>
          <w:rPr>
            <w:rFonts w:ascii="Arial" w:cs="Arial" w:eastAsia="Arial" w:hAnsi="Arial"/>
            <w:b/>
            <w:bCs/>
            <w:color w:val="1F3A5F"/>
            <w:sz w:val="20"/>
            <w:szCs w:val="20"/>
            <w:rtl/>
          </w:rPr>
          <w:t xml:space="preserve">18. التقرير</w:t>
        </w:r>
      </w:hyperlink>
    </w:p>
    <w:p>
      <w:pPr>
        <w:bidi/>
        <w:spacing w:after="50" w:before="0"/>
        <w:ind w:left="0"/>
      </w:pPr>
      <w:hyperlink w:history="1" w:anchor="_sec35">
        <w:r>
          <w:rPr>
            <w:rFonts w:ascii="Arial" w:cs="Arial" w:eastAsia="Arial" w:hAnsi="Arial"/>
            <w:b/>
            <w:bCs/>
            <w:color w:val="1F3A5F"/>
            <w:sz w:val="20"/>
            <w:szCs w:val="20"/>
            <w:rtl/>
          </w:rPr>
          <w:t xml:space="preserve">19. مثال محسوب</w:t>
        </w:r>
      </w:hyperlink>
    </w:p>
    <w:p>
      <w:pPr>
        <w:bidi/>
        <w:spacing w:after="50" w:before="0"/>
        <w:ind w:left="0"/>
      </w:pPr>
      <w:hyperlink w:history="1" w:anchor="_sec36">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37">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38">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39">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40">
        <w:r>
          <w:rPr>
            <w:rFonts w:ascii="Arial" w:cs="Arial" w:eastAsia="Arial" w:hAnsi="Arial"/>
            <w:b/>
            <w:bCs/>
            <w:color w:val="1F3A5F"/>
            <w:sz w:val="20"/>
            <w:szCs w:val="20"/>
            <w:rtl/>
          </w:rPr>
          <w:t xml:space="preserve">24. أسئلة للمالك</w:t>
        </w:r>
      </w:hyperlink>
    </w:p>
    <w:p>
      <w:pPr>
        <w:bidi/>
        <w:spacing w:after="50" w:before="0"/>
        <w:ind w:left="0"/>
      </w:pPr>
      <w:hyperlink w:history="1" w:anchor="_sec41">
        <w:r>
          <w:rPr>
            <w:rFonts w:ascii="Arial" w:cs="Arial" w:eastAsia="Arial" w:hAnsi="Arial"/>
            <w:b/>
            <w:bCs/>
            <w:color w:val="1F3A5F"/>
            <w:sz w:val="20"/>
            <w:szCs w:val="20"/>
            <w:rtl/>
          </w:rPr>
          <w:t xml:space="preserve">25. حدود معروفة</w:t>
        </w:r>
      </w:hyperlink>
    </w:p>
    <w:p>
      <w:pPr>
        <w:bidi/>
        <w:spacing w:after="50" w:before="0"/>
        <w:ind w:left="0"/>
      </w:pPr>
      <w:hyperlink w:history="1" w:anchor="_sec42">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بالبنوك. فالتقييم يخبر الشركة </w:t>
      </w:r>
      <w:r>
        <w:rPr>
          <w:rFonts w:ascii="Arial" w:cs="Arial" w:eastAsia="Arial" w:hAnsi="Arial"/>
          <w:b/>
          <w:bCs/>
          <w:sz w:val="21"/>
          <w:szCs w:val="21"/>
          <w:rtl/>
        </w:rPr>
        <w:t xml:space="preserve">كيف سيقرأ محلل ائتمان في البنك قوائمها</w:t>
      </w:r>
      <w:r>
        <w:rPr>
          <w:rFonts w:ascii="Arial" w:cs="Arial" w:eastAsia="Arial" w:hAnsi="Arial"/>
          <w:b w:val="false"/>
          <w:bCs w:val="false"/>
          <w:sz w:val="21"/>
          <w:szCs w:val="21"/>
          <w:rtl/>
        </w:rPr>
        <w:t xml:space="preserve"> على طريقة وكالات التصنيف، ولماذا، وما الذي تستطيع فعله لتحسين قراءتها. وعند اعتماد قائمة مالية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المحلل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والمنتجات:</w:t>
      </w:r>
      <w:r>
        <w:rPr>
          <w:rFonts w:ascii="Arial" w:cs="Arial" w:eastAsia="Arial" w:hAnsi="Arial"/>
          <w:b w:val="false"/>
          <w:bCs w:val="false"/>
          <w:sz w:val="21"/>
          <w:szCs w:val="21"/>
          <w:rtl/>
        </w:rPr>
        <w:t xml:space="preserve"> درجة القطاع المتوقعة، وموقع الشركة منها، وجودة تدفقات منتجاتها، وسيولة مخزونها في الركود والأزمات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ركود السوق وفي أزمة مالية،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w:t>
      </w:r>
      <w:r>
        <w:rPr>
          <w:rFonts w:ascii="Arial" w:cs="Arial" w:eastAsia="Arial" w:hAnsi="Arial"/>
          <w:b/>
          <w:bCs/>
          <w:sz w:val="21"/>
          <w:szCs w:val="21"/>
          <w:rtl/>
        </w:rPr>
        <w:t xml:space="preserve">أما الحدود والأوزان والقواعد فمعايرة بالخبرة لهذا النظام وللسوق السعودية، لا منقولة من منهجية موديز أو فيتش</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6"/>
        <w:gridCol w:w="4515"/>
        <w:gridCol w:w="1573"/>
      </w:tblGrid>
      <w:tr>
        <w:trPr>
          <w:cantSplit/>
          <w:tblHeader/>
        </w:trPr>
        <w:tc>
          <w:tcPr>
            <w:tcW w:type="dxa" w:w="3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المحلل، والتسهيلات والضمانات والتعهدات في المنصة، والكفلاء، وتقرير سمة، والنشاط وخطوط المنتجات</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الركود والأزمة، وطبقة الصمود</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المحلل؛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المحلل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المحلل: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يحدد ملف النشاط: البطاقة المقترحة، ومخاطر القطاع (1 إلى 5) والدورية، والمدى المتوقع لشركة متوسطة فيه، والسقف إن وُجد، والإفصاحات الإضافية، والفئات المعتادة للمنتجات، وسيناريوهات النشاط (§13، §14).</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وتغيّر الإيرادات وخسارة المخزون في السيناريوهات.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المحلل،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المحلل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القطاعات</w:t>
      </w:r>
      <w:bookmarkEnd w:id="14"/>
    </w:p>
    <w:p>
      <w:pPr>
        <w:bidi/>
        <w:spacing w:after="110" w:before="0" w:line="312"/>
      </w:pPr>
      <w:r>
        <w:rPr>
          <w:rFonts w:ascii="Arial" w:cs="Arial" w:eastAsia="Arial" w:hAnsi="Arial"/>
          <w:b w:val="false"/>
          <w:bCs w:val="false"/>
          <w:sz w:val="21"/>
          <w:szCs w:val="21"/>
          <w:rtl/>
        </w:rPr>
        <w:t xml:space="preserve">ثلاث بطاقات بعوامل البطاقات المنشورة لدى وكالات التصنيف للشركات غير المالية: الحجم، وملف الأعمال، والربحية والكفاءة، والرفع والتغطية، ورأس المال والملاءة، والسيولة والتمويل، وجودة الميزانية، والسياسة المالية. والأوزان والحدود معايرة هذا النظام. والبطاقة تُختار لكل تقييم، ويقترحها نشاط الشركة.</w:t>
      </w:r>
    </w:p>
    <w:p>
      <w:pPr>
        <w:pStyle w:val="Heading2"/>
        <w:bidi/>
      </w:pPr>
      <w:bookmarkStart w:name="_sec15" w:id="15"/>
      <w:r>
        <w:rPr>
          <w:rFonts w:ascii="Arial" w:cs="Arial" w:eastAsia="Arial" w:hAnsi="Arial"/>
          <w:b/>
          <w:bCs/>
          <w:color w:val="2B5C8A"/>
          <w:sz w:val="26"/>
          <w:szCs w:val="26"/>
          <w:rtl/>
        </w:rPr>
        <w:t xml:space="preserve">7.1 الشركات العامة (الصناعة والخدمات)</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
        <w:gridCol w:w="2285"/>
        <w:gridCol w:w="679"/>
        <w:gridCol w:w="679"/>
        <w:gridCol w:w="679"/>
        <w:gridCol w:w="679"/>
        <w:gridCol w:w="679"/>
        <w:gridCol w:w="679"/>
        <w:gridCol w:w="679"/>
        <w:gridCol w:w="679"/>
        <w:gridCol w:w="679"/>
        <w:gridCol w:w="679"/>
      </w:tblGrid>
      <w:tr>
        <w:trPr>
          <w:cantSplit/>
          <w:tblHeader/>
        </w:trPr>
        <w:tc>
          <w:tcPr>
            <w:tcW w:type="dxa" w:w="7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75,000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
        <w:gridCol w:w="2285"/>
        <w:gridCol w:w="679"/>
        <w:gridCol w:w="679"/>
        <w:gridCol w:w="679"/>
        <w:gridCol w:w="679"/>
        <w:gridCol w:w="679"/>
        <w:gridCol w:w="679"/>
        <w:gridCol w:w="679"/>
        <w:gridCol w:w="679"/>
        <w:gridCol w:w="679"/>
        <w:gridCol w:w="679"/>
      </w:tblGrid>
      <w:tr>
        <w:trPr>
          <w:cantSplit/>
          <w:tblHeader/>
        </w:trPr>
        <w:tc>
          <w:tcPr>
            <w:tcW w:type="dxa" w:w="7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75,000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العاملان النوعيان وعواملهما الفرعية</w:t>
      </w:r>
      <w:bookmarkEnd w:id="18"/>
    </w:p>
    <w:p>
      <w:pPr>
        <w:bidi/>
        <w:spacing w:after="110" w:before="0" w:line="312"/>
      </w:pPr>
      <w:r>
        <w:rPr>
          <w:rFonts w:ascii="Arial" w:cs="Arial" w:eastAsia="Arial" w:hAnsi="Arial"/>
          <w:b w:val="false"/>
          <w:bCs w:val="false"/>
          <w:sz w:val="21"/>
          <w:szCs w:val="21"/>
          <w:rtl/>
        </w:rPr>
        <w:t xml:space="preserve">يعطي المحلل العامل النوعي درجةً مباشرة، أو يدرّج ثلاثة من عوامله الفرعية فأكثر فيأخذ متوسط منتصفاتها. ولملف الأعمال عامل فرعي محسوب من النشاط: مخاطر القطاع 1 إلى 5 تعطي 6 و9 و12 و14 و16، والدورية المرتفعة درجة أسوأ والمنخفضة درجة أفضل، ويدخل المتوسط. وكل درجة نوعية تبعد عن الدرجة المالية أكثر من ثلاث درجات تحتاج مستندًا، لأن الشركة تقيّم نفسها.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9"/>
        <w:gridCol w:w="938"/>
        <w:gridCol w:w="2269"/>
        <w:gridCol w:w="1016"/>
        <w:gridCol w:w="938"/>
        <w:gridCol w:w="938"/>
        <w:gridCol w:w="938"/>
        <w:gridCol w:w="938"/>
      </w:tblGrid>
      <w:tr>
        <w:trPr>
          <w:cantSplit/>
          <w:tblHeader/>
        </w:trPr>
        <w:tc>
          <w:tcPr>
            <w:tcW w:type="dxa" w:w="1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8. سجل بنود الميزانية</w:t>
      </w:r>
      <w:bookmarkEnd w:id="19"/>
    </w:p>
    <w:p>
      <w:pPr>
        <w:bidi/>
        <w:spacing w:after="110" w:before="0" w:line="312"/>
      </w:pPr>
      <w:r>
        <w:rPr>
          <w:rFonts w:ascii="Arial" w:cs="Arial" w:eastAsia="Arial" w:hAnsi="Arial"/>
          <w:b w:val="false"/>
          <w:bCs w:val="false"/>
          <w:sz w:val="21"/>
          <w:szCs w:val="21"/>
          <w:rtl/>
        </w:rPr>
        <w:t xml:space="preserve">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20" w:id="20"/>
      <w:r>
        <w:rPr>
          <w:rFonts w:ascii="Arial" w:cs="Arial" w:eastAsia="Arial" w:hAnsi="Arial"/>
          <w:b/>
          <w:bCs/>
          <w:color w:val="2B5C8A"/>
          <w:sz w:val="26"/>
          <w:szCs w:val="26"/>
          <w:rtl/>
        </w:rPr>
        <w:t xml:space="preserve">8.1 الشركات العامة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8.2 التجارة والتوزيع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8.3 المقاولات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التعديلات وترتيبها</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فالشركات المتوسطة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التصنيف السيادي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التصنيف السيادي للمملكة العربية السعودية Aa3 (موديز، نوفمبر 2024؛ يُتحقق منه دوريًا)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السيولة</w:t>
      </w:r>
      <w:bookmarkEnd w:id="24"/>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يُسحب جزء من الخطوط قصيرة الأجل غير الملتزمة، فينخفض التجديد (§14).</w:t>
      </w:r>
    </w:p>
    <w:p>
      <w:pPr>
        <w:pStyle w:val="Heading1"/>
        <w:bidi/>
      </w:pPr>
      <w:bookmarkStart w:name="_sec25" w:id="25"/>
      <w:r>
        <w:rPr>
          <w:rFonts w:ascii="Arial" w:cs="Arial" w:eastAsia="Arial" w:hAnsi="Arial"/>
          <w:b/>
          <w:bCs/>
          <w:color w:val="1F3A5F"/>
          <w:sz w:val="32"/>
          <w:szCs w:val="32"/>
          <w:rtl/>
        </w:rPr>
        <w:t xml:space="preserve">11. درجة التسهيلات والضمانات</w:t>
      </w:r>
      <w:bookmarkEnd w:id="25"/>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26" w:id="26"/>
      <w:r>
        <w:rPr>
          <w:rFonts w:ascii="Arial" w:cs="Arial" w:eastAsia="Arial" w:hAnsi="Arial"/>
          <w:b/>
          <w:bCs/>
          <w:color w:val="1F3A5F"/>
          <w:sz w:val="32"/>
          <w:szCs w:val="32"/>
          <w:rtl/>
        </w:rPr>
        <w:t xml:space="preserve">12. تقرير سمة</w:t>
      </w:r>
      <w:bookmarkEnd w:id="26"/>
    </w:p>
    <w:p>
      <w:pPr>
        <w:bidi/>
        <w:spacing w:after="110" w:before="0" w:line="312"/>
      </w:pPr>
      <w:r>
        <w:rPr>
          <w:rFonts w:ascii="Arial" w:cs="Arial" w:eastAsia="Arial" w:hAnsi="Arial"/>
          <w:b w:val="false"/>
          <w:bCs w:val="false"/>
          <w:sz w:val="21"/>
          <w:szCs w:val="21"/>
          <w:rtl/>
        </w:rPr>
        <w:t xml:space="preserve">يُدخل المحلل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27" w:id="27"/>
      <w:r>
        <w:rPr>
          <w:rFonts w:ascii="Arial" w:cs="Arial" w:eastAsia="Arial" w:hAnsi="Arial"/>
          <w:b/>
          <w:bCs/>
          <w:color w:val="1F3A5F"/>
          <w:sz w:val="32"/>
          <w:szCs w:val="32"/>
          <w:rtl/>
        </w:rPr>
        <w:t xml:space="preserve">13. النشاط والقطاع والمنتجات</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64"/>
        <w:gridCol w:w="989"/>
        <w:gridCol w:w="1319"/>
        <w:gridCol w:w="764"/>
        <w:gridCol w:w="764"/>
        <w:gridCol w:w="1121"/>
        <w:gridCol w:w="764"/>
        <w:gridCol w:w="1851"/>
        <w:gridCol w:w="764"/>
        <w:gridCol w:w="764"/>
      </w:tblGrid>
      <w:tr>
        <w:trPr>
          <w:cantSplit/>
          <w:tblHeader/>
        </w:trPr>
        <w:tc>
          <w:tcPr>
            <w:tcW w:type="dxa" w:w="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1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القطاع (1–5)</w:t>
            </w:r>
          </w:p>
        </w:tc>
        <w:tc>
          <w:tcPr>
            <w:tcW w:type="dxa" w:w="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المدى المتوقع (أفضل/معتاد/أسوأ)</w:t>
            </w:r>
          </w:p>
        </w:tc>
        <w:tc>
          <w:tcPr>
            <w:tcW w:type="dxa" w:w="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فئات المنتجات</w:t>
            </w:r>
          </w:p>
        </w:tc>
        <w:tc>
          <w:tcPr>
            <w:tcW w:type="dxa" w:w="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 Ba2 / B2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‎PERISHABLE‎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-3 نقطة، +15 يومًا، سحب 15%</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-5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 B1 / B3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 Ba1 / B1</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+25 يومًا، سحب 20%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+25 يومًا، سحب 20%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 Ba1 / B1</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‎PERISHABLE‎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-1 نقطة، +10 يومًا، سحب 10%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-2 نقطة، +25 يومًا، سحب 25%،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 Ba1 / B1</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-1 نقطة، +10 يومًا، سحب 10%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-2 نقطة، +25 يومًا، سحب 25%،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 B1 / B3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 B1 / B3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 Ba3 / B3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+25 يومًا، سحب 20%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 B1 / B3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 Ba1 / B1</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-3 نقطة، +25 يومًا، سحب 20%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-6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 Ba1 / B2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-3 نقطة، +25 يومًا، سحب 20%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-6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 / Baa3 / Ba3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-1 نقطة، +20 يومًا، سحب 10%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-2 نقطة، +45 يومًا، سحب 25%،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 Ba1 / B2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+25 يومًا، سحب 20%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Ba3 / B3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-4 نقطة، +25 يومًا، سحب 20%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-8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+25 يومًا، سحب 20%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 Ba1 / B1</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‎SPARE_PARTS‎</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+25 يومًا، سحب 20%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 Ba3 / B3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+25 يومًا، سحب 20%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 B1 / B3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+25 يومًا، سحب 20%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‎SPARE_PARTS‎</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 / Baa1 / Ba1</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-1 نقطة، +5 يومًا، سحب 10%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-2 نقطة، +15 يومًا، سحب 25%،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 / Baa2 / Ba2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-1 نقطة، +10 يومًا، سحب 10%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-2 نقطة، +25 يومًا، سحب 25%،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 Ba1 / B1</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-1 نقطة، +20 يومًا، سحب 10%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-2 نقطة، +50 يومًا، سحب 25%،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Ba3 / B3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-2.5 نقطة، +45 يومًا، سحب 20%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+90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Ba3 / B3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+45 يومًا، سحب 20%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+90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 B1 / Caa1</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+50 يومًا، سحب 20%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+100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 Ba2 / B2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‎SPARE_PARTS‎</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+25 يومًا، سحب 20%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 Ba2 / B2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‎PERISHABLE‎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-1 نقطة، +10 يومًا، سحب 10%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-2 نقطة، +25 يومًا، سحب 25%،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 Ba1 / B1</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-1 نقطة، +25 يومًا، سحب 10%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-2 نقطة، +60 يومًا، سحب 25%،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 B1 / B3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‎SPARE_PARTS‎</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+25 يومًا، سحب 20%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 Ba3 / B3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-3 نقطة، +25 يومًا، سحب 20%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-6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 Ba3 / B3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+35 يومًا، سحب 20%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+75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 Ba1 / B1</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‎PERISHABLE‎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 نقطة، +0 يومًا، سحب 10%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 نقطة، +0 يومًا، سحب 25%،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Ba3 / B3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‎FASHION_SEASONAL‎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+0 يومًا، سحب 20%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Ba3 / B3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+25 يومًا، سحب 20%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 Ba1 / B1</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Ba3 / B3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-2.5 نقطة، +0 يومًا، سحب 20%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-5 نقطة، +0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 Ba3 / B3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 / Baa2 / Ba2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-1 نقطة، +10 يومًا، سحب 10%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-2 نقطة، +25 يومًا، سحب 25%،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 Ba2 / B2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‎SERVICES_RECURRING‎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+30 يومًا، سحب 15%</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+70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Ba3 / B3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-2.5 نقطة، +25 يومًا، سحب 20%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-8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+30 يومًا، سحب 15%</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+70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 B1 / B3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-2.5 نقطة، +25 يومًا، سحب 20%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-5 نقطة، +60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+15 يومًا، سحب 15%</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+35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 Ba3 / B3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-2 نقطة، +25 يومًا، سحب 15%</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-4 نقطة، +60 يومًا، سحب 35%،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 Ba3 / B2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-1 نقطة، +10 يومًا، سحب 10%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-2 نقطة، +25 يومًا، سحب 25%،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 Ba2 / B2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-1 نقطة، +30 يومًا، سحب 10%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-2 نقطة، +75 يومًا، سحب 25%،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 Ba1 / B1</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-1 نقطة، +10 يومًا، سحب 10%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-2 نقطة، +25 يومًا، سحب 25%، +250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 / Baa3 / Ba3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-1 نقطة، +25 يومًا، سحب 10%</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-2 نقطة، +60 يومًا، سحب 25%، +250 نقطة أساس</w:t>
            </w:r>
          </w:p>
        </w:tc>
      </w:tr>
      <w:tr>
        <w:trPr>
          <w:cantSplit/>
        </w:trPr>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 B1 / Caa1</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-2.5 نقطة، +10 يومًا، سحب 20%</w:t>
            </w:r>
          </w:p>
        </w:tc>
        <w:tc>
          <w:tcPr>
            <w:tcW w:type="dxa" w:w="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-5 نقطة، +20 يومًا، سحب 50%، +300 نقطة أساس</w:t>
            </w:r>
          </w:p>
        </w:tc>
      </w:tr>
      <w:tr>
        <w:trPr>
          <w:cantSplit/>
        </w:trPr>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1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 B1 / B3</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-1.5 نقطة، +0 يومًا، سحب 15%</w:t>
            </w:r>
          </w:p>
        </w:tc>
        <w:tc>
          <w:tcPr>
            <w:tcW w:type="dxa" w:w="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-3 نقطة، +0 يومًا، سحب 35%، +250 نقطة أساس</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موقع الشركة من قطاعها:</w:t>
      </w:r>
      <w:r>
        <w:rPr>
          <w:rFonts w:ascii="Arial" w:cs="Arial" w:eastAsia="Arial" w:hAnsi="Arial"/>
          <w:b w:val="false"/>
          <w:bCs w:val="false"/>
          <w:sz w:val="21"/>
          <w:szCs w:val="21"/>
          <w:rtl/>
        </w:rPr>
        <w:t xml:space="preserve"> فوق المدى المعتاد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أو 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أو ضمنه.</w:t>
      </w: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9"/>
        <w:gridCol w:w="1544"/>
        <w:gridCol w:w="951"/>
        <w:gridCol w:w="1187"/>
        <w:gridCol w:w="951"/>
        <w:gridCol w:w="951"/>
        <w:gridCol w:w="951"/>
      </w:tblGrid>
      <w:tr>
        <w:trPr>
          <w:cantSplit/>
          <w:tblHeader/>
        </w:trPr>
        <w:tc>
          <w:tcPr>
            <w:tcW w:type="dxa" w:w="3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1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الإيرادات: ركود / أزمة %</w:t>
            </w:r>
          </w:p>
        </w:tc>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-8</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-10</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-30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-40</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-40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-35</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-30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-30</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-25</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-15</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-35</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-10</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-30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-50</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-20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28" w:id="28"/>
      <w:r>
        <w:rPr>
          <w:rFonts w:ascii="Arial" w:cs="Arial" w:eastAsia="Arial" w:hAnsi="Arial"/>
          <w:b/>
          <w:bCs/>
          <w:color w:val="1F3A5F"/>
          <w:sz w:val="32"/>
          <w:szCs w:val="32"/>
          <w:rtl/>
        </w:rPr>
        <w:t xml:space="preserve">14. السيناريوهات والصمود</w:t>
      </w:r>
      <w:bookmarkEnd w:id="28"/>
    </w:p>
    <w:p>
      <w:pPr>
        <w:bidi/>
        <w:spacing w:after="110" w:before="0" w:line="312"/>
      </w:pPr>
      <w:r>
        <w:rPr>
          <w:rFonts w:ascii="Arial" w:cs="Arial" w:eastAsia="Arial" w:hAnsi="Arial"/>
          <w:b w:val="false"/>
          <w:bCs w:val="false"/>
          <w:sz w:val="21"/>
          <w:szCs w:val="21"/>
          <w:rtl/>
        </w:rPr>
        <w:t xml:space="preserve">يحسب النظام القائمة نفسها في سيناريوهين من سيناريوهات نشاطها، ويقيّمها كاملة:</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تتغير بنسبة النشاط، أو بمتوسط فئات المنتجات بحصصها من الإيرادات.</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بنقاط النشاط.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النشاط (وفي الأزمة بأكثر أيام الفئات)، ويُخسر جزء من الذمم الخاصة فوق 180 يومًا.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يُسحب جزء منها، فينخفض التجديد في السيولة.</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السيناريو: ما تغيّر في الأصول تغيّر مثله في الخصوم وحقوق الملكية (يتحقق منه المحرك، والمرجع على كل الحالات).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فقدان درجة واحدة على الأكثر في الركود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w:t>
      </w:r>
    </w:p>
    <w:p>
      <w:pPr>
        <w:pStyle w:val="Heading1"/>
        <w:bidi/>
      </w:pPr>
      <w:bookmarkStart w:name="_sec29" w:id="29"/>
      <w:r>
        <w:rPr>
          <w:rFonts w:ascii="Arial" w:cs="Arial" w:eastAsia="Arial" w:hAnsi="Arial"/>
          <w:b/>
          <w:bCs/>
          <w:color w:val="1F3A5F"/>
          <w:sz w:val="32"/>
          <w:szCs w:val="32"/>
          <w:rtl/>
        </w:rPr>
        <w:t xml:space="preserve">15. الحلول وخطط التقوية</w:t>
      </w:r>
      <w:bookmarkEnd w:id="29"/>
    </w:p>
    <w:p>
      <w:pPr>
        <w:pStyle w:val="Heading2"/>
        <w:bidi/>
      </w:pPr>
      <w:bookmarkStart w:name="_sec30" w:id="30"/>
      <w:r>
        <w:rPr>
          <w:rFonts w:ascii="Arial" w:cs="Arial" w:eastAsia="Arial" w:hAnsi="Arial"/>
          <w:b/>
          <w:bCs/>
          <w:color w:val="2B5C8A"/>
          <w:sz w:val="26"/>
          <w:szCs w:val="26"/>
          <w:rtl/>
        </w:rPr>
        <w:t xml:space="preserve">15.1 الحلول</w:t>
      </w:r>
      <w:bookmarkEnd w:id="30"/>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15.2 خطط التقوية الجاهزة</w:t>
      </w:r>
      <w:bookmarkEnd w:id="31"/>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المحلل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16. النظرة المستقبلية ومحفزات الدرجة</w:t>
      </w:r>
      <w:bookmarkEnd w:id="32"/>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السيناريوهين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33" w:id="33"/>
      <w:r>
        <w:rPr>
          <w:rFonts w:ascii="Arial" w:cs="Arial" w:eastAsia="Arial" w:hAnsi="Arial"/>
          <w:b/>
          <w:bCs/>
          <w:color w:val="1F3A5F"/>
          <w:sz w:val="32"/>
          <w:szCs w:val="32"/>
          <w:rtl/>
        </w:rPr>
        <w:t xml:space="preserve">17. اكتمال البيانات وما يطلبه التقرير</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bl>
    <w:p>
      <w:pPr>
        <w:bidi/>
        <w:spacing w:after="120" w:before="0"/>
      </w:pPr>
    </w:p>
    <w:p>
      <w:pPr>
        <w:pStyle w:val="Heading1"/>
        <w:bidi/>
      </w:pPr>
      <w:bookmarkStart w:name="_sec34" w:id="34"/>
      <w:r>
        <w:rPr>
          <w:rFonts w:ascii="Arial" w:cs="Arial" w:eastAsia="Arial" w:hAnsi="Arial"/>
          <w:b/>
          <w:bCs/>
          <w:color w:val="1F3A5F"/>
          <w:sz w:val="32"/>
          <w:szCs w:val="32"/>
          <w:rtl/>
        </w:rPr>
        <w:t xml:space="preserve">18. التقرير</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السيناريوهان</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35" w:id="35"/>
      <w:r>
        <w:rPr>
          <w:rFonts w:ascii="Arial" w:cs="Arial" w:eastAsia="Arial" w:hAnsi="Arial"/>
          <w:b/>
          <w:bCs/>
          <w:color w:val="1F3A5F"/>
          <w:sz w:val="32"/>
          <w:szCs w:val="32"/>
          <w:rtl/>
        </w:rPr>
        <w:t xml:space="preserve">19. مثال محسوب</w:t>
      </w:r>
      <w:bookmarkEnd w:id="35"/>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المحلل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1233"/>
        <w:gridCol w:w="1438"/>
        <w:gridCol w:w="1233"/>
        <w:gridCol w:w="1027"/>
        <w:gridCol w:w="1233"/>
        <w:gridCol w:w="1644"/>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13.3000</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1.9950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1.6500</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9.2778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0.5567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9.28</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7.3608</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0.1472</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0.1353</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0.7532</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0.4526</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0.4295</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1.58</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9.9935</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0.3997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22.06</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10.0882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0.4035</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0.5862</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12.7565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0.2551</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0.5129</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0.2734</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13.1571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0.1974</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0.1492</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0.4416</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9.3750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0.1641</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0.2100</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10.4795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10.4170 أي Baa3؛ والمجموع الموزون مع العاملين النوعيين 10.4795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‎NEG_HEADROOM‎</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5"/>
        <w:gridCol w:w="2227"/>
        <w:gridCol w:w="1909"/>
        <w:gridCol w:w="2863"/>
      </w:tblGrid>
      <w:tr>
        <w:trPr>
          <w:cantSplit/>
          <w:tblHeader/>
        </w:trPr>
        <w:tc>
          <w:tcPr>
            <w:tcW w:type="dxa" w:w="2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14,866.67</w:t>
            </w:r>
          </w:p>
        </w:tc>
      </w:tr>
      <w:tr>
        <w:trPr>
          <w:cantSplit/>
        </w:trPr>
        <w:tc>
          <w:tcPr>
            <w:tcW w:type="dxa" w:w="2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797.5</w:t>
            </w:r>
          </w:p>
        </w:tc>
      </w:tr>
      <w:tr>
        <w:trPr>
          <w:cantSplit/>
        </w:trPr>
        <w:tc>
          <w:tcPr>
            <w:tcW w:type="dxa" w:w="2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13.76</w:t>
            </w:r>
          </w:p>
        </w:tc>
      </w:tr>
      <w:tr>
        <w:trPr>
          <w:cantSplit/>
        </w:trPr>
        <w:tc>
          <w:tcPr>
            <w:tcW w:type="dxa" w:w="2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9.28</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7.82</w:t>
            </w:r>
          </w:p>
        </w:tc>
      </w:tr>
      <w:tr>
        <w:trPr>
          <w:cantSplit/>
        </w:trPr>
        <w:tc>
          <w:tcPr>
            <w:tcW w:type="dxa" w:w="2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29.03</w:t>
            </w:r>
          </w:p>
        </w:tc>
      </w:tr>
      <w:tr>
        <w:trPr>
          <w:cantSplit/>
        </w:trPr>
        <w:tc>
          <w:tcPr>
            <w:tcW w:type="dxa" w:w="2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3.22</w:t>
            </w:r>
          </w:p>
        </w:tc>
      </w:tr>
      <w:tr>
        <w:trPr>
          <w:cantSplit/>
        </w:trPr>
        <w:tc>
          <w:tcPr>
            <w:tcW w:type="dxa" w:w="2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17.58</w:t>
            </w:r>
          </w:p>
        </w:tc>
      </w:tr>
      <w:tr>
        <w:trPr>
          <w:cantSplit/>
        </w:trPr>
        <w:tc>
          <w:tcPr>
            <w:tcW w:type="dxa" w:w="2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2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1.58</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22.06</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19.66</w:t>
            </w:r>
          </w:p>
        </w:tc>
      </w:tr>
      <w:tr>
        <w:trPr>
          <w:cantSplit/>
        </w:trPr>
        <w:tc>
          <w:tcPr>
            <w:tcW w:type="dxa" w:w="2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w:t>
            </w:r>
          </w:p>
        </w:tc>
      </w:tr>
      <w:tr>
        <w:trPr>
          <w:cantSplit/>
        </w:trPr>
        <w:tc>
          <w:tcPr>
            <w:tcW w:type="dxa" w:w="2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20. الحوكمة والتحقق قبل الاستعمال</w:t>
      </w:r>
      <w:bookmarkEnd w:id="36"/>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البعيدة عن المالية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الاستعمال في قرار.</w:t>
      </w:r>
      <w:r>
        <w:rPr>
          <w:rFonts w:ascii="Arial" w:cs="Arial" w:eastAsia="Arial" w:hAnsi="Arial"/>
          <w:b w:val="false"/>
          <w:bCs w:val="false"/>
          <w:sz w:val="21"/>
          <w:szCs w:val="21"/>
          <w:rtl/>
        </w:rPr>
        <w:t xml:space="preserve"> على إدارة مخاطر الائتمان في البنك أو جهة مستقلة: مقارنة الدرجات بتصنيفات البنك الداخلية لعينة من المقترضين، واختبار الحدود رجوعيًا على حالات تعثر سابقة، ومراجعة المعايرة سنويًا، ومتابعة التجاوزات. وأي تعديل لحد أو وزن إصدار جديد للبطاقة.</w:t>
      </w:r>
    </w:p>
    <w:p>
      <w:pPr>
        <w:bidi/>
        <w:spacing w:after="60" w:before="0"/>
      </w:pPr>
    </w:p>
    <w:p>
      <w:pPr>
        <w:pStyle w:val="Heading1"/>
        <w:bidi/>
      </w:pPr>
      <w:bookmarkStart w:name="_sec37" w:id="37"/>
      <w:r>
        <w:rPr>
          <w:rFonts w:ascii="Arial" w:cs="Arial" w:eastAsia="Arial" w:hAnsi="Arial"/>
          <w:b/>
          <w:bCs/>
          <w:color w:val="1F3A5F"/>
          <w:sz w:val="32"/>
          <w:szCs w:val="32"/>
          <w:rtl/>
        </w:rPr>
        <w:t xml:space="preserve">21. التحقق من التنفيذ</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الـ35 ومن 12 حالة إضافية تصل إلى قواعد سمة والرأي والقِدم والدعم والتجاوز والفترة المرحلية وحجم السوق والقابضة والقائمة بلا إجماليات، مرة للنواة (كل كمية ومقياس وعامل ومستوى بند وتعديل ودرجة وسيولة واكتمال ودرجة تسهيلات) ومرة للتقييم كله (السيناريوهان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38" w:id="38"/>
      <w:r>
        <w:rPr>
          <w:rFonts w:ascii="Arial" w:cs="Arial" w:eastAsia="Arial" w:hAnsi="Arial"/>
          <w:b/>
          <w:bCs/>
          <w:color w:val="1F3A5F"/>
          <w:sz w:val="32"/>
          <w:szCs w:val="32"/>
          <w:rtl/>
        </w:rPr>
        <w:t xml:space="preserve">22. المراجعة المستقلة</w:t>
      </w:r>
      <w:bookmarkEnd w:id="38"/>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راجعه </w:t>
      </w:r>
      <w:r>
        <w:rPr>
          <w:rFonts w:ascii="Arial" w:cs="Arial" w:eastAsia="Arial" w:hAnsi="Arial"/>
          <w:b/>
          <w:bCs/>
          <w:sz w:val="21"/>
          <w:szCs w:val="21"/>
          <w:rtl/>
        </w:rPr>
        <w:t xml:space="preserve">وكلاء ذكاء اصطناعي منفصلون في دور محلل ائتمان أول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 ومرر المراجع حالات ضغط بمدى يتوقعه لكل منها، وعُدّلت المعايرة حتى وقعت كلها فيه، إلا حالة واحدة قُبلت خارجه بسبب مكتوب (S03: محل أزياء في الوضع العادي Baa3 والمدى Ba1 إلى Ba3، لأن حجمه وسيولته يبررانها والسيناريوهات تهبط به إلى مداه).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(التسهيلات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13.67</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12.07</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14.99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922"/>
        <w:gridCol w:w="922"/>
        <w:gridCol w:w="1099"/>
        <w:gridCol w:w="999"/>
        <w:gridCol w:w="1099"/>
        <w:gridCol w:w="999"/>
        <w:gridCol w:w="922"/>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1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1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(B1–B3)</w:t>
            </w:r>
          </w:p>
        </w:tc>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(B3–Caa3)</w:t>
            </w:r>
          </w:p>
        </w:tc>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23. الوثائق التي أرفقها المالك في 2026-10-19</w:t>
      </w:r>
      <w:bookmarkEnd w:id="39"/>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40" w:id="40"/>
      <w:r>
        <w:rPr>
          <w:rFonts w:ascii="Arial" w:cs="Arial" w:eastAsia="Arial" w:hAnsi="Arial"/>
          <w:b/>
          <w:bCs/>
          <w:color w:val="1F3A5F"/>
          <w:sz w:val="32"/>
          <w:szCs w:val="32"/>
          <w:rtl/>
        </w:rPr>
        <w:t xml:space="preserve">24. أسئلة للمالك</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8"/>
        <w:gridCol w:w="4541"/>
        <w:gridCol w:w="4035"/>
      </w:tblGrid>
      <w:tr>
        <w:trPr>
          <w:cantSplit/>
          <w:tblHeader/>
        </w:trPr>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المبني</w:t>
            </w:r>
          </w:p>
        </w:tc>
      </w:tr>
      <w:tr>
        <w:trPr>
          <w:cantSplit/>
        </w:trPr>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مع حدود التقييم الذاتي</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البطاقات</w:t>
            </w:r>
          </w:p>
        </w:tc>
      </w:tr>
      <w:tr>
        <w:trPr>
          <w:cantSplit/>
        </w:trPr>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الثلاثة والسيولة والنشاط</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مبنية ومفعّلة</w:t>
            </w:r>
          </w:p>
        </w:tc>
      </w:tr>
      <w:tr>
        <w:trPr>
          <w:cantSplit/>
        </w:trPr>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Aa3: مصدره ومن يحدّثه</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منه مع كل إصدار للبطاقة</w:t>
            </w:r>
          </w:p>
        </w:tc>
      </w:tr>
      <w:tr>
        <w:trPr>
          <w:cantSplit/>
        </w:trPr>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يُطلب ترخيص لاعتماد شبكات وكالة أو احتمالات تعثرها (§23)؟</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المعايرة خاصة بالنظام</w:t>
            </w:r>
          </w:p>
        </w:tc>
      </w:tr>
      <w:tr>
        <w:trPr>
          <w:cantSplit/>
        </w:trPr>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النظرة وخطط التقوية (§15، §16)</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مبنية كما في الوثيقة</w:t>
            </w:r>
          </w:p>
        </w:tc>
      </w:tr>
      <w:tr>
        <w:trPr>
          <w:cantSplit/>
        </w:trPr>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 قبل استعمالها في قرار (§20)؟</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مخاطر الائتمان في البنك</w:t>
            </w:r>
          </w:p>
        </w:tc>
      </w:tr>
    </w:tbl>
    <w:p>
      <w:pPr>
        <w:bidi/>
        <w:spacing w:after="120" w:before="0"/>
      </w:pPr>
    </w:p>
    <w:p>
      <w:pPr>
        <w:pStyle w:val="Heading1"/>
        <w:bidi/>
      </w:pPr>
      <w:bookmarkStart w:name="_sec41" w:id="41"/>
      <w:r>
        <w:rPr>
          <w:rFonts w:ascii="Arial" w:cs="Arial" w:eastAsia="Arial" w:hAnsi="Arial"/>
          <w:b/>
          <w:bCs/>
          <w:color w:val="1F3A5F"/>
          <w:sz w:val="32"/>
          <w:szCs w:val="32"/>
          <w:rtl/>
        </w:rPr>
        <w:t xml:space="preserve">25. حدود معروفة</w:t>
      </w:r>
      <w:bookmarkEnd w:id="41"/>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السيناريوهان من معاملات النشاط والمنتجات، لا من نموذج اقتصاد كلي.</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42" w:id="42"/>
      <w:r>
        <w:rPr>
          <w:rFonts w:ascii="Arial" w:cs="Arial" w:eastAsia="Arial" w:hAnsi="Arial"/>
          <w:b/>
          <w:bCs/>
          <w:color w:val="1F3A5F"/>
          <w:sz w:val="32"/>
          <w:szCs w:val="32"/>
          <w:rtl/>
        </w:rPr>
        <w:t xml:space="preserve">26. المراجع</w:t>
      </w:r>
      <w:bookmarkEnd w:id="42"/>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الثاني)</dc:title>
  <dc:creator>Claude</dc:creator>
  <dc:description>BankFas database design document</dc:description>
  <cp:lastModifiedBy>Un-named</cp:lastModifiedBy>
  <cp:revision>1</cp:revision>
  <dcterms:created xsi:type="dcterms:W3CDTF">2026-10-19T17:42:30.430Z</dcterms:created>
  <dcterms:modified xsi:type="dcterms:W3CDTF">2026-10-19T17:42:30.443Z</dcterms:modified>
</cp:coreProperties>
</file>

<file path=docProps/custom.xml><?xml version="1.0" encoding="utf-8"?>
<Properties xmlns="http://schemas.openxmlformats.org/officeDocument/2006/custom-properties" xmlns:vt="http://schemas.openxmlformats.org/officeDocument/2006/docPropsVTypes"/>
</file>