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194 tables · 20 schemas · 763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2026-10-11</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194 tables in 20 schemas; 763 foreign keys; 515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194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12</w:t>
            </w:r>
          </w:p>
        </w:tc>
        <w:tc>
          <w:tcPr>
            <w:tcW w:type="dxa" w:w="1701"/>
            <w:shd w:val="clear" w:color="auto" w:fill="E8EEF6"/>
          </w:tcPr>
          <w:p>
            <w:pPr>
              <w:spacing w:after="0" w:before="0"/>
            </w:pPr>
            <w:r/>
            <w:r>
              <w:rPr>
                <w:rFonts w:ascii="Arial" w:hAnsi="Arial"/>
                <w:b w:val="0"/>
                <w:sz w:val="17"/>
              </w:rPr>
              <w:t>11</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7</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8</w:t>
            </w:r>
          </w:p>
        </w:tc>
        <w:tc>
          <w:tcPr>
            <w:tcW w:type="dxa" w:w="1701"/>
          </w:tcPr>
          <w:p>
            <w:pPr>
              <w:spacing w:after="0" w:before="0"/>
            </w:pPr>
            <w:r/>
            <w:r>
              <w:rPr>
                <w:rFonts w:ascii="Arial" w:hAnsi="Arial"/>
                <w:b w:val="0"/>
                <w:sz w:val="17"/>
              </w:rPr>
              <w:t>8</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14</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fin</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ref</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lc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79 diagrams cover 194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38</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6</w:t>
            </w:r>
          </w:p>
        </w:tc>
        <w:tc>
          <w:tcPr>
            <w:tcW w:type="dxa" w:w="2268"/>
          </w:tcPr>
          <w:p>
            <w:pPr>
              <w:spacing w:after="0" w:before="0"/>
            </w:pPr>
            <w:r/>
            <w:r>
              <w:rPr>
                <w:rFonts w:ascii="Arial" w:hAnsi="Arial"/>
                <w:b w:val="0"/>
                <w:sz w:val="17"/>
              </w:rPr>
              <w:t>30</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21</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platform operators</w:t>
      </w:r>
    </w:p>
    <w:p>
      <w:pPr>
        <w:spacing w:after="80"/>
      </w:pPr>
      <w:r>
        <w:rPr>
          <w:rFonts w:ascii="Arial" w:hAnsi="Arial"/>
          <w:b w:val="0"/>
          <w:i/>
          <w:color w:val="6B7280"/>
          <w:sz w:val="18"/>
        </w:rPr>
        <w:t>plat schema: tenants, subscriptions, modules, support access, platform operators</w:t>
      </w:r>
    </w:p>
    <w:p>
      <w:pPr>
        <w:keepNext/>
        <w:jc w:val="center"/>
      </w:pPr>
      <w:r>
        <w:drawing>
          <wp:inline xmlns:a="http://schemas.openxmlformats.org/drawingml/2006/main" xmlns:pic="http://schemas.openxmlformats.org/drawingml/2006/picture">
            <wp:extent cx="6292850" cy="5199706"/>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199706"/>
                    </a:xfrm>
                    <a:prstGeom prst="rect"/>
                  </pic:spPr>
                </pic:pic>
              </a:graphicData>
            </a:graphic>
          </wp:inline>
        </w:drawing>
      </w:r>
    </w:p>
    <w:p>
      <w:pPr>
        <w:spacing w:after="120"/>
        <w:jc w:val="center"/>
      </w:pPr>
      <w:r>
        <w:rPr>
          <w:rFonts w:ascii="Arial" w:hAnsi="Arial"/>
          <w:b w:val="0"/>
          <w:i/>
          <w:color w:val="6B7280"/>
          <w:sz w:val="16"/>
        </w:rPr>
        <w:t>Figure 2  Tenancy, plans and platform operators  ·  7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plat.Plan</w:t>
            </w:r>
          </w:p>
        </w:tc>
        <w:tc>
          <w:tcPr>
            <w:tcW w:type="dxa" w:w="6690"/>
          </w:tcPr>
          <w:p>
            <w:pPr>
              <w:spacing w:after="0" w:before="0"/>
            </w:pPr>
            <w:r/>
            <w:r>
              <w:rPr>
                <w:rFonts w:ascii="Arial" w:hAnsi="Arial"/>
                <w:b w:val="0"/>
                <w:sz w:val="15"/>
              </w:rPr>
              <w:t>Subscription plan: a bundle of modules and soft limits (FR-PLT-003/004, Q-PLT-11)</w:t>
            </w:r>
          </w:p>
        </w:tc>
        <w:tc>
          <w:tcPr>
            <w:tcW w:type="dxa" w:w="2948"/>
          </w:tcPr>
          <w:p>
            <w:pPr>
              <w:spacing w:after="0" w:before="0"/>
            </w:pPr>
            <w:r/>
            <w:r>
              <w:rPr>
                <w:rFonts w:ascii="Arial" w:hAnsi="Arial"/>
                <w:b w:val="0"/>
                <w:sz w:val="15"/>
              </w:rPr>
              <w:t>PlanId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plat.PlanModule</w:t>
            </w:r>
          </w:p>
        </w:tc>
        <w:tc>
          <w:tcPr>
            <w:tcW w:type="dxa" w:w="6690"/>
            <w:shd w:val="clear" w:color="auto" w:fill="E8EEF6"/>
          </w:tcPr>
          <w:p>
            <w:pPr>
              <w:spacing w:after="0" w:before="0"/>
            </w:pPr>
            <w:r/>
            <w:r>
              <w:rPr>
                <w:rFonts w:ascii="Arial" w:hAnsi="Arial"/>
                <w:b w:val="0"/>
                <w:sz w:val="15"/>
              </w:rPr>
              <w:t>Modules included in a plan (replaces the Plan.IncludedModules JSON column)</w:t>
            </w:r>
          </w:p>
        </w:tc>
        <w:tc>
          <w:tcPr>
            <w:tcW w:type="dxa" w:w="2948"/>
            <w:shd w:val="clear" w:color="auto" w:fill="E8EEF6"/>
          </w:tcPr>
          <w:p>
            <w:pPr>
              <w:spacing w:after="0" w:before="0"/>
            </w:pPr>
            <w:r/>
            <w:r>
              <w:rPr>
                <w:rFonts w:ascii="Arial" w:hAnsi="Arial"/>
                <w:b w:val="0"/>
                <w:sz w:val="15"/>
              </w:rPr>
              <w:t>PlanId, ModuleCode</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plat.ReservedSubdomain</w:t>
            </w:r>
          </w:p>
        </w:tc>
        <w:tc>
          <w:tcPr>
            <w:tcW w:type="dxa" w:w="6690"/>
            <w:shd w:val="clear" w:color="auto" w:fill="E8EEF6"/>
          </w:tcPr>
          <w:p>
            <w:pPr>
              <w:spacing w:after="0" w:before="0"/>
            </w:pPr>
            <w:r/>
            <w:r>
              <w:rPr>
                <w:rFonts w:ascii="Arial" w:hAnsi="Arial"/>
                <w:b w:val="0"/>
                <w:sz w:val="15"/>
              </w:rPr>
              <w:t>Subdomains reserved for the system: www, admin, api, app and others (FR-PLT-046)</w:t>
            </w:r>
          </w:p>
        </w:tc>
        <w:tc>
          <w:tcPr>
            <w:tcW w:type="dxa" w:w="2948"/>
            <w:shd w:val="clear" w:color="auto" w:fill="E8EEF6"/>
          </w:tcPr>
          <w:p>
            <w:pPr>
              <w:spacing w:after="0" w:before="0"/>
            </w:pPr>
            <w:r/>
            <w:r>
              <w:rPr>
                <w:rFonts w:ascii="Arial" w:hAnsi="Arial"/>
                <w:b w:val="0"/>
                <w:sz w:val="15"/>
              </w:rPr>
              <w:t>ReservedSubdomainId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plat.SupportAccessGrant</w:t>
            </w:r>
          </w:p>
        </w:tc>
        <w:tc>
          <w:tcPr>
            <w:tcW w:type="dxa" w:w="6690"/>
          </w:tcPr>
          <w:p>
            <w:pPr>
              <w:spacing w:after="0" w:before="0"/>
            </w:pPr>
            <w:r/>
            <w:r>
              <w:rPr>
                <w:rFonts w:ascii="Arial" w:hAnsi="Arial"/>
                <w:b w:val="0"/>
                <w:sz w:val="15"/>
              </w:rPr>
              <w:t>Temporary support access, activated by the tenant's account administrator (FR-PLT-007, BR-PLT-017)</w:t>
            </w:r>
          </w:p>
        </w:tc>
        <w:tc>
          <w:tcPr>
            <w:tcW w:type="dxa" w:w="2948"/>
          </w:tcPr>
          <w:p>
            <w:pPr>
              <w:spacing w:after="0" w:before="0"/>
            </w:pPr>
            <w:r/>
            <w:r>
              <w:rPr>
                <w:rFonts w:ascii="Arial" w:hAnsi="Arial"/>
                <w:b w:val="0"/>
                <w:sz w:val="15"/>
              </w:rPr>
              <w:t>SupportAccessGrantId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w:t>
            </w:r>
          </w:p>
        </w:tc>
        <w:tc>
          <w:tcPr>
            <w:tcW w:type="dxa" w:w="6690"/>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shd w:val="clear" w:color="auto" w:fill="E8EEF6"/>
          </w:tcPr>
          <w:p>
            <w:pPr>
              <w:spacing w:after="0" w:before="0"/>
            </w:pPr>
            <w:r/>
            <w:r>
              <w:rPr>
                <w:rFonts w:ascii="Arial" w:hAnsi="Arial"/>
                <w:b w:val="0"/>
                <w:sz w:val="15"/>
              </w:rPr>
              <w:t>TenantId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plat.TenantModule</w:t>
            </w:r>
          </w:p>
        </w:tc>
        <w:tc>
          <w:tcPr>
            <w:tcW w:type="dxa" w:w="6690"/>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tcPr>
          <w:p>
            <w:pPr>
              <w:spacing w:after="0" w:before="0"/>
            </w:pPr>
            <w:r/>
            <w:r>
              <w:rPr>
                <w:rFonts w:ascii="Arial" w:hAnsi="Arial"/>
                <w:b w:val="0"/>
                <w:sz w:val="15"/>
              </w:rPr>
              <w:t>TenantModuleId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GrantedBy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RevokedBy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plat.TenantModule</w:t>
            </w:r>
          </w:p>
        </w:tc>
        <w:tc>
          <w:tcPr>
            <w:tcW w:type="dxa" w:w="2948"/>
          </w:tcPr>
          <w:p>
            <w:pPr>
              <w:spacing w:after="0" w:before="0"/>
            </w:pPr>
            <w:r/>
            <w:r>
              <w:rPr>
                <w:rFonts w:ascii="Arial" w:hAnsi="Arial"/>
                <w:b w:val="0"/>
                <w:sz w:val="15"/>
              </w:rPr>
              <w:t>EnabledBy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3" name="Picture 3"/>
            <wp:cNvGraphicFramePr>
              <a:graphicFrameLocks noChangeAspect="1"/>
            </wp:cNvGraphicFramePr>
            <a:graphic>
              <a:graphicData uri="http://schemas.openxmlformats.org/drawingml/2006/picture">
                <pic:pic>
                  <pic:nvPicPr>
                    <pic:cNvPr id="0" name="m0_identity.png"/>
                    <pic:cNvPicPr/>
                  </pic:nvPicPr>
                  <pic:blipFill>
                    <a:blip r:embed="rId13"/>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3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PERMISSION_LOCKED is enforced by the service (BR-PLT-019)</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4" name="Picture 4"/>
            <wp:cNvGraphicFramePr>
              <a:graphicFrameLocks noChangeAspect="1"/>
            </wp:cNvGraphicFramePr>
            <a:graphic>
              <a:graphicData uri="http://schemas.openxmlformats.org/drawingml/2006/picture">
                <pic:pic>
                  <pic:nvPicPr>
                    <pic:cNvPr id="0" name="m0_sessions_1.png"/>
                    <pic:cNvPicPr/>
                  </pic:nvPicPr>
                  <pic:blipFill>
                    <a:blip r:embed="rId14"/>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4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the permanent trace is in aud.AuditLog (BR-PLT-005)</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5" name="Picture 5"/>
            <wp:cNvGraphicFramePr>
              <a:graphicFrameLocks noChangeAspect="1"/>
            </wp:cNvGraphicFramePr>
            <a:graphic>
              <a:graphicData uri="http://schemas.openxmlformats.org/drawingml/2006/picture">
                <pic:pic>
                  <pic:nvPicPr>
                    <pic:cNvPr id="0" name="m0_sessions_2.png"/>
                    <pic:cNvPicPr/>
                  </pic:nvPicPr>
                  <pic:blipFill>
                    <a:blip r:embed="rId15"/>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5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or password-reset token (30 minutes) (FR-PLT-013)</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863590" cy="2439353"/>
            <wp:docPr id="6" name="Picture 6"/>
            <wp:cNvGraphicFramePr>
              <a:graphicFrameLocks noChangeAspect="1"/>
            </wp:cNvGraphicFramePr>
            <a:graphic>
              <a:graphicData uri="http://schemas.openxmlformats.org/drawingml/2006/picture">
                <pic:pic>
                  <pic:nvPicPr>
                    <pic:cNvPr id="0" name="m0_sessions_3.png"/>
                    <pic:cNvPicPr/>
                  </pic:nvPicPr>
                  <pic:blipFill>
                    <a:blip r:embed="rId16"/>
                    <a:stretch>
                      <a:fillRect/>
                    </a:stretch>
                  </pic:blipFill>
                  <pic:spPr>
                    <a:xfrm>
                      <a:off x="0" y="0"/>
                      <a:ext cx="5863590" cy="2439353"/>
                    </a:xfrm>
                    <a:prstGeom prst="rect"/>
                  </pic:spPr>
                </pic:pic>
              </a:graphicData>
            </a:graphic>
          </wp:inline>
        </w:drawing>
      </w:r>
    </w:p>
    <w:p>
      <w:pPr>
        <w:spacing w:after="120"/>
        <w:jc w:val="center"/>
      </w:pPr>
      <w:r>
        <w:rPr>
          <w:rFonts w:ascii="Arial" w:hAnsi="Arial"/>
          <w:b w:val="0"/>
          <w:i/>
          <w:color w:val="6B7280"/>
          <w:sz w:val="16"/>
        </w:rPr>
        <w:t>Figure 6  Sessions, keys and authentication attempts (part 3 of 3)  ·  3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1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094730" cy="1941499"/>
            <wp:docPr id="7" name="Picture 7"/>
            <wp:cNvGraphicFramePr>
              <a:graphicFrameLocks noChangeAspect="1"/>
            </wp:cNvGraphicFramePr>
            <a:graphic>
              <a:graphicData uri="http://schemas.openxmlformats.org/drawingml/2006/picture">
                <pic:pic>
                  <pic:nvPicPr>
                    <pic:cNvPr id="0" name="m0_audit_docs_1.png"/>
                    <pic:cNvPicPr/>
                  </pic:nvPicPr>
                  <pic:blipFill>
                    <a:blip r:embed="rId17"/>
                    <a:stretch>
                      <a:fillRect/>
                    </a:stretch>
                  </pic:blipFill>
                  <pic:spPr>
                    <a:xfrm>
                      <a:off x="0" y="0"/>
                      <a:ext cx="6094730" cy="1941499"/>
                    </a:xfrm>
                    <a:prstGeom prst="rect"/>
                  </pic:spPr>
                </pic:pic>
              </a:graphicData>
            </a:graphic>
          </wp:inline>
        </w:drawing>
      </w:r>
    </w:p>
    <w:p>
      <w:pPr>
        <w:spacing w:after="120"/>
        <w:jc w:val="center"/>
      </w:pPr>
      <w:r>
        <w:rPr>
          <w:rFonts w:ascii="Arial" w:hAnsi="Arial"/>
          <w:b w:val="0"/>
          <w:i/>
          <w:color w:val="6B7280"/>
          <w:sz w:val="16"/>
        </w:rPr>
        <w:t>Figure 7  Audit trail and documents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2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642100" cy="3853083"/>
            <wp:docPr id="8" name="Picture 8"/>
            <wp:cNvGraphicFramePr>
              <a:graphicFrameLocks noChangeAspect="1"/>
            </wp:cNvGraphicFramePr>
            <a:graphic>
              <a:graphicData uri="http://schemas.openxmlformats.org/drawingml/2006/picture">
                <pic:pic>
                  <pic:nvPicPr>
                    <pic:cNvPr id="0" name="m0_audit_docs_2.png"/>
                    <pic:cNvPicPr/>
                  </pic:nvPicPr>
                  <pic:blipFill>
                    <a:blip r:embed="rId18"/>
                    <a:stretch>
                      <a:fillRect/>
                    </a:stretch>
                  </pic:blipFill>
                  <pic:spPr>
                    <a:xfrm>
                      <a:off x="0" y="0"/>
                      <a:ext cx="6642100" cy="3853083"/>
                    </a:xfrm>
                    <a:prstGeom prst="rect"/>
                  </pic:spPr>
                </pic:pic>
              </a:graphicData>
            </a:graphic>
          </wp:inline>
        </w:drawing>
      </w:r>
    </w:p>
    <w:p>
      <w:pPr>
        <w:spacing w:after="120"/>
        <w:jc w:val="center"/>
      </w:pPr>
      <w:r>
        <w:rPr>
          <w:rFonts w:ascii="Arial" w:hAnsi="Arial"/>
          <w:b w:val="0"/>
          <w:i/>
          <w:color w:val="6B7280"/>
          <w:sz w:val="16"/>
        </w:rPr>
        <w:t>Figure 8  Audit trail and documents (part 2 of 3)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OwnerCompanyId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CurrentVersionId</w:t>
            </w:r>
          </w:p>
        </w:tc>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DocumentVersionId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SupersededByDocumentId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DeletedBy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3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196330" cy="3345436"/>
            <wp:docPr id="9" name="Picture 9"/>
            <wp:cNvGraphicFramePr>
              <a:graphicFrameLocks noChangeAspect="1"/>
            </wp:cNvGraphicFramePr>
            <a:graphic>
              <a:graphicData uri="http://schemas.openxmlformats.org/drawingml/2006/picture">
                <pic:pic>
                  <pic:nvPicPr>
                    <pic:cNvPr id="0" name="m0_audit_docs_3.png"/>
                    <pic:cNvPicPr/>
                  </pic:nvPicPr>
                  <pic:blipFill>
                    <a:blip r:embed="rId19"/>
                    <a:stretch>
                      <a:fillRect/>
                    </a:stretch>
                  </pic:blipFill>
                  <pic:spPr>
                    <a:xfrm>
                      <a:off x="0" y="0"/>
                      <a:ext cx="6196330" cy="3345436"/>
                    </a:xfrm>
                    <a:prstGeom prst="rect"/>
                  </pic:spPr>
                </pic:pic>
              </a:graphicData>
            </a:graphic>
          </wp:inline>
        </w:drawing>
      </w:r>
    </w:p>
    <w:p>
      <w:pPr>
        <w:spacing w:after="120"/>
        <w:jc w:val="center"/>
      </w:pPr>
      <w:r>
        <w:rPr>
          <w:rFonts w:ascii="Arial" w:hAnsi="Arial"/>
          <w:b w:val="0"/>
          <w:i/>
          <w:color w:val="6B7280"/>
          <w:sz w:val="16"/>
        </w:rPr>
        <w:t>Figure 9  Audit trail and documents (part 3 of 3)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doc.DocumentLink</w:t>
            </w:r>
          </w:p>
        </w:tc>
        <w:tc>
          <w:tcPr>
            <w:tcW w:type="dxa" w:w="6690"/>
          </w:tcPr>
          <w:p>
            <w:pPr>
              <w:spacing w:after="0" w:before="0"/>
            </w:pPr>
            <w:r/>
            <w:r>
              <w:rPr>
                <w:rFonts w:ascii="Arial" w:hAnsi="Arial"/>
                <w:b w:val="0"/>
                <w:sz w:val="15"/>
              </w:rPr>
              <w:t>Links a document to any entity with a role and a reference page; unlinking is logical (FR-PLT-028)</w:t>
            </w:r>
          </w:p>
        </w:tc>
        <w:tc>
          <w:tcPr>
            <w:tcW w:type="dxa" w:w="2948"/>
          </w:tcPr>
          <w:p>
            <w:pPr>
              <w:spacing w:after="0" w:before="0"/>
            </w:pPr>
            <w:r/>
            <w:r>
              <w:rPr>
                <w:rFonts w:ascii="Arial" w:hAnsi="Arial"/>
                <w:b w:val="0"/>
                <w:sz w:val="15"/>
              </w:rPr>
              <w:t>DocumentLinkId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doc.DocumentVersion</w:t>
            </w:r>
          </w:p>
        </w:tc>
        <w:tc>
          <w:tcPr>
            <w:tcW w:type="dxa" w:w="6690"/>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2948"/>
            <w:shd w:val="clear" w:color="auto" w:fill="E8EEF6"/>
          </w:tcPr>
          <w:p>
            <w:pPr>
              <w:spacing w:after="0" w:before="0"/>
            </w:pPr>
            <w:r/>
            <w:r>
              <w:rPr>
                <w:rFonts w:ascii="Arial" w:hAnsi="Arial"/>
                <w:b w:val="0"/>
                <w:sz w:val="15"/>
              </w:rPr>
              <w:t>DocumentVersionId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3229932"/>
            <wp:docPr id="10" name="Picture 10"/>
            <wp:cNvGraphicFramePr>
              <a:graphicFrameLocks noChangeAspect="1"/>
            </wp:cNvGraphicFramePr>
            <a:graphic>
              <a:graphicData uri="http://schemas.openxmlformats.org/drawingml/2006/picture">
                <pic:pic>
                  <pic:nvPicPr>
                    <pic:cNvPr id="0" name="m0_config_1.png"/>
                    <pic:cNvPicPr/>
                  </pic:nvPicPr>
                  <pic:blipFill>
                    <a:blip r:embed="rId20"/>
                    <a:stretch>
                      <a:fillRect/>
                    </a:stretch>
                  </pic:blipFill>
                  <pic:spPr>
                    <a:xfrm>
                      <a:off x="0" y="0"/>
                      <a:ext cx="5965190" cy="3229932"/>
                    </a:xfrm>
                    <a:prstGeom prst="rect"/>
                  </pic:spPr>
                </pic:pic>
              </a:graphicData>
            </a:graphic>
          </wp:inline>
        </w:drawing>
      </w:r>
    </w:p>
    <w:p>
      <w:pPr>
        <w:spacing w:after="120"/>
        <w:jc w:val="center"/>
      </w:pPr>
      <w:r>
        <w:rPr>
          <w:rFonts w:ascii="Arial" w:hAnsi="Arial"/>
          <w:b w:val="0"/>
          <w:i/>
          <w:color w:val="6B7280"/>
          <w:sz w:val="16"/>
        </w:rPr>
        <w:t>Figure 10  Configuration and background jobs (part 1 of 3)  ·  3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2650" cy="7869867"/>
            <wp:docPr id="11" name="Picture 11"/>
            <wp:cNvGraphicFramePr>
              <a:graphicFrameLocks noChangeAspect="1"/>
            </wp:cNvGraphicFramePr>
            <a:graphic>
              <a:graphicData uri="http://schemas.openxmlformats.org/drawingml/2006/picture">
                <pic:pic>
                  <pic:nvPicPr>
                    <pic:cNvPr id="0" name="m0_config_2.png"/>
                    <pic:cNvPicPr/>
                  </pic:nvPicPr>
                  <pic:blipFill>
                    <a:blip r:embed="rId21"/>
                    <a:stretch>
                      <a:fillRect/>
                    </a:stretch>
                  </pic:blipFill>
                  <pic:spPr>
                    <a:xfrm>
                      <a:off x="0" y="0"/>
                      <a:ext cx="5962650" cy="7869867"/>
                    </a:xfrm>
                    <a:prstGeom prst="rect"/>
                  </pic:spPr>
                </pic:pic>
              </a:graphicData>
            </a:graphic>
          </wp:inline>
        </w:drawing>
      </w:r>
    </w:p>
    <w:p>
      <w:pPr>
        <w:spacing w:after="120"/>
        <w:jc w:val="center"/>
      </w:pPr>
      <w:r>
        <w:rPr>
          <w:rFonts w:ascii="Arial" w:hAnsi="Arial"/>
          <w:b w:val="0"/>
          <w:i/>
          <w:color w:val="6B7280"/>
          <w:sz w:val="16"/>
        </w:rPr>
        <w:t>Figure 11  Configuration and background jobs (part 2 of 3)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cfg.JobRun</w:t>
            </w:r>
          </w:p>
        </w:tc>
        <w:tc>
          <w:tcPr>
            <w:tcW w:type="dxa" w:w="6690"/>
          </w:tcPr>
          <w:p>
            <w:pPr>
              <w:spacing w:after="0" w:before="0"/>
            </w:pPr>
            <w:r/>
            <w:r>
              <w:rPr>
                <w:rFonts w:ascii="Arial" w:hAnsi="Arial"/>
                <w:b w:val="0"/>
                <w:sz w:val="15"/>
              </w:rPr>
              <w:t>Background job run log: last run, duration and result, visible to the account administrator (FR-PLT-044)</w:t>
            </w:r>
          </w:p>
        </w:tc>
        <w:tc>
          <w:tcPr>
            <w:tcW w:type="dxa" w:w="2948"/>
          </w:tcPr>
          <w:p>
            <w:pPr>
              <w:spacing w:after="0" w:before="0"/>
            </w:pPr>
            <w:r/>
            <w:r>
              <w:rPr>
                <w:rFonts w:ascii="Arial" w:hAnsi="Arial"/>
                <w:b w:val="0"/>
                <w:sz w:val="15"/>
              </w:rPr>
              <w:t>JobRunId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cfg.NonWorkingDay</w:t>
            </w:r>
          </w:p>
        </w:tc>
        <w:tc>
          <w:tcPr>
            <w:tcW w:type="dxa" w:w="6690"/>
            <w:shd w:val="clear" w:color="auto" w:fill="E8EEF6"/>
          </w:tcPr>
          <w:p>
            <w:pPr>
              <w:spacing w:after="0" w:before="0"/>
            </w:pPr>
            <w:r/>
            <w:r>
              <w:rPr>
                <w:rFonts w:ascii="Arial" w:hAnsi="Arial"/>
                <w:b w:val="0"/>
                <w:sz w:val="15"/>
              </w:rPr>
              <w:t>Non-working day; NULL TenantId = platform holiday, read-only (FR-PLT-035, BR-PLT-014)</w:t>
            </w:r>
          </w:p>
        </w:tc>
        <w:tc>
          <w:tcPr>
            <w:tcW w:type="dxa" w:w="2948"/>
            <w:shd w:val="clear" w:color="auto" w:fill="E8EEF6"/>
          </w:tcPr>
          <w:p>
            <w:pPr>
              <w:spacing w:after="0" w:before="0"/>
            </w:pPr>
            <w:r/>
            <w:r>
              <w:rPr>
                <w:rFonts w:ascii="Arial" w:hAnsi="Arial"/>
                <w:b w:val="0"/>
                <w:sz w:val="15"/>
              </w:rPr>
              <w:t>NonWorkingDayId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SequenceId</w:t>
            </w:r>
          </w:p>
        </w:tc>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NumberSequenceId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VoidedBy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3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6468110" cy="6206226"/>
            <wp:docPr id="12" name="Picture 12"/>
            <wp:cNvGraphicFramePr>
              <a:graphicFrameLocks noChangeAspect="1"/>
            </wp:cNvGraphicFramePr>
            <a:graphic>
              <a:graphicData uri="http://schemas.openxmlformats.org/drawingml/2006/picture">
                <pic:pic>
                  <pic:nvPicPr>
                    <pic:cNvPr id="0" name="m0_config_3.png"/>
                    <pic:cNvPicPr/>
                  </pic:nvPicPr>
                  <pic:blipFill>
                    <a:blip r:embed="rId22"/>
                    <a:stretch>
                      <a:fillRect/>
                    </a:stretch>
                  </pic:blipFill>
                  <pic:spPr>
                    <a:xfrm>
                      <a:off x="0" y="0"/>
                      <a:ext cx="6468110" cy="6206226"/>
                    </a:xfrm>
                    <a:prstGeom prst="rect"/>
                  </pic:spPr>
                </pic:pic>
              </a:graphicData>
            </a:graphic>
          </wp:inline>
        </w:drawing>
      </w:r>
    </w:p>
    <w:p>
      <w:pPr>
        <w:spacing w:after="120"/>
        <w:jc w:val="center"/>
      </w:pPr>
      <w:r>
        <w:rPr>
          <w:rFonts w:ascii="Arial" w:hAnsi="Arial"/>
          <w:b w:val="0"/>
          <w:i/>
          <w:color w:val="6B7280"/>
          <w:sz w:val="16"/>
        </w:rPr>
        <w:t>Figure 12  Configuration and background jobs (part 3 of 3)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cfg.NumberSequence</w:t>
            </w:r>
          </w:p>
        </w:tc>
        <w:tc>
          <w:tcPr>
            <w:tcW w:type="dxa" w:w="6690"/>
          </w:tcPr>
          <w:p>
            <w:pPr>
              <w:spacing w:after="0" w:before="0"/>
            </w:pPr>
            <w:r/>
            <w:r>
              <w:rPr>
                <w:rFonts w:ascii="Arial" w:hAnsi="Arial"/>
                <w:b w:val="0"/>
                <w:sz w:val="15"/>
              </w:rPr>
              <w:t>Counter per (definition, optional company, period); its row is locked on allocation inside the caller's transaction (BR-PLT-010)</w:t>
            </w:r>
          </w:p>
        </w:tc>
        <w:tc>
          <w:tcPr>
            <w:tcW w:type="dxa" w:w="2948"/>
          </w:tcPr>
          <w:p>
            <w:pPr>
              <w:spacing w:after="0" w:before="0"/>
            </w:pPr>
            <w:r/>
            <w:r>
              <w:rPr>
                <w:rFonts w:ascii="Arial" w:hAnsi="Arial"/>
                <w:b w:val="0"/>
                <w:sz w:val="15"/>
              </w:rPr>
              <w:t>NumberSequenceId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cfg.NumberSequenceDefinition</w:t>
            </w:r>
          </w:p>
        </w:tc>
        <w:tc>
          <w:tcPr>
            <w:tcW w:type="dxa" w:w="6690"/>
            <w:shd w:val="clear" w:color="auto" w:fill="E8EEF6"/>
          </w:tcPr>
          <w:p>
            <w:pPr>
              <w:spacing w:after="0" w:before="0"/>
            </w:pPr>
            <w:r/>
            <w:r>
              <w:rPr>
                <w:rFonts w:ascii="Arial" w:hAnsi="Arial"/>
                <w:b w:val="0"/>
                <w:sz w:val="15"/>
              </w:rPr>
              <w:t>Numbering-type definition with a tag-based format, for example {seq:000}-{erp}-{yy} (FR-PLT-026)</w:t>
            </w:r>
          </w:p>
        </w:tc>
        <w:tc>
          <w:tcPr>
            <w:tcW w:type="dxa" w:w="2948"/>
            <w:shd w:val="clear" w:color="auto" w:fill="E8EEF6"/>
          </w:tcPr>
          <w:p>
            <w:pPr>
              <w:spacing w:after="0" w:before="0"/>
            </w:pPr>
            <w:r/>
            <w:r>
              <w:rPr>
                <w:rFonts w:ascii="Arial" w:hAnsi="Arial"/>
                <w:b w:val="0"/>
                <w:sz w:val="15"/>
              </w:rPr>
              <w:t>NumberSequenceDefinitionId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cfg.OutboxEvent</w:t>
            </w:r>
          </w:p>
        </w:tc>
        <w:tc>
          <w:tcPr>
            <w:tcW w:type="dxa" w:w="6690"/>
          </w:tcPr>
          <w:p>
            <w:pPr>
              <w:spacing w:after="0" w:before="0"/>
            </w:pPr>
            <w:r/>
            <w:r>
              <w:rPr>
                <w:rFonts w:ascii="Arial" w:hAnsi="Arial"/>
                <w:b w:val="0"/>
                <w:sz w:val="15"/>
              </w:rPr>
              <w:t>Outbound queue with at-least-once delivery; the payload carries identifiers without restricted data (FR-PLT-042)</w:t>
            </w:r>
          </w:p>
        </w:tc>
        <w:tc>
          <w:tcPr>
            <w:tcW w:type="dxa" w:w="2948"/>
          </w:tcPr>
          <w:p>
            <w:pPr>
              <w:spacing w:after="0" w:before="0"/>
            </w:pPr>
            <w:r/>
            <w:r>
              <w:rPr>
                <w:rFonts w:ascii="Arial" w:hAnsi="Arial"/>
                <w:b w:val="0"/>
                <w:sz w:val="15"/>
              </w:rPr>
              <w:t>OutboxEventId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cfg.SeedRun</w:t>
            </w:r>
          </w:p>
        </w:tc>
        <w:tc>
          <w:tcPr>
            <w:tcW w:type="dxa" w:w="6690"/>
            <w:shd w:val="clear" w:color="auto" w:fill="E8EEF6"/>
          </w:tcPr>
          <w:p>
            <w:pPr>
              <w:spacing w:after="0" w:before="0"/>
            </w:pPr>
            <w:r/>
            <w:r>
              <w:rPr>
                <w:rFonts w:ascii="Arial" w:hAnsi="Arial"/>
                <w:b w:val="0"/>
                <w:sz w:val="15"/>
              </w:rPr>
              <w:t>Numbered seed-run log per package; re-running a seed adds nothing (FR-PLT-008)</w:t>
            </w:r>
          </w:p>
        </w:tc>
        <w:tc>
          <w:tcPr>
            <w:tcW w:type="dxa" w:w="2948"/>
            <w:shd w:val="clear" w:color="auto" w:fill="E8EEF6"/>
          </w:tcPr>
          <w:p>
            <w:pPr>
              <w:spacing w:after="0" w:before="0"/>
            </w:pPr>
            <w:r/>
            <w:r>
              <w:rPr>
                <w:rFonts w:ascii="Arial" w:hAnsi="Arial"/>
                <w:b w:val="0"/>
                <w:sz w:val="15"/>
              </w:rPr>
              <w:t>SeedRunId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cfg.SettingDefinition</w:t>
            </w:r>
          </w:p>
        </w:tc>
        <w:tc>
          <w:tcPr>
            <w:tcW w:type="dxa" w:w="6690"/>
          </w:tcPr>
          <w:p>
            <w:pPr>
              <w:spacing w:after="0" w:before="0"/>
            </w:pPr>
            <w:r/>
            <w:r>
              <w:rPr>
                <w:rFonts w:ascii="Arial" w:hAnsi="Arial"/>
                <w:b w:val="0"/>
                <w:sz w:val="15"/>
              </w:rPr>
              <w:t>Setting-key definition with platform minimum and maximum bounds (BR-PLT-018, FR-PLT-043)</w:t>
            </w:r>
          </w:p>
        </w:tc>
        <w:tc>
          <w:tcPr>
            <w:tcW w:type="dxa" w:w="2948"/>
          </w:tcPr>
          <w:p>
            <w:pPr>
              <w:spacing w:after="0" w:before="0"/>
            </w:pPr>
            <w:r/>
            <w:r>
              <w:rPr>
                <w:rFonts w:ascii="Arial" w:hAnsi="Arial"/>
                <w:b w:val="0"/>
                <w:sz w:val="15"/>
              </w:rPr>
              <w:t>SettingDefinitionId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cfg.TenantSetting</w:t>
            </w:r>
          </w:p>
        </w:tc>
        <w:tc>
          <w:tcPr>
            <w:tcW w:type="dxa" w:w="6690"/>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2948"/>
            <w:shd w:val="clear" w:color="auto" w:fill="E8EEF6"/>
          </w:tcPr>
          <w:p>
            <w:pPr>
              <w:spacing w:after="0" w:before="0"/>
            </w:pPr>
            <w:r/>
            <w:r>
              <w:rPr>
                <w:rFonts w:ascii="Arial" w:hAnsi="Arial"/>
                <w:b w:val="0"/>
                <w:sz w:val="15"/>
              </w:rPr>
              <w:t>TenantSettingId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658350" cy="5834906"/>
            <wp:docPr id="13" name="Picture 13"/>
            <wp:cNvGraphicFramePr>
              <a:graphicFrameLocks noChangeAspect="1"/>
            </wp:cNvGraphicFramePr>
            <a:graphic>
              <a:graphicData uri="http://schemas.openxmlformats.org/drawingml/2006/picture">
                <pic:pic>
                  <pic:nvPicPr>
                    <pic:cNvPr id="0" name="m1_company_1.png"/>
                    <pic:cNvPicPr/>
                  </pic:nvPicPr>
                  <pic:blipFill>
                    <a:blip r:embed="rId23"/>
                    <a:stretch>
                      <a:fillRect/>
                    </a:stretch>
                  </pic:blipFill>
                  <pic:spPr>
                    <a:xfrm>
                      <a:off x="0" y="0"/>
                      <a:ext cx="9658350" cy="5834906"/>
                    </a:xfrm>
                    <a:prstGeom prst="rect"/>
                  </pic:spPr>
                </pic:pic>
              </a:graphicData>
            </a:graphic>
          </wp:inline>
        </w:drawing>
      </w:r>
    </w:p>
    <w:p>
      <w:pPr>
        <w:spacing w:after="120"/>
        <w:jc w:val="center"/>
      </w:pPr>
      <w:r>
        <w:rPr>
          <w:rFonts w:ascii="Arial" w:hAnsi="Arial"/>
          <w:b w:val="0"/>
          <w:i/>
          <w:color w:val="6B7280"/>
          <w:sz w:val="16"/>
        </w:rPr>
        <w:t>Figure 13  Company structure and governance (part 1 of 3)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BaseCurrencyId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org.CompanyTaxRate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ParentDepartmentId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HeadUserId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HolderPartyId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4" name="Picture 14"/>
            <wp:cNvGraphicFramePr>
              <a:graphicFrameLocks noChangeAspect="1"/>
            </wp:cNvGraphicFramePr>
            <a:graphic>
              <a:graphicData uri="http://schemas.openxmlformats.org/drawingml/2006/picture">
                <pic:pic>
                  <pic:nvPicPr>
                    <pic:cNvPr id="0" name="m1_company_2.png"/>
                    <pic:cNvPicPr/>
                  </pic:nvPicPr>
                  <pic:blipFill>
                    <a:blip r:embed="rId24"/>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14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207760" cy="7674520"/>
            <wp:docPr id="15" name="Picture 15"/>
            <wp:cNvGraphicFramePr>
              <a:graphicFrameLocks noChangeAspect="1"/>
            </wp:cNvGraphicFramePr>
            <a:graphic>
              <a:graphicData uri="http://schemas.openxmlformats.org/drawingml/2006/picture">
                <pic:pic>
                  <pic:nvPicPr>
                    <pic:cNvPr id="0" name="m1_company_3.png"/>
                    <pic:cNvPicPr/>
                  </pic:nvPicPr>
                  <pic:blipFill>
                    <a:blip r:embed="rId25"/>
                    <a:stretch>
                      <a:fillRect/>
                    </a:stretch>
                  </pic:blipFill>
                  <pic:spPr>
                    <a:xfrm>
                      <a:off x="0" y="0"/>
                      <a:ext cx="6207760" cy="7674520"/>
                    </a:xfrm>
                    <a:prstGeom prst="rect"/>
                  </pic:spPr>
                </pic:pic>
              </a:graphicData>
            </a:graphic>
          </wp:inline>
        </w:drawing>
      </w:r>
    </w:p>
    <w:p>
      <w:pPr>
        <w:spacing w:after="120"/>
        <w:jc w:val="center"/>
      </w:pPr>
      <w:r>
        <w:rPr>
          <w:rFonts w:ascii="Arial" w:hAnsi="Arial"/>
          <w:b w:val="0"/>
          <w:i/>
          <w:color w:val="6B7280"/>
          <w:sz w:val="16"/>
        </w:rPr>
        <w:t>Figure 15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6" name="Picture 16"/>
            <wp:cNvGraphicFramePr>
              <a:graphicFrameLocks noChangeAspect="1"/>
            </wp:cNvGraphicFramePr>
            <a:graphic>
              <a:graphicData uri="http://schemas.openxmlformats.org/drawingml/2006/picture">
                <pic:pic>
                  <pic:nvPicPr>
                    <pic:cNvPr id="0" name="m1_company_kyc_1.png"/>
                    <pic:cNvPicPr/>
                  </pic:nvPicPr>
                  <pic:blipFill>
                    <a:blip r:embed="rId26"/>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16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7" name="Picture 17"/>
            <wp:cNvGraphicFramePr>
              <a:graphicFrameLocks noChangeAspect="1"/>
            </wp:cNvGraphicFramePr>
            <a:graphic>
              <a:graphicData uri="http://schemas.openxmlformats.org/drawingml/2006/picture">
                <pic:pic>
                  <pic:nvPicPr>
                    <pic:cNvPr id="0" name="m1_company_kyc_2.png"/>
                    <pic:cNvPicPr/>
                  </pic:nvPicPr>
                  <pic:blipFill>
                    <a:blip r:embed="rId27"/>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17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8" name="Picture 18"/>
            <wp:cNvGraphicFramePr>
              <a:graphicFrameLocks noChangeAspect="1"/>
            </wp:cNvGraphicFramePr>
            <a:graphic>
              <a:graphicData uri="http://schemas.openxmlformats.org/drawingml/2006/picture">
                <pic:pic>
                  <pic:nvPicPr>
                    <pic:cNvPr id="0" name="m1_party_1.png"/>
                    <pic:cNvPicPr/>
                  </pic:nvPicPr>
                  <pic:blipFill>
                    <a:blip r:embed="rId28"/>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18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500870" cy="4043895"/>
            <wp:docPr id="19" name="Picture 19"/>
            <wp:cNvGraphicFramePr>
              <a:graphicFrameLocks noChangeAspect="1"/>
            </wp:cNvGraphicFramePr>
            <a:graphic>
              <a:graphicData uri="http://schemas.openxmlformats.org/drawingml/2006/picture">
                <pic:pic>
                  <pic:nvPicPr>
                    <pic:cNvPr id="0" name="m1_party_2.png"/>
                    <pic:cNvPicPr/>
                  </pic:nvPicPr>
                  <pic:blipFill>
                    <a:blip r:embed="rId29"/>
                    <a:stretch>
                      <a:fillRect/>
                    </a:stretch>
                  </pic:blipFill>
                  <pic:spPr>
                    <a:xfrm>
                      <a:off x="0" y="0"/>
                      <a:ext cx="9500870" cy="4043895"/>
                    </a:xfrm>
                    <a:prstGeom prst="rect"/>
                  </pic:spPr>
                </pic:pic>
              </a:graphicData>
            </a:graphic>
          </wp:inline>
        </w:drawing>
      </w:r>
    </w:p>
    <w:p>
      <w:pPr>
        <w:spacing w:after="120"/>
        <w:jc w:val="center"/>
      </w:pPr>
      <w:r>
        <w:rPr>
          <w:rFonts w:ascii="Arial" w:hAnsi="Arial"/>
          <w:b w:val="0"/>
          <w:i/>
          <w:color w:val="6B7280"/>
          <w:sz w:val="16"/>
        </w:rPr>
        <w:t>Figure 19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6924841"/>
            <wp:docPr id="20" name="Picture 20"/>
            <wp:cNvGraphicFramePr>
              <a:graphicFrameLocks noChangeAspect="1"/>
            </wp:cNvGraphicFramePr>
            <a:graphic>
              <a:graphicData uri="http://schemas.openxmlformats.org/drawingml/2006/picture">
                <pic:pic>
                  <pic:nvPicPr>
                    <pic:cNvPr id="0" name="m1_party_3.png"/>
                    <pic:cNvPicPr/>
                  </pic:nvPicPr>
                  <pic:blipFill>
                    <a:blip r:embed="rId30"/>
                    <a:stretch>
                      <a:fillRect/>
                    </a:stretch>
                  </pic:blipFill>
                  <pic:spPr>
                    <a:xfrm>
                      <a:off x="0" y="0"/>
                      <a:ext cx="9398000" cy="6924841"/>
                    </a:xfrm>
                    <a:prstGeom prst="rect"/>
                  </pic:spPr>
                </pic:pic>
              </a:graphicData>
            </a:graphic>
          </wp:inline>
        </w:drawing>
      </w:r>
    </w:p>
    <w:p>
      <w:pPr>
        <w:spacing w:after="120"/>
        <w:jc w:val="center"/>
      </w:pPr>
      <w:r>
        <w:rPr>
          <w:rFonts w:ascii="Arial" w:hAnsi="Arial"/>
          <w:b w:val="0"/>
          <w:i/>
          <w:color w:val="6B7280"/>
          <w:sz w:val="16"/>
        </w:rPr>
        <w:t>Figure 20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LinkedCompanyId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MergedIntoPartyId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21" name="Picture 21"/>
            <wp:cNvGraphicFramePr>
              <a:graphicFrameLocks noChangeAspect="1"/>
            </wp:cNvGraphicFramePr>
            <a:graphic>
              <a:graphicData uri="http://schemas.openxmlformats.org/drawingml/2006/picture">
                <pic:pic>
                  <pic:nvPicPr>
                    <pic:cNvPr id="0" name="m1_party_4.png"/>
                    <pic:cNvPicPr/>
                  </pic:nvPicPr>
                  <pic:blipFill>
                    <a:blip r:embed="rId31"/>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21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2" name="Picture 22"/>
            <wp:cNvGraphicFramePr>
              <a:graphicFrameLocks noChangeAspect="1"/>
            </wp:cNvGraphicFramePr>
            <a:graphic>
              <a:graphicData uri="http://schemas.openxmlformats.org/drawingml/2006/picture">
                <pic:pic>
                  <pic:nvPicPr>
                    <pic:cNvPr id="0" name="m2_3_institutions_1.png"/>
                    <pic:cNvPicPr/>
                  </pic:nvPicPr>
                  <pic:blipFill>
                    <a:blip r:embed="rId32"/>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3" name="Picture 23"/>
            <wp:cNvGraphicFramePr>
              <a:graphicFrameLocks noChangeAspect="1"/>
            </wp:cNvGraphicFramePr>
            <a:graphic>
              <a:graphicData uri="http://schemas.openxmlformats.org/drawingml/2006/picture">
                <pic:pic>
                  <pic:nvPicPr>
                    <pic:cNvPr id="0" name="m2_3_institutions_2.png"/>
                    <pic:cNvPicPr/>
                  </pic:nvPicPr>
                  <pic:blipFill>
                    <a:blip r:embed="rId33"/>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4" name="Picture 24"/>
            <wp:cNvGraphicFramePr>
              <a:graphicFrameLocks noChangeAspect="1"/>
            </wp:cNvGraphicFramePr>
            <a:graphic>
              <a:graphicData uri="http://schemas.openxmlformats.org/drawingml/2006/picture">
                <pic:pic>
                  <pic:nvPicPr>
                    <pic:cNvPr id="0" name="m2_3_institutions_3.png"/>
                    <pic:cNvPicPr/>
                  </pic:nvPicPr>
                  <pic:blipFill>
                    <a:blip r:embed="rId34"/>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5" name="Picture 25"/>
            <wp:cNvGraphicFramePr>
              <a:graphicFrameLocks noChangeAspect="1"/>
            </wp:cNvGraphicFramePr>
            <a:graphic>
              <a:graphicData uri="http://schemas.openxmlformats.org/drawingml/2006/picture">
                <pic:pic>
                  <pic:nvPicPr>
                    <pic:cNvPr id="0" name="m2_3_institutions_4.png"/>
                    <pic:cNvPicPr/>
                  </pic:nvPicPr>
                  <pic:blipFill>
                    <a:blip r:embed="rId35"/>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6" name="Picture 26"/>
            <wp:cNvGraphicFramePr>
              <a:graphicFrameLocks noChangeAspect="1"/>
            </wp:cNvGraphicFramePr>
            <a:graphic>
              <a:graphicData uri="http://schemas.openxmlformats.org/drawingml/2006/picture">
                <pic:pic>
                  <pic:nvPicPr>
                    <pic:cNvPr id="0" name="m2_3_institutions_5.png"/>
                    <pic:cNvPicPr/>
                  </pic:nvPicPr>
                  <pic:blipFill>
                    <a:blip r:embed="rId36"/>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7" name="Picture 27"/>
            <wp:cNvGraphicFramePr>
              <a:graphicFrameLocks noChangeAspect="1"/>
            </wp:cNvGraphicFramePr>
            <a:graphic>
              <a:graphicData uri="http://schemas.openxmlformats.org/drawingml/2006/picture">
                <pic:pic>
                  <pic:nvPicPr>
                    <pic:cNvPr id="0" name="m2_3_institutions_6.png"/>
                    <pic:cNvPicPr/>
                  </pic:nvPicPr>
                  <pic:blipFill>
                    <a:blip r:embed="rId37"/>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27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8" name="Picture 28"/>
            <wp:cNvGraphicFramePr>
              <a:graphicFrameLocks noChangeAspect="1"/>
            </wp:cNvGraphicFramePr>
            <a:graphic>
              <a:graphicData uri="http://schemas.openxmlformats.org/drawingml/2006/picture">
                <pic:pic>
                  <pic:nvPicPr>
                    <pic:cNvPr id="0" name="m2_3_institutions_7.png"/>
                    <pic:cNvPicPr/>
                  </pic:nvPicPr>
                  <pic:blipFill>
                    <a:blip r:embed="rId38"/>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28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9602470" cy="3587415"/>
            <wp:docPr id="29" name="Picture 29"/>
            <wp:cNvGraphicFramePr>
              <a:graphicFrameLocks noChangeAspect="1"/>
            </wp:cNvGraphicFramePr>
            <a:graphic>
              <a:graphicData uri="http://schemas.openxmlformats.org/drawingml/2006/picture">
                <pic:pic>
                  <pic:nvPicPr>
                    <pic:cNvPr id="0" name="m4_products_1.png"/>
                    <pic:cNvPicPr/>
                  </pic:nvPicPr>
                  <pic:blipFill>
                    <a:blip r:embed="rId39"/>
                    <a:stretch>
                      <a:fillRect/>
                    </a:stretch>
                  </pic:blipFill>
                  <pic:spPr>
                    <a:xfrm>
                      <a:off x="0" y="0"/>
                      <a:ext cx="9602470" cy="3587415"/>
                    </a:xfrm>
                    <a:prstGeom prst="rect"/>
                  </pic:spPr>
                </pic:pic>
              </a:graphicData>
            </a:graphic>
          </wp:inline>
        </w:drawing>
      </w:r>
    </w:p>
    <w:p>
      <w:pPr>
        <w:spacing w:after="120"/>
        <w:jc w:val="center"/>
      </w:pPr>
      <w:r>
        <w:rPr>
          <w:rFonts w:ascii="Arial" w:hAnsi="Arial"/>
          <w:b w:val="0"/>
          <w:i/>
          <w:color w:val="6B7280"/>
          <w:sz w:val="16"/>
        </w:rPr>
        <w:t>Figure 29  Products, fees, financing and collateral types (part 1 of 3)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5687060" cy="3155321"/>
            <wp:docPr id="30" name="Picture 30"/>
            <wp:cNvGraphicFramePr>
              <a:graphicFrameLocks noChangeAspect="1"/>
            </wp:cNvGraphicFramePr>
            <a:graphic>
              <a:graphicData uri="http://schemas.openxmlformats.org/drawingml/2006/picture">
                <pic:pic>
                  <pic:nvPicPr>
                    <pic:cNvPr id="0" name="m4_products_2.png"/>
                    <pic:cNvPicPr/>
                  </pic:nvPicPr>
                  <pic:blipFill>
                    <a:blip r:embed="rId40"/>
                    <a:stretch>
                      <a:fillRect/>
                    </a:stretch>
                  </pic:blipFill>
                  <pic:spPr>
                    <a:xfrm>
                      <a:off x="0" y="0"/>
                      <a:ext cx="5687060" cy="3155321"/>
                    </a:xfrm>
                    <a:prstGeom prst="rect"/>
                  </pic:spPr>
                </pic:pic>
              </a:graphicData>
            </a:graphic>
          </wp:inline>
        </w:drawing>
      </w:r>
    </w:p>
    <w:p>
      <w:pPr>
        <w:spacing w:after="120"/>
        <w:jc w:val="center"/>
      </w:pPr>
      <w:r>
        <w:rPr>
          <w:rFonts w:ascii="Arial" w:hAnsi="Arial"/>
          <w:b w:val="0"/>
          <w:i/>
          <w:color w:val="6B7280"/>
          <w:sz w:val="16"/>
        </w:rPr>
        <w:t>Figure 30  Products, fees, financing and collateral types (part 2 of 3)  ·  3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3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12510" cy="2264662"/>
            <wp:docPr id="31" name="Picture 31"/>
            <wp:cNvGraphicFramePr>
              <a:graphicFrameLocks noChangeAspect="1"/>
            </wp:cNvGraphicFramePr>
            <a:graphic>
              <a:graphicData uri="http://schemas.openxmlformats.org/drawingml/2006/picture">
                <pic:pic>
                  <pic:nvPicPr>
                    <pic:cNvPr id="0" name="m4_products_3.png"/>
                    <pic:cNvPicPr/>
                  </pic:nvPicPr>
                  <pic:blipFill>
                    <a:blip r:embed="rId41"/>
                    <a:stretch>
                      <a:fillRect/>
                    </a:stretch>
                  </pic:blipFill>
                  <pic:spPr>
                    <a:xfrm>
                      <a:off x="0" y="0"/>
                      <a:ext cx="6112510" cy="2264662"/>
                    </a:xfrm>
                    <a:prstGeom prst="rect"/>
                  </pic:spPr>
                </pic:pic>
              </a:graphicData>
            </a:graphic>
          </wp:inline>
        </w:drawing>
      </w:r>
    </w:p>
    <w:p>
      <w:pPr>
        <w:spacing w:after="120"/>
        <w:jc w:val="center"/>
      </w:pPr>
      <w:r>
        <w:rPr>
          <w:rFonts w:ascii="Arial" w:hAnsi="Arial"/>
          <w:b w:val="0"/>
          <w:i/>
          <w:color w:val="6B7280"/>
          <w:sz w:val="16"/>
        </w:rPr>
        <w:t>Figure 31  Products, fees, financing and collateral types (part 3 of 3)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cat.CollateralType</w:t>
            </w:r>
          </w:p>
        </w:tc>
        <w:tc>
          <w:tcPr>
            <w:tcW w:type="dxa" w:w="6690"/>
          </w:tcPr>
          <w:p>
            <w:pPr>
              <w:spacing w:after="0" w:before="0"/>
            </w:pPr>
            <w:r/>
            <w:r>
              <w:rPr>
                <w:rFonts w:ascii="Arial" w:hAnsi="Arial"/>
                <w:b w:val="0"/>
                <w:sz w:val="15"/>
              </w:rPr>
              <w:t>Collateral type with its structure type and attribute template (FR-CAT-013)</w:t>
            </w:r>
          </w:p>
        </w:tc>
        <w:tc>
          <w:tcPr>
            <w:tcW w:type="dxa" w:w="2948"/>
          </w:tcPr>
          <w:p>
            <w:pPr>
              <w:spacing w:after="0" w:before="0"/>
            </w:pPr>
            <w:r/>
            <w:r>
              <w:rPr>
                <w:rFonts w:ascii="Arial" w:hAnsi="Arial"/>
                <w:b w:val="0"/>
                <w:sz w:val="15"/>
              </w:rPr>
              <w:t>CollateralTypeId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cat.CollateralTypeAttribute</w:t>
            </w:r>
          </w:p>
        </w:tc>
        <w:tc>
          <w:tcPr>
            <w:tcW w:type="dxa" w:w="6690"/>
            <w:shd w:val="clear" w:color="auto" w:fill="E8EEF6"/>
          </w:tcPr>
          <w:p>
            <w:pPr>
              <w:spacing w:after="0" w:before="0"/>
            </w:pPr>
            <w:r/>
            <w:r>
              <w:rPr>
                <w:rFonts w:ascii="Arial" w:hAnsi="Arial"/>
                <w:b w:val="0"/>
                <w:sz w:val="15"/>
              </w:rPr>
              <w:t>Attribute in a collateral-type template; never deleted, only marked Retired (BR-CAT-009)</w:t>
            </w:r>
          </w:p>
        </w:tc>
        <w:tc>
          <w:tcPr>
            <w:tcW w:type="dxa" w:w="2948"/>
            <w:shd w:val="clear" w:color="auto" w:fill="E8EEF6"/>
          </w:tcPr>
          <w:p>
            <w:pPr>
              <w:spacing w:after="0" w:before="0"/>
            </w:pPr>
            <w:r/>
            <w:r>
              <w:rPr>
                <w:rFonts w:ascii="Arial" w:hAnsi="Arial"/>
                <w:b w:val="0"/>
                <w:sz w:val="15"/>
              </w:rPr>
              <w:t>CollateralTypeAttributeId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cat.ObligationType</w:t>
            </w:r>
          </w:p>
        </w:tc>
        <w:tc>
          <w:tcPr>
            <w:tcW w:type="dxa" w:w="6690"/>
          </w:tcPr>
          <w:p>
            <w:pPr>
              <w:spacing w:after="0" w:before="0"/>
            </w:pPr>
            <w:r/>
            <w:r>
              <w:rPr>
                <w:rFonts w:ascii="Arial" w:hAnsi="Arial"/>
                <w:b w:val="0"/>
                <w:sz w:val="15"/>
              </w:rPr>
              <w:t>Obligation type with four families (FR-CAT-014, BR-CAT-010)</w:t>
            </w:r>
          </w:p>
        </w:tc>
        <w:tc>
          <w:tcPr>
            <w:tcW w:type="dxa" w:w="2948"/>
          </w:tcPr>
          <w:p>
            <w:pPr>
              <w:spacing w:after="0" w:before="0"/>
            </w:pPr>
            <w:r/>
            <w:r>
              <w:rPr>
                <w:rFonts w:ascii="Arial" w:hAnsi="Arial"/>
                <w:b w:val="0"/>
                <w:sz w:val="15"/>
              </w:rPr>
              <w:t>ObligationTypeId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cat.CollateralTypeAttribute</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32" name="Picture 32"/>
            <wp:cNvGraphicFramePr>
              <a:graphicFrameLocks noChangeAspect="1"/>
            </wp:cNvGraphicFramePr>
            <a:graphic>
              <a:graphicData uri="http://schemas.openxmlformats.org/drawingml/2006/picture">
                <pic:pic>
                  <pic:nvPicPr>
                    <pic:cNvPr id="0" name="m4_reference.png"/>
                    <pic:cNvPicPr/>
                  </pic:nvPicPr>
                  <pic:blipFill>
                    <a:blip r:embed="rId42"/>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32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529328"/>
            <wp:docPr id="33" name="Picture 33"/>
            <wp:cNvGraphicFramePr>
              <a:graphicFrameLocks noChangeAspect="1"/>
            </wp:cNvGraphicFramePr>
            <a:graphic>
              <a:graphicData uri="http://schemas.openxmlformats.org/drawingml/2006/picture">
                <pic:pic>
                  <pic:nvPicPr>
                    <pic:cNvPr id="0" name="m4_rates_lookups.png"/>
                    <pic:cNvPicPr/>
                  </pic:nvPicPr>
                  <pic:blipFill>
                    <a:blip r:embed="rId43"/>
                    <a:stretch>
                      <a:fillRect/>
                    </a:stretch>
                  </pic:blipFill>
                  <pic:spPr>
                    <a:xfrm>
                      <a:off x="0" y="0"/>
                      <a:ext cx="9438640" cy="6529328"/>
                    </a:xfrm>
                    <a:prstGeom prst="rect"/>
                  </pic:spPr>
                </pic:pic>
              </a:graphicData>
            </a:graphic>
          </wp:inline>
        </w:drawing>
      </w:r>
    </w:p>
    <w:p>
      <w:pPr>
        <w:spacing w:after="120"/>
        <w:jc w:val="center"/>
      </w:pPr>
      <w:r>
        <w:rPr>
          <w:rFonts w:ascii="Arial" w:hAnsi="Arial"/>
          <w:b w:val="0"/>
          <w:i/>
          <w:color w:val="6B7280"/>
          <w:sz w:val="16"/>
        </w:rPr>
        <w:t>Figure 33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cat.BaseRateAlias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SupersedesId</w:t>
            </w:r>
          </w:p>
        </w:tc>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BaseRateValueId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208530" cy="4142553"/>
            <wp:docPr id="34" name="Picture 34"/>
            <wp:cNvGraphicFramePr>
              <a:graphicFrameLocks noChangeAspect="1"/>
            </wp:cNvGraphicFramePr>
            <a:graphic>
              <a:graphicData uri="http://schemas.openxmlformats.org/drawingml/2006/picture">
                <pic:pic>
                  <pic:nvPicPr>
                    <pic:cNvPr id="0" name="m4_global_ref.png"/>
                    <pic:cNvPicPr/>
                  </pic:nvPicPr>
                  <pic:blipFill>
                    <a:blip r:embed="rId44"/>
                    <a:stretch>
                      <a:fillRect/>
                    </a:stretch>
                  </pic:blipFill>
                  <pic:spPr>
                    <a:xfrm>
                      <a:off x="0" y="0"/>
                      <a:ext cx="2208530" cy="4142553"/>
                    </a:xfrm>
                    <a:prstGeom prst="rect"/>
                  </pic:spPr>
                </pic:pic>
              </a:graphicData>
            </a:graphic>
          </wp:inline>
        </w:drawing>
      </w:r>
    </w:p>
    <w:p>
      <w:pPr>
        <w:spacing w:after="120"/>
        <w:jc w:val="center"/>
      </w:pPr>
      <w:r>
        <w:rPr>
          <w:rFonts w:ascii="Arial" w:hAnsi="Arial"/>
          <w:b w:val="0"/>
          <w:i/>
          <w:color w:val="6B7280"/>
          <w:sz w:val="16"/>
        </w:rPr>
        <w:t>Figure 34  Global references (shared, read-only)  ·  4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ref.UcpArticle</w:t>
            </w:r>
          </w:p>
        </w:tc>
        <w:tc>
          <w:tcPr>
            <w:tcW w:type="dxa" w:w="6690"/>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shd w:val="clear" w:color="auto" w:fill="E8EEF6"/>
          </w:tcPr>
          <w:p>
            <w:pPr>
              <w:spacing w:after="0" w:before="0"/>
            </w:pPr>
            <w:r/>
            <w:r>
              <w:rPr>
                <w:rFonts w:ascii="Arial" w:hAnsi="Arial"/>
                <w:b w:val="0"/>
                <w:sz w:val="15"/>
              </w:rPr>
              <w:t>UcpArticleId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ref.UcpArticle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116424"/>
            <wp:docPr id="35" name="Picture 35"/>
            <wp:cNvGraphicFramePr>
              <a:graphicFrameLocks noChangeAspect="1"/>
            </wp:cNvGraphicFramePr>
            <a:graphic>
              <a:graphicData uri="http://schemas.openxmlformats.org/drawingml/2006/picture">
                <pic:pic>
                  <pic:nvPicPr>
                    <pic:cNvPr id="0" name="m5_facility_core_1.png"/>
                    <pic:cNvPicPr/>
                  </pic:nvPicPr>
                  <pic:blipFill>
                    <a:blip r:embed="rId45"/>
                    <a:stretch>
                      <a:fillRect/>
                    </a:stretch>
                  </pic:blipFill>
                  <pic:spPr>
                    <a:xfrm>
                      <a:off x="0" y="0"/>
                      <a:ext cx="10029190" cy="5116424"/>
                    </a:xfrm>
                    <a:prstGeom prst="rect"/>
                  </pic:spPr>
                </pic:pic>
              </a:graphicData>
            </a:graphic>
          </wp:inline>
        </w:drawing>
      </w:r>
    </w:p>
    <w:p>
      <w:pPr>
        <w:spacing w:after="120"/>
        <w:jc w:val="center"/>
      </w:pPr>
      <w:r>
        <w:rPr>
          <w:rFonts w:ascii="Arial" w:hAnsi="Arial"/>
          <w:b w:val="0"/>
          <w:i/>
          <w:color w:val="6B7280"/>
          <w:sz w:val="16"/>
        </w:rPr>
        <w:t>Figure 35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89490"/>
            <wp:docPr id="36" name="Picture 36"/>
            <wp:cNvGraphicFramePr>
              <a:graphicFrameLocks noChangeAspect="1"/>
            </wp:cNvGraphicFramePr>
            <a:graphic>
              <a:graphicData uri="http://schemas.openxmlformats.org/drawingml/2006/picture">
                <pic:pic>
                  <pic:nvPicPr>
                    <pic:cNvPr id="0" name="m5_facility_core_2.png"/>
                    <pic:cNvPicPr/>
                  </pic:nvPicPr>
                  <pic:blipFill>
                    <a:blip r:embed="rId46"/>
                    <a:stretch>
                      <a:fillRect/>
                    </a:stretch>
                  </pic:blipFill>
                  <pic:spPr>
                    <a:xfrm>
                      <a:off x="0" y="0"/>
                      <a:ext cx="5817870" cy="7089490"/>
                    </a:xfrm>
                    <a:prstGeom prst="rect"/>
                  </pic:spPr>
                </pic:pic>
              </a:graphicData>
            </a:graphic>
          </wp:inline>
        </w:drawing>
      </w:r>
    </w:p>
    <w:p>
      <w:pPr>
        <w:spacing w:after="120"/>
        <w:jc w:val="center"/>
      </w:pPr>
      <w:r>
        <w:rPr>
          <w:rFonts w:ascii="Arial" w:hAnsi="Arial"/>
          <w:b w:val="0"/>
          <w:i/>
          <w:color w:val="6B7280"/>
          <w:sz w:val="16"/>
        </w:rPr>
        <w:t>Figure 36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7" name="Picture 37"/>
            <wp:cNvGraphicFramePr>
              <a:graphicFrameLocks noChangeAspect="1"/>
            </wp:cNvGraphicFramePr>
            <a:graphic>
              <a:graphicData uri="http://schemas.openxmlformats.org/drawingml/2006/picture">
                <pic:pic>
                  <pic:nvPicPr>
                    <pic:cNvPr id="0" name="m5_limits_1.png"/>
                    <pic:cNvPicPr/>
                  </pic:nvPicPr>
                  <pic:blipFill>
                    <a:blip r:embed="rId47"/>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37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150850" cy="7153164"/>
            <wp:docPr id="38" name="Picture 38"/>
            <wp:cNvGraphicFramePr>
              <a:graphicFrameLocks noChangeAspect="1"/>
            </wp:cNvGraphicFramePr>
            <a:graphic>
              <a:graphicData uri="http://schemas.openxmlformats.org/drawingml/2006/picture">
                <pic:pic>
                  <pic:nvPicPr>
                    <pic:cNvPr id="0" name="m5_limits_2.png"/>
                    <pic:cNvPicPr/>
                  </pic:nvPicPr>
                  <pic:blipFill>
                    <a:blip r:embed="rId48"/>
                    <a:stretch>
                      <a:fillRect/>
                    </a:stretch>
                  </pic:blipFill>
                  <pic:spPr>
                    <a:xfrm>
                      <a:off x="0" y="0"/>
                      <a:ext cx="13150850" cy="7153164"/>
                    </a:xfrm>
                    <a:prstGeom prst="rect"/>
                  </pic:spPr>
                </pic:pic>
              </a:graphicData>
            </a:graphic>
          </wp:inline>
        </w:drawing>
      </w:r>
    </w:p>
    <w:p>
      <w:pPr>
        <w:spacing w:after="120"/>
        <w:jc w:val="center"/>
      </w:pPr>
      <w:r>
        <w:rPr>
          <w:rFonts w:ascii="Arial" w:hAnsi="Arial"/>
          <w:b w:val="0"/>
          <w:i/>
          <w:color w:val="6B7280"/>
          <w:sz w:val="16"/>
        </w:rPr>
        <w:t>Figure 38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ConvertedUtilizationId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LimitReservationId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9" name="Picture 39"/>
            <wp:cNvGraphicFramePr>
              <a:graphicFrameLocks noChangeAspect="1"/>
            </wp:cNvGraphicFramePr>
            <a:graphic>
              <a:graphicData uri="http://schemas.openxmlformats.org/drawingml/2006/picture">
                <pic:pic>
                  <pic:nvPicPr>
                    <pic:cNvPr id="0" name="m5_pricing_1.png"/>
                    <pic:cNvPicPr/>
                  </pic:nvPicPr>
                  <pic:blipFill>
                    <a:blip r:embed="rId49"/>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39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40" name="Picture 40"/>
            <wp:cNvGraphicFramePr>
              <a:graphicFrameLocks noChangeAspect="1"/>
            </wp:cNvGraphicFramePr>
            <a:graphic>
              <a:graphicData uri="http://schemas.openxmlformats.org/drawingml/2006/picture">
                <pic:pic>
                  <pic:nvPicPr>
                    <pic:cNvPr id="0" name="m5_pricing_2.png"/>
                    <pic:cNvPicPr/>
                  </pic:nvPicPr>
                  <pic:blipFill>
                    <a:blip r:embed="rId50"/>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40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41" name="Picture 41"/>
            <wp:cNvGraphicFramePr>
              <a:graphicFrameLocks noChangeAspect="1"/>
            </wp:cNvGraphicFramePr>
            <a:graphic>
              <a:graphicData uri="http://schemas.openxmlformats.org/drawingml/2006/picture">
                <pic:pic>
                  <pic:nvPicPr>
                    <pic:cNvPr id="0" name="m5_pricing_3.png"/>
                    <pic:cNvPicPr/>
                  </pic:nvPicPr>
                  <pic:blipFill>
                    <a:blip r:embed="rId51"/>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41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42" name="Picture 42"/>
            <wp:cNvGraphicFramePr>
              <a:graphicFrameLocks noChangeAspect="1"/>
            </wp:cNvGraphicFramePr>
            <a:graphic>
              <a:graphicData uri="http://schemas.openxmlformats.org/drawingml/2006/picture">
                <pic:pic>
                  <pic:nvPicPr>
                    <pic:cNvPr id="0" name="m5_pricing_4.png"/>
                    <pic:cNvPicPr/>
                  </pic:nvPicPr>
                  <pic:blipFill>
                    <a:blip r:embed="rId52"/>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42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3" name="Picture 43"/>
            <wp:cNvGraphicFramePr>
              <a:graphicFrameLocks noChangeAspect="1"/>
            </wp:cNvGraphicFramePr>
            <a:graphic>
              <a:graphicData uri="http://schemas.openxmlformats.org/drawingml/2006/picture">
                <pic:pic>
                  <pic:nvPicPr>
                    <pic:cNvPr id="0" name="m5_pricing_5.png"/>
                    <pic:cNvPicPr/>
                  </pic:nvPicPr>
                  <pic:blipFill>
                    <a:blip r:embed="rId53"/>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43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46870" cy="6807358"/>
            <wp:docPr id="44" name="Picture 44"/>
            <wp:cNvGraphicFramePr>
              <a:graphicFrameLocks noChangeAspect="1"/>
            </wp:cNvGraphicFramePr>
            <a:graphic>
              <a:graphicData uri="http://schemas.openxmlformats.org/drawingml/2006/picture">
                <pic:pic>
                  <pic:nvPicPr>
                    <pic:cNvPr id="0" name="m5_collateral_1.png"/>
                    <pic:cNvPicPr/>
                  </pic:nvPicPr>
                  <pic:blipFill>
                    <a:blip r:embed="rId54"/>
                    <a:stretch>
                      <a:fillRect/>
                    </a:stretch>
                  </pic:blipFill>
                  <pic:spPr>
                    <a:xfrm>
                      <a:off x="0" y="0"/>
                      <a:ext cx="9246870" cy="6807358"/>
                    </a:xfrm>
                    <a:prstGeom prst="rect"/>
                  </pic:spPr>
                </pic:pic>
              </a:graphicData>
            </a:graphic>
          </wp:inline>
        </w:drawing>
      </w:r>
    </w:p>
    <w:p>
      <w:pPr>
        <w:spacing w:after="120"/>
        <w:jc w:val="center"/>
      </w:pPr>
      <w:r>
        <w:rPr>
          <w:rFonts w:ascii="Arial" w:hAnsi="Arial"/>
          <w:b w:val="0"/>
          <w:i/>
          <w:color w:val="6B7280"/>
          <w:sz w:val="16"/>
        </w:rPr>
        <w:t>Figure 44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445250" cy="5813606"/>
            <wp:docPr id="45" name="Picture 45"/>
            <wp:cNvGraphicFramePr>
              <a:graphicFrameLocks noChangeAspect="1"/>
            </wp:cNvGraphicFramePr>
            <a:graphic>
              <a:graphicData uri="http://schemas.openxmlformats.org/drawingml/2006/picture">
                <pic:pic>
                  <pic:nvPicPr>
                    <pic:cNvPr id="0" name="m5_collateral_2.png"/>
                    <pic:cNvPicPr/>
                  </pic:nvPicPr>
                  <pic:blipFill>
                    <a:blip r:embed="rId55"/>
                    <a:stretch>
                      <a:fillRect/>
                    </a:stretch>
                  </pic:blipFill>
                  <pic:spPr>
                    <a:xfrm>
                      <a:off x="0" y="0"/>
                      <a:ext cx="6445250" cy="5813606"/>
                    </a:xfrm>
                    <a:prstGeom prst="rect"/>
                  </pic:spPr>
                </pic:pic>
              </a:graphicData>
            </a:graphic>
          </wp:inline>
        </w:drawing>
      </w:r>
    </w:p>
    <w:p>
      <w:pPr>
        <w:spacing w:after="120"/>
        <w:jc w:val="center"/>
      </w:pPr>
      <w:r>
        <w:rPr>
          <w:rFonts w:ascii="Arial" w:hAnsi="Arial"/>
          <w:b w:val="0"/>
          <w:i/>
          <w:color w:val="6B7280"/>
          <w:sz w:val="16"/>
        </w:rPr>
        <w:t>Figure 45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03690" cy="4290067"/>
            <wp:docPr id="46" name="Picture 46"/>
            <wp:cNvGraphicFramePr>
              <a:graphicFrameLocks noChangeAspect="1"/>
            </wp:cNvGraphicFramePr>
            <a:graphic>
              <a:graphicData uri="http://schemas.openxmlformats.org/drawingml/2006/picture">
                <pic:pic>
                  <pic:nvPicPr>
                    <pic:cNvPr id="0" name="m5_collateral_3.png"/>
                    <pic:cNvPicPr/>
                  </pic:nvPicPr>
                  <pic:blipFill>
                    <a:blip r:embed="rId56"/>
                    <a:stretch>
                      <a:fillRect/>
                    </a:stretch>
                  </pic:blipFill>
                  <pic:spPr>
                    <a:xfrm>
                      <a:off x="0" y="0"/>
                      <a:ext cx="9203690" cy="4290067"/>
                    </a:xfrm>
                    <a:prstGeom prst="rect"/>
                  </pic:spPr>
                </pic:pic>
              </a:graphicData>
            </a:graphic>
          </wp:inline>
        </w:drawing>
      </w:r>
    </w:p>
    <w:p>
      <w:pPr>
        <w:spacing w:after="120"/>
        <w:jc w:val="center"/>
      </w:pPr>
      <w:r>
        <w:rPr>
          <w:rFonts w:ascii="Arial" w:hAnsi="Arial"/>
          <w:b w:val="0"/>
          <w:i/>
          <w:color w:val="6B7280"/>
          <w:sz w:val="16"/>
        </w:rPr>
        <w:t>Figure 46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9278620" cy="4822221"/>
            <wp:docPr id="47" name="Picture 47"/>
            <wp:cNvGraphicFramePr>
              <a:graphicFrameLocks noChangeAspect="1"/>
            </wp:cNvGraphicFramePr>
            <a:graphic>
              <a:graphicData uri="http://schemas.openxmlformats.org/drawingml/2006/picture">
                <pic:pic>
                  <pic:nvPicPr>
                    <pic:cNvPr id="0" name="m5_obligations_1.png"/>
                    <pic:cNvPicPr/>
                  </pic:nvPicPr>
                  <pic:blipFill>
                    <a:blip r:embed="rId57"/>
                    <a:stretch>
                      <a:fillRect/>
                    </a:stretch>
                  </pic:blipFill>
                  <pic:spPr>
                    <a:xfrm>
                      <a:off x="0" y="0"/>
                      <a:ext cx="9278620" cy="4822221"/>
                    </a:xfrm>
                    <a:prstGeom prst="rect"/>
                  </pic:spPr>
                </pic:pic>
              </a:graphicData>
            </a:graphic>
          </wp:inline>
        </w:drawing>
      </w:r>
    </w:p>
    <w:p>
      <w:pPr>
        <w:spacing w:after="120"/>
        <w:jc w:val="center"/>
      </w:pPr>
      <w:r>
        <w:rPr>
          <w:rFonts w:ascii="Arial" w:hAnsi="Arial"/>
          <w:b w:val="0"/>
          <w:i/>
          <w:color w:val="6B7280"/>
          <w:sz w:val="16"/>
        </w:rPr>
        <w:t>Figure 47  Obligations, covenants and reporting (part 1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750560" cy="2999930"/>
            <wp:docPr id="48" name="Picture 48"/>
            <wp:cNvGraphicFramePr>
              <a:graphicFrameLocks noChangeAspect="1"/>
            </wp:cNvGraphicFramePr>
            <a:graphic>
              <a:graphicData uri="http://schemas.openxmlformats.org/drawingml/2006/picture">
                <pic:pic>
                  <pic:nvPicPr>
                    <pic:cNvPr id="0" name="m5_obligations_2.png"/>
                    <pic:cNvPicPr/>
                  </pic:nvPicPr>
                  <pic:blipFill>
                    <a:blip r:embed="rId58"/>
                    <a:stretch>
                      <a:fillRect/>
                    </a:stretch>
                  </pic:blipFill>
                  <pic:spPr>
                    <a:xfrm>
                      <a:off x="0" y="0"/>
                      <a:ext cx="5750560" cy="2999930"/>
                    </a:xfrm>
                    <a:prstGeom prst="rect"/>
                  </pic:spPr>
                </pic:pic>
              </a:graphicData>
            </a:graphic>
          </wp:inline>
        </w:drawing>
      </w:r>
    </w:p>
    <w:p>
      <w:pPr>
        <w:spacing w:after="120"/>
        <w:jc w:val="center"/>
      </w:pPr>
      <w:r>
        <w:rPr>
          <w:rFonts w:ascii="Arial" w:hAnsi="Arial"/>
          <w:b w:val="0"/>
          <w:i/>
          <w:color w:val="6B7280"/>
          <w:sz w:val="16"/>
        </w:rPr>
        <w:t>Figure 48  Obligations, covenants and reporting (part 2 of 4)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993130" cy="5066315"/>
            <wp:docPr id="49" name="Picture 49"/>
            <wp:cNvGraphicFramePr>
              <a:graphicFrameLocks noChangeAspect="1"/>
            </wp:cNvGraphicFramePr>
            <a:graphic>
              <a:graphicData uri="http://schemas.openxmlformats.org/drawingml/2006/picture">
                <pic:pic>
                  <pic:nvPicPr>
                    <pic:cNvPr id="0" name="m5_obligations_3.png"/>
                    <pic:cNvPicPr/>
                  </pic:nvPicPr>
                  <pic:blipFill>
                    <a:blip r:embed="rId59"/>
                    <a:stretch>
                      <a:fillRect/>
                    </a:stretch>
                  </pic:blipFill>
                  <pic:spPr>
                    <a:xfrm>
                      <a:off x="0" y="0"/>
                      <a:ext cx="5993130" cy="5066315"/>
                    </a:xfrm>
                    <a:prstGeom prst="rect"/>
                  </pic:spPr>
                </pic:pic>
              </a:graphicData>
            </a:graphic>
          </wp:inline>
        </w:drawing>
      </w:r>
    </w:p>
    <w:p>
      <w:pPr>
        <w:spacing w:after="120"/>
        <w:jc w:val="center"/>
      </w:pPr>
      <w:r>
        <w:rPr>
          <w:rFonts w:ascii="Arial" w:hAnsi="Arial"/>
          <w:b w:val="0"/>
          <w:i/>
          <w:color w:val="6B7280"/>
          <w:sz w:val="16"/>
        </w:rPr>
        <w:t>Figure 49  Obligations, covenants and reporting (part 3 of 4)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w:t>
            </w:r>
          </w:p>
        </w:tc>
        <w:tc>
          <w:tcPr>
            <w:tcW w:type="dxa" w:w="6690"/>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tcPr>
          <w:p>
            <w:pPr>
              <w:spacing w:after="0" w:before="0"/>
            </w:pPr>
            <w:r/>
            <w:r>
              <w:rPr>
                <w:rFonts w:ascii="Arial" w:hAnsi="Arial"/>
                <w:b w:val="0"/>
                <w:sz w:val="15"/>
              </w:rPr>
              <w:t>ObligationId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3286740" cy="7239756"/>
            <wp:docPr id="50" name="Picture 50"/>
            <wp:cNvGraphicFramePr>
              <a:graphicFrameLocks noChangeAspect="1"/>
            </wp:cNvGraphicFramePr>
            <a:graphic>
              <a:graphicData uri="http://schemas.openxmlformats.org/drawingml/2006/picture">
                <pic:pic>
                  <pic:nvPicPr>
                    <pic:cNvPr id="0" name="m5_obligations_4.png"/>
                    <pic:cNvPicPr/>
                  </pic:nvPicPr>
                  <pic:blipFill>
                    <a:blip r:embed="rId60"/>
                    <a:stretch>
                      <a:fillRect/>
                    </a:stretch>
                  </pic:blipFill>
                  <pic:spPr>
                    <a:xfrm>
                      <a:off x="0" y="0"/>
                      <a:ext cx="13286740" cy="7239756"/>
                    </a:xfrm>
                    <a:prstGeom prst="rect"/>
                  </pic:spPr>
                </pic:pic>
              </a:graphicData>
            </a:graphic>
          </wp:inline>
        </w:drawing>
      </w:r>
    </w:p>
    <w:p>
      <w:pPr>
        <w:spacing w:after="120"/>
        <w:jc w:val="center"/>
      </w:pPr>
      <w:r>
        <w:rPr>
          <w:rFonts w:ascii="Arial" w:hAnsi="Arial"/>
          <w:b w:val="0"/>
          <w:i/>
          <w:color w:val="6B7280"/>
          <w:sz w:val="16"/>
        </w:rPr>
        <w:t>Figure 50  Obligations, covenants and reporting (part 4 of 4)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ReportingObligationId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SubmissionChannelUsedId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EvidenceDocumentId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SubmissionChannelId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7528388"/>
            <wp:docPr id="51" name="Picture 51"/>
            <wp:cNvGraphicFramePr>
              <a:graphicFrameLocks noChangeAspect="1"/>
            </wp:cNvGraphicFramePr>
            <a:graphic>
              <a:graphicData uri="http://schemas.openxmlformats.org/drawingml/2006/picture">
                <pic:pic>
                  <pic:nvPicPr>
                    <pic:cNvPr id="0" name="m5_financials_1.png"/>
                    <pic:cNvPicPr/>
                  </pic:nvPicPr>
                  <pic:blipFill>
                    <a:blip r:embed="rId61"/>
                    <a:stretch>
                      <a:fillRect/>
                    </a:stretch>
                  </pic:blipFill>
                  <pic:spPr>
                    <a:xfrm>
                      <a:off x="0" y="0"/>
                      <a:ext cx="5908040" cy="7528388"/>
                    </a:xfrm>
                    <a:prstGeom prst="rect"/>
                  </pic:spPr>
                </pic:pic>
              </a:graphicData>
            </a:graphic>
          </wp:inline>
        </w:drawing>
      </w:r>
    </w:p>
    <w:p>
      <w:pPr>
        <w:spacing w:after="120"/>
        <w:jc w:val="center"/>
      </w:pPr>
      <w:r>
        <w:rPr>
          <w:rFonts w:ascii="Arial" w:hAnsi="Arial"/>
          <w:b w:val="0"/>
          <w:i/>
          <w:color w:val="6B7280"/>
          <w:sz w:val="16"/>
        </w:rPr>
        <w:t>Figure 51  Financial statements and balances (part 1 of 5)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fin.BankFlowEntry</w:t>
            </w:r>
          </w:p>
        </w:tc>
        <w:tc>
          <w:tcPr>
            <w:tcW w:type="dxa" w:w="6690"/>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2948"/>
            <w:shd w:val="clear" w:color="auto" w:fill="E8EEF6"/>
          </w:tcPr>
          <w:p>
            <w:pPr>
              <w:spacing w:after="0" w:before="0"/>
            </w:pPr>
            <w:r/>
            <w:r>
              <w:rPr>
                <w:rFonts w:ascii="Arial" w:hAnsi="Arial"/>
                <w:b w:val="0"/>
                <w:sz w:val="15"/>
              </w:rPr>
              <w:t>BankFlowEntryId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711190" cy="3001076"/>
            <wp:docPr id="52" name="Picture 52"/>
            <wp:cNvGraphicFramePr>
              <a:graphicFrameLocks noChangeAspect="1"/>
            </wp:cNvGraphicFramePr>
            <a:graphic>
              <a:graphicData uri="http://schemas.openxmlformats.org/drawingml/2006/picture">
                <pic:pic>
                  <pic:nvPicPr>
                    <pic:cNvPr id="0" name="m5_financials_2.png"/>
                    <pic:cNvPicPr/>
                  </pic:nvPicPr>
                  <pic:blipFill>
                    <a:blip r:embed="rId62"/>
                    <a:stretch>
                      <a:fillRect/>
                    </a:stretch>
                  </pic:blipFill>
                  <pic:spPr>
                    <a:xfrm>
                      <a:off x="0" y="0"/>
                      <a:ext cx="5711190" cy="3001076"/>
                    </a:xfrm>
                    <a:prstGeom prst="rect"/>
                  </pic:spPr>
                </pic:pic>
              </a:graphicData>
            </a:graphic>
          </wp:inline>
        </w:drawing>
      </w:r>
    </w:p>
    <w:p>
      <w:pPr>
        <w:spacing w:after="120"/>
        <w:jc w:val="center"/>
      </w:pPr>
      <w:r>
        <w:rPr>
          <w:rFonts w:ascii="Arial" w:hAnsi="Arial"/>
          <w:b w:val="0"/>
          <w:i/>
          <w:color w:val="6B7280"/>
          <w:sz w:val="16"/>
        </w:rPr>
        <w:t>Figure 52  Financial statements and balances (part 2 of 5)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2485390" cy="1072291"/>
            <wp:docPr id="53" name="Picture 53"/>
            <wp:cNvGraphicFramePr>
              <a:graphicFrameLocks noChangeAspect="1"/>
            </wp:cNvGraphicFramePr>
            <a:graphic>
              <a:graphicData uri="http://schemas.openxmlformats.org/drawingml/2006/picture">
                <pic:pic>
                  <pic:nvPicPr>
                    <pic:cNvPr id="0" name="m5_financials_3.png"/>
                    <pic:cNvPicPr/>
                  </pic:nvPicPr>
                  <pic:blipFill>
                    <a:blip r:embed="rId63"/>
                    <a:stretch>
                      <a:fillRect/>
                    </a:stretch>
                  </pic:blipFill>
                  <pic:spPr>
                    <a:xfrm>
                      <a:off x="0" y="0"/>
                      <a:ext cx="2485390" cy="1072291"/>
                    </a:xfrm>
                    <a:prstGeom prst="rect"/>
                  </pic:spPr>
                </pic:pic>
              </a:graphicData>
            </a:graphic>
          </wp:inline>
        </w:drawing>
      </w:r>
    </w:p>
    <w:p>
      <w:pPr>
        <w:spacing w:after="120"/>
        <w:jc w:val="center"/>
      </w:pPr>
      <w:r>
        <w:rPr>
          <w:rFonts w:ascii="Arial" w:hAnsi="Arial"/>
          <w:b w:val="0"/>
          <w:i/>
          <w:color w:val="6B7280"/>
          <w:sz w:val="16"/>
        </w:rPr>
        <w:t>Figure 53  Financial statements and balances (part 3 of 5)  ·  1 table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w:t>
            </w:r>
          </w:p>
        </w:tc>
        <w:tc>
          <w:tcPr>
            <w:tcW w:type="dxa" w:w="6690"/>
          </w:tcPr>
          <w:p>
            <w:pPr>
              <w:spacing w:after="0" w:before="0"/>
            </w:pPr>
            <w:r/>
            <w:r>
              <w:rPr>
                <w:rFonts w:ascii="Arial" w:hAnsi="Arial"/>
                <w:b w:val="0"/>
                <w:sz w:val="15"/>
              </w:rPr>
              <w:t>Standard statement line item; 39 items seeded; system items used in formulas cannot be deleted (FR-FIN-001, CatalogBase)</w:t>
            </w:r>
          </w:p>
        </w:tc>
        <w:tc>
          <w:tcPr>
            <w:tcW w:type="dxa" w:w="2948"/>
          </w:tcPr>
          <w:p>
            <w:pPr>
              <w:spacing w:after="0" w:before="0"/>
            </w:pPr>
            <w:r/>
            <w:r>
              <w:rPr>
                <w:rFonts w:ascii="Arial" w:hAnsi="Arial"/>
                <w:b w:val="0"/>
                <w:sz w:val="15"/>
              </w:rPr>
              <w:t>LineCatalogItemId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p>
      <w:pPr>
        <w:pStyle w:val="Heading3"/>
      </w:pPr>
      <w:r>
        <w:rPr>
          <w:rFonts w:ascii="Arial" w:hAnsi="Arial"/>
          <w:color w:val="1F3A5F"/>
        </w:rPr>
        <w:t>Financial statements and balances (part 4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19190" cy="6472780"/>
            <wp:docPr id="54" name="Picture 54"/>
            <wp:cNvGraphicFramePr>
              <a:graphicFrameLocks noChangeAspect="1"/>
            </wp:cNvGraphicFramePr>
            <a:graphic>
              <a:graphicData uri="http://schemas.openxmlformats.org/drawingml/2006/picture">
                <pic:pic>
                  <pic:nvPicPr>
                    <pic:cNvPr id="0" name="m5_financials_4.png"/>
                    <pic:cNvPicPr/>
                  </pic:nvPicPr>
                  <pic:blipFill>
                    <a:blip r:embed="rId64"/>
                    <a:stretch>
                      <a:fillRect/>
                    </a:stretch>
                  </pic:blipFill>
                  <pic:spPr>
                    <a:xfrm>
                      <a:off x="0" y="0"/>
                      <a:ext cx="6219190" cy="6472780"/>
                    </a:xfrm>
                    <a:prstGeom prst="rect"/>
                  </pic:spPr>
                </pic:pic>
              </a:graphicData>
            </a:graphic>
          </wp:inline>
        </w:drawing>
      </w:r>
    </w:p>
    <w:p>
      <w:pPr>
        <w:spacing w:after="120"/>
        <w:jc w:val="center"/>
      </w:pPr>
      <w:r>
        <w:rPr>
          <w:rFonts w:ascii="Arial" w:hAnsi="Arial"/>
          <w:b w:val="0"/>
          <w:i/>
          <w:color w:val="6B7280"/>
          <w:sz w:val="16"/>
        </w:rPr>
        <w:t>Figure 54  Financial statements and balances (part 4 of 5)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BaseTemplateId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5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2116198"/>
            <wp:docPr id="55" name="Picture 55"/>
            <wp:cNvGraphicFramePr>
              <a:graphicFrameLocks noChangeAspect="1"/>
            </wp:cNvGraphicFramePr>
            <a:graphic>
              <a:graphicData uri="http://schemas.openxmlformats.org/drawingml/2006/picture">
                <pic:pic>
                  <pic:nvPicPr>
                    <pic:cNvPr id="0" name="m5_financials_5.png"/>
                    <pic:cNvPicPr/>
                  </pic:nvPicPr>
                  <pic:blipFill>
                    <a:blip r:embed="rId65"/>
                    <a:stretch>
                      <a:fillRect/>
                    </a:stretch>
                  </pic:blipFill>
                  <pic:spPr>
                    <a:xfrm>
                      <a:off x="0" y="0"/>
                      <a:ext cx="6015990" cy="2116198"/>
                    </a:xfrm>
                    <a:prstGeom prst="rect"/>
                  </pic:spPr>
                </pic:pic>
              </a:graphicData>
            </a:graphic>
          </wp:inline>
        </w:drawing>
      </w:r>
    </w:p>
    <w:p>
      <w:pPr>
        <w:spacing w:after="120"/>
        <w:jc w:val="center"/>
      </w:pPr>
      <w:r>
        <w:rPr>
          <w:rFonts w:ascii="Arial" w:hAnsi="Arial"/>
          <w:b w:val="0"/>
          <w:i/>
          <w:color w:val="6B7280"/>
          <w:sz w:val="16"/>
        </w:rPr>
        <w:t>Figure 55  Financial statements and balances (part 5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LineCatalogItemId</w:t>
            </w:r>
          </w:p>
        </w:tc>
        <w:tc>
          <w:tcPr>
            <w:tcW w:type="dxa" w:w="2721"/>
            <w:shd w:val="clear" w:color="auto" w:fill="E8EEF6"/>
          </w:tcPr>
          <w:p>
            <w:pPr>
              <w:spacing w:after="0" w:before="0"/>
            </w:pPr>
            <w:r/>
            <w:r>
              <w:rPr>
                <w:rFonts w:ascii="Arial" w:hAnsi="Arial"/>
                <w:b w:val="0"/>
                <w:sz w:val="15"/>
              </w:rPr>
              <w:t>fin.LineCatalogItem</w:t>
            </w:r>
          </w:p>
        </w:tc>
        <w:tc>
          <w:tcPr>
            <w:tcW w:type="dxa" w:w="2948"/>
            <w:shd w:val="clear" w:color="auto" w:fill="E8EEF6"/>
          </w:tcPr>
          <w:p>
            <w:pPr>
              <w:spacing w:after="0" w:before="0"/>
            </w:pPr>
            <w:r/>
            <w:r>
              <w:rPr>
                <w:rFonts w:ascii="Arial" w:hAnsi="Arial"/>
                <w:b w:val="0"/>
                <w:sz w:val="15"/>
              </w:rPr>
              <w:t>LineCatalogItemId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56" name="Picture 56"/>
            <wp:cNvGraphicFramePr>
              <a:graphicFrameLocks noChangeAspect="1"/>
            </wp:cNvGraphicFramePr>
            <a:graphic>
              <a:graphicData uri="http://schemas.openxmlformats.org/drawingml/2006/picture">
                <pic:pic>
                  <pic:nvPicPr>
                    <pic:cNvPr id="0" name="m6_wf_templates_1.png"/>
                    <pic:cNvPicPr/>
                  </pic:nvPicPr>
                  <pic:blipFill>
                    <a:blip r:embed="rId66"/>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56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57" name="Picture 57"/>
            <wp:cNvGraphicFramePr>
              <a:graphicFrameLocks noChangeAspect="1"/>
            </wp:cNvGraphicFramePr>
            <a:graphic>
              <a:graphicData uri="http://schemas.openxmlformats.org/drawingml/2006/picture">
                <pic:pic>
                  <pic:nvPicPr>
                    <pic:cNvPr id="0" name="m6_wf_templates_2.png"/>
                    <pic:cNvPicPr/>
                  </pic:nvPicPr>
                  <pic:blipFill>
                    <a:blip r:embed="rId67"/>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57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58" name="Picture 58"/>
            <wp:cNvGraphicFramePr>
              <a:graphicFrameLocks noChangeAspect="1"/>
            </wp:cNvGraphicFramePr>
            <a:graphic>
              <a:graphicData uri="http://schemas.openxmlformats.org/drawingml/2006/picture">
                <pic:pic>
                  <pic:nvPicPr>
                    <pic:cNvPr id="0" name="m6_wf_templates_3.png"/>
                    <pic:cNvPicPr/>
                  </pic:nvPicPr>
                  <pic:blipFill>
                    <a:blip r:embed="rId68"/>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58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59" name="Picture 59"/>
            <wp:cNvGraphicFramePr>
              <a:graphicFrameLocks noChangeAspect="1"/>
            </wp:cNvGraphicFramePr>
            <a:graphic>
              <a:graphicData uri="http://schemas.openxmlformats.org/drawingml/2006/picture">
                <pic:pic>
                  <pic:nvPicPr>
                    <pic:cNvPr id="0" name="m6_wf_templates_4.png"/>
                    <pic:cNvPicPr/>
                  </pic:nvPicPr>
                  <pic:blipFill>
                    <a:blip r:embed="rId69"/>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59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8039567"/>
            <wp:docPr id="60" name="Picture 60"/>
            <wp:cNvGraphicFramePr>
              <a:graphicFrameLocks noChangeAspect="1"/>
            </wp:cNvGraphicFramePr>
            <a:graphic>
              <a:graphicData uri="http://schemas.openxmlformats.org/drawingml/2006/picture">
                <pic:pic>
                  <pic:nvPicPr>
                    <pic:cNvPr id="0" name="m6_requests_1.png"/>
                    <pic:cNvPicPr/>
                  </pic:nvPicPr>
                  <pic:blipFill>
                    <a:blip r:embed="rId70"/>
                    <a:stretch>
                      <a:fillRect/>
                    </a:stretch>
                  </pic:blipFill>
                  <pic:spPr>
                    <a:xfrm>
                      <a:off x="0" y="0"/>
                      <a:ext cx="6405880" cy="8039567"/>
                    </a:xfrm>
                    <a:prstGeom prst="rect"/>
                  </pic:spPr>
                </pic:pic>
              </a:graphicData>
            </a:graphic>
          </wp:inline>
        </w:drawing>
      </w:r>
    </w:p>
    <w:p>
      <w:pPr>
        <w:spacing w:after="120"/>
        <w:jc w:val="center"/>
      </w:pPr>
      <w:r>
        <w:rPr>
          <w:rFonts w:ascii="Arial" w:hAnsi="Arial"/>
          <w:b w:val="0"/>
          <w:i/>
          <w:color w:val="6B7280"/>
          <w:sz w:val="16"/>
        </w:rPr>
        <w:t>Figure 60  Requests, approvals and actions (part 1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ParentRequestId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CopiedFromRequestId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LetterOfCreditId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22390" cy="7923027"/>
            <wp:docPr id="61" name="Picture 61"/>
            <wp:cNvGraphicFramePr>
              <a:graphicFrameLocks noChangeAspect="1"/>
            </wp:cNvGraphicFramePr>
            <a:graphic>
              <a:graphicData uri="http://schemas.openxmlformats.org/drawingml/2006/picture">
                <pic:pic>
                  <pic:nvPicPr>
                    <pic:cNvPr id="0" name="m6_requests_2.png"/>
                    <pic:cNvPicPr/>
                  </pic:nvPicPr>
                  <pic:blipFill>
                    <a:blip r:embed="rId71"/>
                    <a:stretch>
                      <a:fillRect/>
                    </a:stretch>
                  </pic:blipFill>
                  <pic:spPr>
                    <a:xfrm>
                      <a:off x="0" y="0"/>
                      <a:ext cx="6422390" cy="7923027"/>
                    </a:xfrm>
                    <a:prstGeom prst="rect"/>
                  </pic:spPr>
                </pic:pic>
              </a:graphicData>
            </a:graphic>
          </wp:inline>
        </w:drawing>
      </w:r>
    </w:p>
    <w:p>
      <w:pPr>
        <w:spacing w:after="120"/>
        <w:jc w:val="center"/>
      </w:pPr>
      <w:r>
        <w:rPr>
          <w:rFonts w:ascii="Arial" w:hAnsi="Arial"/>
          <w:b w:val="0"/>
          <w:i/>
          <w:color w:val="6B7280"/>
          <w:sz w:val="16"/>
        </w:rPr>
        <w:t>Figure 61  Requests, approvals and actions (part 2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62" name="Picture 62"/>
            <wp:cNvGraphicFramePr>
              <a:graphicFrameLocks noChangeAspect="1"/>
            </wp:cNvGraphicFramePr>
            <a:graphic>
              <a:graphicData uri="http://schemas.openxmlformats.org/drawingml/2006/picture">
                <pic:pic>
                  <pic:nvPicPr>
                    <pic:cNvPr id="0" name="m6_requests_3.png"/>
                    <pic:cNvPicPr/>
                  </pic:nvPicPr>
                  <pic:blipFill>
                    <a:blip r:embed="rId72"/>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62  Requests, approvals and actions (part 3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63" name="Picture 63"/>
            <wp:cNvGraphicFramePr>
              <a:graphicFrameLocks noChangeAspect="1"/>
            </wp:cNvGraphicFramePr>
            <a:graphic>
              <a:graphicData uri="http://schemas.openxmlformats.org/drawingml/2006/picture">
                <pic:pic>
                  <pic:nvPicPr>
                    <pic:cNvPr id="0" name="m6_requests_4.png"/>
                    <pic:cNvPicPr/>
                  </pic:nvPicPr>
                  <pic:blipFill>
                    <a:blip r:embed="rId73"/>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63  Requests, approvals and actions (part 4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64" name="Picture 64"/>
            <wp:cNvGraphicFramePr>
              <a:graphicFrameLocks noChangeAspect="1"/>
            </wp:cNvGraphicFramePr>
            <a:graphic>
              <a:graphicData uri="http://schemas.openxmlformats.org/drawingml/2006/picture">
                <pic:pic>
                  <pic:nvPicPr>
                    <pic:cNvPr id="0" name="m6_requests_5.png"/>
                    <pic:cNvPicPr/>
                  </pic:nvPicPr>
                  <pic:blipFill>
                    <a:blip r:embed="rId74"/>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64  Requests, approvals and actions (part 5 of 6)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65" name="Picture 65"/>
            <wp:cNvGraphicFramePr>
              <a:graphicFrameLocks noChangeAspect="1"/>
            </wp:cNvGraphicFramePr>
            <a:graphic>
              <a:graphicData uri="http://schemas.openxmlformats.org/drawingml/2006/picture">
                <pic:pic>
                  <pic:nvPicPr>
                    <pic:cNvPr id="0" name="m6_requests_6.png"/>
                    <pic:cNvPicPr/>
                  </pic:nvPicPr>
                  <pic:blipFill>
                    <a:blip r:embed="rId75"/>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65  Requests, approvals and actions (part 6 of 6)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66" name="Picture 66"/>
            <wp:cNvGraphicFramePr>
              <a:graphicFrameLocks noChangeAspect="1"/>
            </wp:cNvGraphicFramePr>
            <a:graphic>
              <a:graphicData uri="http://schemas.openxmlformats.org/drawingml/2006/picture">
                <pic:pic>
                  <pic:nvPicPr>
                    <pic:cNvPr id="0" name="m6_notifications.png"/>
                    <pic:cNvPicPr/>
                  </pic:nvPicPr>
                  <pic:blipFill>
                    <a:blip r:embed="rId76"/>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66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67" name="Picture 67"/>
            <wp:cNvGraphicFramePr>
              <a:graphicFrameLocks noChangeAspect="1"/>
            </wp:cNvGraphicFramePr>
            <a:graphic>
              <a:graphicData uri="http://schemas.openxmlformats.org/drawingml/2006/picture">
                <pic:pic>
                  <pic:nvPicPr>
                    <pic:cNvPr id="0" name="m7_8_lc_terms_1.png"/>
                    <pic:cNvPicPr/>
                  </pic:nvPicPr>
                  <pic:blipFill>
                    <a:blip r:embed="rId77"/>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67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68" name="Picture 68"/>
            <wp:cNvGraphicFramePr>
              <a:graphicFrameLocks noChangeAspect="1"/>
            </wp:cNvGraphicFramePr>
            <a:graphic>
              <a:graphicData uri="http://schemas.openxmlformats.org/drawingml/2006/picture">
                <pic:pic>
                  <pic:nvPicPr>
                    <pic:cNvPr id="0" name="m7_8_lc_terms_2.png"/>
                    <pic:cNvPicPr/>
                  </pic:nvPicPr>
                  <pic:blipFill>
                    <a:blip r:embed="rId78"/>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68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69" name="Picture 69"/>
            <wp:cNvGraphicFramePr>
              <a:graphicFrameLocks noChangeAspect="1"/>
            </wp:cNvGraphicFramePr>
            <a:graphic>
              <a:graphicData uri="http://schemas.openxmlformats.org/drawingml/2006/picture">
                <pic:pic>
                  <pic:nvPicPr>
                    <pic:cNvPr id="0" name="m7_8_lc_terms_3.png"/>
                    <pic:cNvPicPr/>
                  </pic:nvPicPr>
                  <pic:blipFill>
                    <a:blip r:embed="rId79"/>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69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the rendered text is frozen at lock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70" name="Picture 70"/>
            <wp:cNvGraphicFramePr>
              <a:graphicFrameLocks noChangeAspect="1"/>
            </wp:cNvGraphicFramePr>
            <a:graphic>
              <a:graphicData uri="http://schemas.openxmlformats.org/drawingml/2006/picture">
                <pic:pic>
                  <pic:nvPicPr>
                    <pic:cNvPr id="0" name="m7_8_lc_terms_4.png"/>
                    <pic:cNvPicPr/>
                  </pic:nvPicPr>
                  <pic:blipFill>
                    <a:blip r:embed="rId80"/>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70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71" name="Picture 71"/>
            <wp:cNvGraphicFramePr>
              <a:graphicFrameLocks noChangeAspect="1"/>
            </wp:cNvGraphicFramePr>
            <a:graphic>
              <a:graphicData uri="http://schemas.openxmlformats.org/drawingml/2006/picture">
                <pic:pic>
                  <pic:nvPicPr>
                    <pic:cNvPr id="0" name="m7_8_lc_terms_5.png"/>
                    <pic:cNvPicPr/>
                  </pic:nvPicPr>
                  <pic:blipFill>
                    <a:blip r:embed="rId81"/>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71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665382"/>
            <wp:docPr id="72" name="Picture 72"/>
            <wp:cNvGraphicFramePr>
              <a:graphicFrameLocks noChangeAspect="1"/>
            </wp:cNvGraphicFramePr>
            <a:graphic>
              <a:graphicData uri="http://schemas.openxmlformats.org/drawingml/2006/picture">
                <pic:pic>
                  <pic:nvPicPr>
                    <pic:cNvPr id="0" name="m7_8_lc_ops_1.png"/>
                    <pic:cNvPicPr/>
                  </pic:nvPicPr>
                  <pic:blipFill>
                    <a:blip r:embed="rId82"/>
                    <a:stretch>
                      <a:fillRect/>
                    </a:stretch>
                  </pic:blipFill>
                  <pic:spPr>
                    <a:xfrm>
                      <a:off x="0" y="0"/>
                      <a:ext cx="5919470" cy="7665382"/>
                    </a:xfrm>
                    <a:prstGeom prst="rect"/>
                  </pic:spPr>
                </pic:pic>
              </a:graphicData>
            </a:graphic>
          </wp:inline>
        </w:drawing>
      </w:r>
    </w:p>
    <w:p>
      <w:pPr>
        <w:spacing w:after="120"/>
        <w:jc w:val="center"/>
      </w:pPr>
      <w:r>
        <w:rPr>
          <w:rFonts w:ascii="Arial" w:hAnsi="Arial"/>
          <w:b w:val="0"/>
          <w:i/>
          <w:color w:val="6B7280"/>
          <w:sz w:val="16"/>
        </w:rPr>
        <w:t>Figure 72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83580" cy="5933155"/>
            <wp:docPr id="73" name="Picture 73"/>
            <wp:cNvGraphicFramePr>
              <a:graphicFrameLocks noChangeAspect="1"/>
            </wp:cNvGraphicFramePr>
            <a:graphic>
              <a:graphicData uri="http://schemas.openxmlformats.org/drawingml/2006/picture">
                <pic:pic>
                  <pic:nvPicPr>
                    <pic:cNvPr id="0" name="m7_8_lc_ops_2.png"/>
                    <pic:cNvPicPr/>
                  </pic:nvPicPr>
                  <pic:blipFill>
                    <a:blip r:embed="rId83"/>
                    <a:stretch>
                      <a:fillRect/>
                    </a:stretch>
                  </pic:blipFill>
                  <pic:spPr>
                    <a:xfrm>
                      <a:off x="0" y="0"/>
                      <a:ext cx="5783580" cy="5933155"/>
                    </a:xfrm>
                    <a:prstGeom prst="rect"/>
                  </pic:spPr>
                </pic:pic>
              </a:graphicData>
            </a:graphic>
          </wp:inline>
        </w:drawing>
      </w:r>
    </w:p>
    <w:p>
      <w:pPr>
        <w:spacing w:after="120"/>
        <w:jc w:val="center"/>
      </w:pPr>
      <w:r>
        <w:rPr>
          <w:rFonts w:ascii="Arial" w:hAnsi="Arial"/>
          <w:b w:val="0"/>
          <w:i/>
          <w:color w:val="6B7280"/>
          <w:sz w:val="16"/>
        </w:rPr>
        <w:t>Figure 73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74" name="Picture 74"/>
            <wp:cNvGraphicFramePr>
              <a:graphicFrameLocks noChangeAspect="1"/>
            </wp:cNvGraphicFramePr>
            <a:graphic>
              <a:graphicData uri="http://schemas.openxmlformats.org/drawingml/2006/picture">
                <pic:pic>
                  <pic:nvPicPr>
                    <pic:cNvPr id="0" name="m7_8_lc_ops_3.png"/>
                    <pic:cNvPicPr/>
                  </pic:nvPicPr>
                  <pic:blipFill>
                    <a:blip r:embed="rId84"/>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74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699760" cy="5936731"/>
            <wp:docPr id="75" name="Picture 75"/>
            <wp:cNvGraphicFramePr>
              <a:graphicFrameLocks noChangeAspect="1"/>
            </wp:cNvGraphicFramePr>
            <a:graphic>
              <a:graphicData uri="http://schemas.openxmlformats.org/drawingml/2006/picture">
                <pic:pic>
                  <pic:nvPicPr>
                    <pic:cNvPr id="0" name="m7_8_lc_ops_4.png"/>
                    <pic:cNvPicPr/>
                  </pic:nvPicPr>
                  <pic:blipFill>
                    <a:blip r:embed="rId85"/>
                    <a:stretch>
                      <a:fillRect/>
                    </a:stretch>
                  </pic:blipFill>
                  <pic:spPr>
                    <a:xfrm>
                      <a:off x="0" y="0"/>
                      <a:ext cx="5699760" cy="5936731"/>
                    </a:xfrm>
                    <a:prstGeom prst="rect"/>
                  </pic:spPr>
                </pic:pic>
              </a:graphicData>
            </a:graphic>
          </wp:inline>
        </w:drawing>
      </w:r>
    </w:p>
    <w:p>
      <w:pPr>
        <w:spacing w:after="120"/>
        <w:jc w:val="center"/>
      </w:pPr>
      <w:r>
        <w:rPr>
          <w:rFonts w:ascii="Arial" w:hAnsi="Arial"/>
          <w:b w:val="0"/>
          <w:i/>
          <w:color w:val="6B7280"/>
          <w:sz w:val="16"/>
        </w:rPr>
        <w:t>Figure 75  Letters of credit and proforma invoices (part 4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76" name="Picture 76"/>
            <wp:cNvGraphicFramePr>
              <a:graphicFrameLocks noChangeAspect="1"/>
            </wp:cNvGraphicFramePr>
            <a:graphic>
              <a:graphicData uri="http://schemas.openxmlformats.org/drawingml/2006/picture">
                <pic:pic>
                  <pic:nvPicPr>
                    <pic:cNvPr id="0" name="m7_8_lc_ops_5.png"/>
                    <pic:cNvPicPr/>
                  </pic:nvPicPr>
                  <pic:blipFill>
                    <a:blip r:embed="rId86"/>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76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77" name="Picture 77"/>
            <wp:cNvGraphicFramePr>
              <a:graphicFrameLocks noChangeAspect="1"/>
            </wp:cNvGraphicFramePr>
            <a:graphic>
              <a:graphicData uri="http://schemas.openxmlformats.org/drawingml/2006/picture">
                <pic:pic>
                  <pic:nvPicPr>
                    <pic:cNvPr id="0" name="m7_8_lc_ops_6.png"/>
                    <pic:cNvPicPr/>
                  </pic:nvPicPr>
                  <pic:blipFill>
                    <a:blip r:embed="rId87"/>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77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28080" cy="6805600"/>
            <wp:docPr id="78" name="Picture 78"/>
            <wp:cNvGraphicFramePr>
              <a:graphicFrameLocks noChangeAspect="1"/>
            </wp:cNvGraphicFramePr>
            <a:graphic>
              <a:graphicData uri="http://schemas.openxmlformats.org/drawingml/2006/picture">
                <pic:pic>
                  <pic:nvPicPr>
                    <pic:cNvPr id="0" name="m7_8_lc_ops_7.png"/>
                    <pic:cNvPicPr/>
                  </pic:nvPicPr>
                  <pic:blipFill>
                    <a:blip r:embed="rId88"/>
                    <a:stretch>
                      <a:fillRect/>
                    </a:stretch>
                  </pic:blipFill>
                  <pic:spPr>
                    <a:xfrm>
                      <a:off x="0" y="0"/>
                      <a:ext cx="6228080" cy="6805600"/>
                    </a:xfrm>
                    <a:prstGeom prst="rect"/>
                  </pic:spPr>
                </pic:pic>
              </a:graphicData>
            </a:graphic>
          </wp:inline>
        </w:drawing>
      </w:r>
    </w:p>
    <w:p>
      <w:pPr>
        <w:spacing w:after="120"/>
        <w:jc w:val="center"/>
      </w:pPr>
      <w:r>
        <w:rPr>
          <w:rFonts w:ascii="Arial" w:hAnsi="Arial"/>
          <w:b w:val="0"/>
          <w:i/>
          <w:color w:val="6B7280"/>
          <w:sz w:val="16"/>
        </w:rPr>
        <w:t>Figure 78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the application prevents edits after issue;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79" name="Picture 79"/>
            <wp:cNvGraphicFramePr>
              <a:graphicFrameLocks noChangeAspect="1"/>
            </wp:cNvGraphicFramePr>
            <a:graphic>
              <a:graphicData uri="http://schemas.openxmlformats.org/drawingml/2006/picture">
                <pic:pic>
                  <pic:nvPicPr>
                    <pic:cNvPr id="0" name="m7_8_lc_ops_8.png"/>
                    <pic:cNvPicPr/>
                  </pic:nvPicPr>
                  <pic:blipFill>
                    <a:blip r:embed="rId89"/>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79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80" name="Picture 80"/>
            <wp:cNvGraphicFramePr>
              <a:graphicFrameLocks noChangeAspect="1"/>
            </wp:cNvGraphicFramePr>
            <a:graphic>
              <a:graphicData uri="http://schemas.openxmlformats.org/drawingml/2006/picture">
                <pic:pic>
                  <pic:nvPicPr>
                    <pic:cNvPr id="0" name="m7_8_lc_ops_9.png"/>
                    <pic:cNvPicPr/>
                  </pic:nvPicPr>
                  <pic:blipFill>
                    <a:blip r:embed="rId90"/>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80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Open decision. The analysis document does not name the algorithm.</w:t>
            </w:r>
          </w:p>
        </w:tc>
        <w:tc>
          <w:tcPr>
            <w:tcW w:type="dxa" w:w="2721"/>
          </w:tcPr>
          <w:p>
            <w:pPr>
              <w:spacing w:after="0" w:before="0"/>
            </w:pPr>
            <w:r/>
            <w:r>
              <w:rPr>
                <w:rFonts w:ascii="Arial" w:hAnsi="Arial"/>
                <w:b w:val="0"/>
                <w:sz w:val="15"/>
              </w:rPr>
              <w:t>Record the algorithm and parameters in the security section of the analysis document.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in a test container: db/deploy.sql runs to completion. Deployed counts match the DDL: 194 tables, 20 schemas, 763 foreign keys, 515 unique constraints, 1,158 CHECK constraints, 700 indexes. Not yet run on the production server.</w:t>
            </w:r>
          </w:p>
        </w:tc>
        <w:tc>
          <w:tcPr>
            <w:tcW w:type="dxa" w:w="2721"/>
            <w:shd w:val="clear" w:color="auto" w:fill="E8EEF6"/>
          </w:tcPr>
          <w:p>
            <w:pPr>
              <w:spacing w:after="0" w:before="0"/>
            </w:pPr>
            <w:r/>
            <w:r>
              <w:rPr>
                <w:rFonts w:ascii="Arial" w:hAnsi="Arial"/>
                <w:b w:val="0"/>
                <w:sz w:val="15"/>
              </w:rPr>
              <w:t>Make the deployment a CI gate (SQL Server 2025 service container) and run it on the target Windows server.</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Add the test script to CI. Decide the behaviour for a lender change after approval, which the trigger currently rejects.</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Open. The state in which completeness must hold is not defined, so no database rule is written yet.</w:t>
            </w:r>
          </w:p>
        </w:tc>
        <w:tc>
          <w:tcPr>
            <w:tcW w:type="dxa" w:w="2721"/>
          </w:tcPr>
          <w:p>
            <w:pPr>
              <w:spacing w:after="0" w:before="0"/>
            </w:pPr>
            <w:r/>
            <w:r>
              <w:rPr>
                <w:rFonts w:ascii="Arial" w:hAnsi="Arial"/>
                <w:b w:val="0"/>
                <w:sz w:val="15"/>
              </w:rPr>
              <w:t>Business decision: at which status (draft, submitted, approved) the six rows must be complete.</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w:t>
            </w:r>
          </w:p>
        </w:tc>
        <w:tc>
          <w:tcPr>
            <w:tcW w:type="dxa" w:w="2721"/>
            <w:shd w:val="clear" w:color="auto" w:fill="E8EEF6"/>
          </w:tcPr>
          <w:p>
            <w:pPr>
              <w:spacing w:after="0" w:before="0"/>
            </w:pPr>
            <w:r/>
            <w:r>
              <w:rPr>
                <w:rFonts w:ascii="Arial" w:hAnsi="Arial"/>
                <w:b w:val="0"/>
                <w:sz w:val="15"/>
              </w:rPr>
              <w:t>Check each article number against the official text and record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Listed in docs/10-detailed-analysis/90-consolidated-open-questions.md. Defaults are in use.</w:t>
            </w:r>
          </w:p>
        </w:tc>
        <w:tc>
          <w:tcPr>
            <w:tcW w:type="dxa" w:w="2721"/>
          </w:tcPr>
          <w:p>
            <w:pPr>
              <w:spacing w:after="0" w:before="0"/>
            </w:pPr>
            <w:r/>
            <w:r>
              <w:rPr>
                <w:rFonts w:ascii="Arial" w:hAnsi="Arial"/>
                <w:b w:val="0"/>
                <w:sz w:val="15"/>
              </w:rPr>
              <w:t>Assign an owner and a review date to each question; resolve the critical ones before slices S0 to S2.</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Row-level security filters rows by SESSION_CONTEXT(TenantId) (db/static/010_rls.sql). For tenant-owned tables a missing context compares as NULL and returns no rows. Endpoint tests do not exist yet.</w:t>
            </w:r>
          </w:p>
        </w:tc>
        <w:tc>
          <w:tcPr>
            <w:tcW w:type="dxa" w:w="2721"/>
          </w:tcPr>
          <w:p>
            <w:pPr>
              <w:spacing w:after="0" w:before="0"/>
            </w:pPr>
            <w:r/>
            <w:r>
              <w:rPr>
                <w:rFonts w:ascii="Arial" w:hAnsi="Arial"/>
                <w:b w:val="0"/>
                <w:sz w:val="15"/>
              </w:rPr>
              <w:t>Add cross-tenant (IDOR) and no-context tests to CI for every endpoint.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Open. Range allocation is proposed; no decision recorded.</w:t>
            </w:r>
          </w:p>
        </w:tc>
        <w:tc>
          <w:tcPr>
            <w:tcW w:type="dxa" w:w="2721"/>
            <w:shd w:val="clear" w:color="auto" w:fill="E8EEF6"/>
          </w:tcPr>
          <w:p>
            <w:pPr>
              <w:spacing w:after="0" w:before="0"/>
            </w:pPr>
            <w:r/>
            <w:r>
              <w:rPr>
                <w:rFonts w:ascii="Arial" w:hAnsi="Arial"/>
                <w:b w:val="0"/>
                <w:sz w:val="15"/>
              </w:rPr>
              <w:t>Legal and operational decision on whether gaps are acceptable, then a numbering design.</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Open. The two cascade rules are in db/model/11-organization-party.model and have not been reviewed against this rule.</w:t>
            </w:r>
          </w:p>
        </w:tc>
        <w:tc>
          <w:tcPr>
            <w:tcW w:type="dxa" w:w="2721"/>
          </w:tcPr>
          <w:p>
            <w:pPr>
              <w:spacing w:after="0" w:before="0"/>
            </w:pPr>
            <w:r/>
            <w:r>
              <w:rPr>
                <w:rFonts w:ascii="Arial" w:hAnsi="Arial"/>
                <w:b w:val="0"/>
                <w:sz w:val="15"/>
              </w:rPr>
              <w:t>Review the two rules; replace cascade with archive or close where the data is credit or audit data.</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194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m0_audit_docs_1</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m0_audit_docs_1</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m4_products_3</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m4_products_3</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m4_products_3</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(FR-PLT-042)</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m0_audit_docs_2</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m0_audit_docs_3</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1701"/>
            <w:shd w:val="clear" w:color="auto" w:fill="E8EEF6"/>
          </w:tcPr>
          <w:p>
            <w:pPr>
              <w:spacing w:after="0" w:before="0"/>
            </w:pPr>
            <w:r/>
            <w:r>
              <w:rPr>
                <w:rFonts w:ascii="Arial" w:hAnsi="Arial"/>
                <w:b w:val="0"/>
                <w:sz w:val="15"/>
              </w:rPr>
              <w:t>m0_audit_docs_3</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fac.FacilityRevision</w:t>
            </w:r>
          </w:p>
        </w:tc>
        <w:tc>
          <w:tcPr>
            <w:tcW w:type="dxa" w:w="10205"/>
            <w:shd w:val="clear" w:color="auto" w:fill="E8EEF6"/>
          </w:tcPr>
          <w:p>
            <w:pPr>
              <w:spacing w:after="0" w:before="0"/>
            </w:pPr>
            <w:r/>
            <w:r>
              <w:rPr>
                <w:rFonts w:ascii="Arial" w:hAnsi="Arial"/>
                <w:b w:val="0"/>
                <w:sz w:val="15"/>
              </w:rPr>
              <w:t>Preparer and approver revision of facility terms (FR-FAC-024, BR-FAC-003/004, section 8)</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fac.Limit</w:t>
            </w:r>
          </w:p>
        </w:tc>
        <w:tc>
          <w:tcPr>
            <w:tcW w:type="dxa" w:w="10205"/>
          </w:tcPr>
          <w:p>
            <w:pPr>
              <w:spacing w:after="0" w:before="0"/>
            </w:pPr>
            <w:r/>
            <w:r>
              <w:rPr>
                <w:rFonts w:ascii="Arial" w:hAnsi="Arial"/>
                <w:b w:val="0"/>
                <w:sz w:val="15"/>
              </w:rPr>
              <w:t>Limit-tree node (FR-FAC-010/011, BR-FAC-009/010, V-FAC-04..07)</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fac.LimitCompanyRule</w:t>
            </w:r>
          </w:p>
        </w:tc>
        <w:tc>
          <w:tcPr>
            <w:tcW w:type="dxa" w:w="10205"/>
            <w:shd w:val="clear" w:color="auto" w:fill="E8EEF6"/>
          </w:tcPr>
          <w:p>
            <w:pPr>
              <w:spacing w:after="0" w:before="0"/>
            </w:pPr>
            <w:r/>
            <w:r>
              <w:rPr>
                <w:rFonts w:ascii="Arial" w:hAnsi="Arial"/>
                <w:b w:val="0"/>
                <w:sz w:val="15"/>
              </w:rPr>
              <w:t>Company rule on a limit: allowed, excluded or allocated (FR-FAC-013, BR-FAC-012, V-FAC-09)</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fac.LimitMovement</w:t>
            </w:r>
          </w:p>
        </w:tc>
        <w:tc>
          <w:tcPr>
            <w:tcW w:type="dxa" w:w="10205"/>
          </w:tcPr>
          <w:p>
            <w:pPr>
              <w:spacing w:after="0" w:before="0"/>
            </w:pPr>
            <w:r/>
            <w:r>
              <w:rPr>
                <w:rFonts w:ascii="Arial" w:hAnsi="Arial"/>
                <w:b w:val="0"/>
                <w:sz w:val="15"/>
              </w:rPr>
              <w:t>Movement record on a reservation or usage; no update or delete; duplicate-prevention key (BR-FAC-015, BR-FAC-020)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fac.LimitProductLine</w:t>
            </w:r>
          </w:p>
        </w:tc>
        <w:tc>
          <w:tcPr>
            <w:tcW w:type="dxa" w:w="10205"/>
            <w:shd w:val="clear" w:color="auto" w:fill="E8EEF6"/>
          </w:tcPr>
          <w:p>
            <w:pPr>
              <w:spacing w:after="0" w:before="0"/>
            </w:pPr>
            <w:r/>
            <w:r>
              <w:rPr>
                <w:rFonts w:ascii="Arial" w:hAnsi="Arial"/>
                <w:b w:val="0"/>
                <w:sz w:val="15"/>
              </w:rPr>
              <w:t>Product line within a limit, with an optional SHARED_CAP ceiling (FR-FAC-012, V-FAC-08)</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fac.LimitReservation</w:t>
            </w:r>
          </w:p>
        </w:tc>
        <w:tc>
          <w:tcPr>
            <w:tcW w:type="dxa" w:w="10205"/>
          </w:tcPr>
          <w:p>
            <w:pPr>
              <w:spacing w:after="0" w:before="0"/>
            </w:pPr>
            <w:r/>
            <w:r>
              <w:rPr>
                <w:rFonts w:ascii="Arial" w:hAnsi="Arial"/>
                <w:b w:val="0"/>
                <w:sz w:val="15"/>
              </w:rPr>
              <w:t>Amount reserved for a request, equal to ExposureAmount (FR-FAC-017/018/020, BR-FAC-015)</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fac.OutstandingSnapshot</w:t>
            </w:r>
          </w:p>
        </w:tc>
        <w:tc>
          <w:tcPr>
            <w:tcW w:type="dxa" w:w="10205"/>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fac.ProductLineTerm</w:t>
            </w:r>
          </w:p>
        </w:tc>
        <w:tc>
          <w:tcPr>
            <w:tcW w:type="dxa" w:w="10205"/>
          </w:tcPr>
          <w:p>
            <w:pPr>
              <w:spacing w:after="0" w:before="0"/>
            </w:pPr>
            <w:r/>
            <w:r>
              <w:rPr>
                <w:rFonts w:ascii="Arial" w:hAnsi="Arial"/>
                <w:b w:val="0"/>
                <w:sz w:val="15"/>
              </w:rPr>
              <w:t>Operational terms of a product line with effective dates; NULL means 'not specified', not zero (FR-FAC-014, BR-FAC-016)</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fac.Utilization</w:t>
            </w:r>
          </w:p>
        </w:tc>
        <w:tc>
          <w:tcPr>
            <w:tcW w:type="dxa" w:w="10205"/>
            <w:shd w:val="clear" w:color="auto" w:fill="E8EEF6"/>
          </w:tcPr>
          <w:p>
            <w:pPr>
              <w:spacing w:after="0" w:before="0"/>
            </w:pPr>
            <w:r/>
            <w:r>
              <w:rPr>
                <w:rFonts w:ascii="Arial" w:hAnsi="Arial"/>
                <w:b w:val="0"/>
                <w:sz w:val="15"/>
              </w:rPr>
              <w:t>Active utilisation item: manual or linked to a letter of credit; never deleted (FR-FAC-016/030, BR-FAC-013/020)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fac.ValueConflict</w:t>
            </w:r>
          </w:p>
        </w:tc>
        <w:tc>
          <w:tcPr>
            <w:tcW w:type="dxa" w:w="10205"/>
          </w:tcPr>
          <w:p>
            <w:pPr>
              <w:spacing w:after="0" w:before="0"/>
            </w:pPr>
            <w:r/>
            <w:r>
              <w:rPr>
                <w:rFonts w:ascii="Arial" w:hAnsi="Arial"/>
                <w:b w:val="0"/>
                <w:sz w:val="15"/>
              </w:rPr>
              <w:t>Conflict between two values of one field, and its resolution (FR-FAC-026, BR-FAC-019, BR-FAC-008)</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fin.AccountMonthlyStat</w:t>
            </w:r>
          </w:p>
        </w:tc>
        <w:tc>
          <w:tcPr>
            <w:tcW w:type="dxa" w:w="10205"/>
            <w:shd w:val="clear" w:color="auto" w:fill="E8EEF6"/>
          </w:tcPr>
          <w:p>
            <w:pPr>
              <w:spacing w:after="0" w:before="0"/>
            </w:pPr>
            <w:r/>
            <w:r>
              <w:rPr>
                <w:rFonts w:ascii="Arial" w:hAnsi="Arial"/>
                <w:b w:val="0"/>
                <w:sz w:val="15"/>
              </w:rPr>
              <w:t>Monthly balance of an account in the account currency (FR-FIN-008, BR-FIN-005/006, V-FIN-02)</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fin.BankFlowEntry</w:t>
            </w:r>
          </w:p>
        </w:tc>
        <w:tc>
          <w:tcPr>
            <w:tcW w:type="dxa" w:w="10205"/>
          </w:tcPr>
          <w:p>
            <w:pPr>
              <w:spacing w:after="0" w:before="0"/>
            </w:pPr>
            <w:r/>
            <w:r>
              <w:rPr>
                <w:rFonts w:ascii="Arial" w:hAnsi="Arial"/>
                <w:b w:val="0"/>
                <w:sz w:val="15"/>
              </w:rPr>
              <w:t>Amount transferred to the bank in a month; annual totals are computed automatically (FR-FIN-009/010, BR-FIN-007/008)</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fin.FinancialStatement</w:t>
            </w:r>
          </w:p>
        </w:tc>
        <w:tc>
          <w:tcPr>
            <w:tcW w:type="dxa" w:w="10205"/>
            <w:shd w:val="clear" w:color="auto" w:fill="E8EEF6"/>
          </w:tcPr>
          <w:p>
            <w:pPr>
              <w:spacing w:after="0" w:before="0"/>
            </w:pPr>
            <w:r/>
            <w:r>
              <w:rPr>
                <w:rFonts w:ascii="Arial" w:hAnsi="Arial"/>
                <w:b w:val="0"/>
                <w:sz w:val="15"/>
              </w:rPr>
              <w:t>Financial statement header; highly confidential (FR-FIN-002/005/006, BR-FIN-001..004, section 8)</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fin.LineCatalogItem</w:t>
            </w:r>
          </w:p>
        </w:tc>
        <w:tc>
          <w:tcPr>
            <w:tcW w:type="dxa" w:w="10205"/>
          </w:tcPr>
          <w:p>
            <w:pPr>
              <w:spacing w:after="0" w:before="0"/>
            </w:pPr>
            <w:r/>
            <w:r>
              <w:rPr>
                <w:rFonts w:ascii="Arial" w:hAnsi="Arial"/>
                <w:b w:val="0"/>
                <w:sz w:val="15"/>
              </w:rPr>
              <w:t>Standard statement line item; 39 items seeded; system items used in formulas cannot be deleted (FR-FIN-001, CatalogBase)</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fin.LineCatalogItemAlias</w:t>
            </w:r>
          </w:p>
        </w:tc>
        <w:tc>
          <w:tcPr>
            <w:tcW w:type="dxa" w:w="10205"/>
            <w:shd w:val="clear" w:color="auto" w:fill="E8EEF6"/>
          </w:tcPr>
          <w:p>
            <w:pPr>
              <w:spacing w:after="0" w:before="0"/>
            </w:pPr>
            <w:r/>
            <w:r>
              <w:rPr>
                <w:rFonts w:ascii="Arial" w:hAnsi="Arial"/>
                <w:b w:val="0"/>
                <w:sz w:val="15"/>
              </w:rPr>
              <w:t>Alternative names (aliases) for a line item, used for paste and matching</w:t>
            </w:r>
          </w:p>
        </w:tc>
        <w:tc>
          <w:tcPr>
            <w:tcW w:type="dxa" w:w="1701"/>
            <w:shd w:val="clear" w:color="auto" w:fill="E8EEF6"/>
          </w:tcPr>
          <w:p>
            <w:pPr>
              <w:spacing w:after="0" w:before="0"/>
            </w:pPr>
            <w:r/>
            <w:r>
              <w:rPr>
                <w:rFonts w:ascii="Arial" w:hAnsi="Arial"/>
                <w:b w:val="0"/>
                <w:sz w:val="15"/>
              </w:rPr>
              <w:t>m5_financials_4</w:t>
            </w:r>
          </w:p>
        </w:tc>
      </w:tr>
      <w:tr>
        <w:trPr>
          <w:cantSplit w:val="true"/>
        </w:trPr>
        <w:tc>
          <w:tcPr>
            <w:tcW w:type="dxa" w:w="3515"/>
          </w:tcPr>
          <w:p>
            <w:pPr>
              <w:spacing w:after="0" w:before="0"/>
            </w:pPr>
            <w:r/>
            <w:r>
              <w:rPr>
                <w:rFonts w:ascii="Arial" w:hAnsi="Arial"/>
                <w:b w:val="0"/>
                <w:sz w:val="15"/>
              </w:rPr>
              <w:t>fin.MeasureFormula</w:t>
            </w:r>
          </w:p>
        </w:tc>
        <w:tc>
          <w:tcPr>
            <w:tcW w:type="dxa" w:w="10205"/>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tcPr>
          <w:p>
            <w:pPr>
              <w:spacing w:after="0" w:before="0"/>
            </w:pPr>
            <w:r/>
            <w:r>
              <w:rPr>
                <w:rFonts w:ascii="Arial" w:hAnsi="Arial"/>
                <w:b w:val="0"/>
                <w:sz w:val="15"/>
              </w:rPr>
              <w:t>m5_financials_4</w:t>
            </w:r>
          </w:p>
        </w:tc>
      </w:tr>
      <w:tr>
        <w:trPr>
          <w:cantSplit w:val="true"/>
        </w:trPr>
        <w:tc>
          <w:tcPr>
            <w:tcW w:type="dxa" w:w="3515"/>
            <w:shd w:val="clear" w:color="auto" w:fill="E8EEF6"/>
          </w:tcPr>
          <w:p>
            <w:pPr>
              <w:spacing w:after="0" w:before="0"/>
            </w:pPr>
            <w:r/>
            <w:r>
              <w:rPr>
                <w:rFonts w:ascii="Arial" w:hAnsi="Arial"/>
                <w:b w:val="0"/>
                <w:sz w:val="15"/>
              </w:rPr>
              <w:t>fin.StatementLine</w:t>
            </w:r>
          </w:p>
        </w:tc>
        <w:tc>
          <w:tcPr>
            <w:tcW w:type="dxa" w:w="10205"/>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shd w:val="clear" w:color="auto" w:fill="E8EEF6"/>
          </w:tcPr>
          <w:p>
            <w:pPr>
              <w:spacing w:after="0" w:before="0"/>
            </w:pPr>
            <w:r/>
            <w:r>
              <w:rPr>
                <w:rFonts w:ascii="Arial" w:hAnsi="Arial"/>
                <w:b w:val="0"/>
                <w:sz w:val="15"/>
              </w:rPr>
              <w:t>m5_financials_5</w:t>
            </w:r>
          </w:p>
        </w:tc>
      </w:tr>
      <w:tr>
        <w:trPr>
          <w:cantSplit w:val="true"/>
        </w:trPr>
        <w:tc>
          <w:tcPr>
            <w:tcW w:type="dxa" w:w="3515"/>
          </w:tcPr>
          <w:p>
            <w:pPr>
              <w:spacing w:after="0" w:before="0"/>
            </w:pPr>
            <w:r/>
            <w:r>
              <w:rPr>
                <w:rFonts w:ascii="Arial" w:hAnsi="Arial"/>
                <w:b w:val="0"/>
                <w:sz w:val="15"/>
              </w:rPr>
              <w:t>ins.Contact</w:t>
            </w:r>
          </w:p>
        </w:tc>
        <w:tc>
          <w:tcPr>
            <w:tcW w:type="dxa" w:w="10205"/>
          </w:tcPr>
          <w:p>
            <w:pPr>
              <w:spacing w:after="0" w:before="0"/>
            </w:pPr>
            <w:r/>
            <w:r>
              <w:rPr>
                <w:rFonts w:ascii="Arial" w:hAnsi="Arial"/>
                <w:b w:val="0"/>
                <w:sz w:val="15"/>
              </w:rPr>
              <w:t>Contact at a bank: a lightweight record with no identity; PartyId is optional, for promotion (FR-INS-007/008, BR-INS-005/006/014)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w:t>
            </w:r>
          </w:p>
        </w:tc>
        <w:tc>
          <w:tcPr>
            <w:tcW w:type="dxa" w:w="10205"/>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ins.InstitutionUnit</w:t>
            </w:r>
          </w:p>
        </w:tc>
        <w:tc>
          <w:tcPr>
            <w:tcW w:type="dxa" w:w="10205"/>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ins.Relationship</w:t>
            </w:r>
          </w:p>
        </w:tc>
        <w:tc>
          <w:tcPr>
            <w:tcW w:type="dxa" w:w="10205"/>
            <w:shd w:val="clear" w:color="auto" w:fill="E8EEF6"/>
          </w:tcPr>
          <w:p>
            <w:pPr>
              <w:spacing w:after="0" w:before="0"/>
            </w:pPr>
            <w:r/>
            <w:r>
              <w:rPr>
                <w:rFonts w:ascii="Arial" w:hAnsi="Arial"/>
                <w:b w:val="0"/>
                <w:sz w:val="15"/>
              </w:rPr>
              <w:t>Company–institution relationship (D-4); unique regardless of status (FR-INS-009, BR-INS-007/011)</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ins.RelationshipContact</w:t>
            </w:r>
          </w:p>
        </w:tc>
        <w:tc>
          <w:tcPr>
            <w:tcW w:type="dxa" w:w="10205"/>
          </w:tcPr>
          <w:p>
            <w:pPr>
              <w:spacing w:after="0" w:before="0"/>
            </w:pPr>
            <w:r/>
            <w:r>
              <w:rPr>
                <w:rFonts w:ascii="Arial" w:hAnsi="Arial"/>
                <w:b w:val="0"/>
                <w:sz w:val="15"/>
              </w:rPr>
              <w:t>Relationship coverage (first layer): contact with role, rank and period (FR-INS-010, BR-INS-008/009)</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ins.RelationshipProduct</w:t>
            </w:r>
          </w:p>
        </w:tc>
        <w:tc>
          <w:tcPr>
            <w:tcW w:type="dxa" w:w="10205"/>
            <w:shd w:val="clear" w:color="auto" w:fill="E8EEF6"/>
          </w:tcPr>
          <w:p>
            <w:pPr>
              <w:spacing w:after="0" w:before="0"/>
            </w:pPr>
            <w:r/>
            <w:r>
              <w:rPr>
                <w:rFonts w:ascii="Arial" w:hAnsi="Arial"/>
                <w:b w:val="0"/>
                <w:sz w:val="15"/>
              </w:rPr>
              <w:t>Product handled within a relationship, with a default contact and channel (FR-INS-011..013, BR-INS-010)</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lc.Counterparty</w:t>
            </w:r>
          </w:p>
        </w:tc>
        <w:tc>
          <w:tcPr>
            <w:tcW w:type="dxa" w:w="10205"/>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lc.LcAmendment</w:t>
            </w:r>
          </w:p>
        </w:tc>
        <w:tc>
          <w:tcPr>
            <w:tcW w:type="dxa" w:w="10205"/>
            <w:shd w:val="clear" w:color="auto" w:fill="E8EEF6"/>
          </w:tcPr>
          <w:p>
            <w:pPr>
              <w:spacing w:after="0" w:before="0"/>
            </w:pPr>
            <w:r/>
            <w:r>
              <w:rPr>
                <w:rFonts w:ascii="Arial" w:hAnsi="Arial"/>
                <w:b w:val="0"/>
                <w:sz w:val="15"/>
              </w:rPr>
              <w:t>Amendment to an issued or received letter of credit (FR-LCI-018/019, FR-LCE-020, BR-LCI-011/012, BR-LCE-014); statuses in section 8</w:t>
            </w:r>
          </w:p>
        </w:tc>
        <w:tc>
          <w:tcPr>
            <w:tcW w:type="dxa" w:w="1701"/>
            <w:shd w:val="clear" w:color="auto" w:fill="E8EEF6"/>
          </w:tcPr>
          <w:p>
            <w:pPr>
              <w:spacing w:after="0" w:before="0"/>
            </w:pPr>
            <w:r/>
            <w:r>
              <w:rPr>
                <w:rFonts w:ascii="Arial" w:hAnsi="Arial"/>
                <w:b w:val="0"/>
                <w:sz w:val="15"/>
              </w:rPr>
              <w:t>m7_8_lc_ops_4</w:t>
            </w:r>
          </w:p>
        </w:tc>
      </w:tr>
      <w:tr>
        <w:trPr>
          <w:cantSplit w:val="true"/>
        </w:trPr>
        <w:tc>
          <w:tcPr>
            <w:tcW w:type="dxa" w:w="3515"/>
          </w:tcPr>
          <w:p>
            <w:pPr>
              <w:spacing w:after="0" w:before="0"/>
            </w:pPr>
            <w:r/>
            <w:r>
              <w:rPr>
                <w:rFonts w:ascii="Arial" w:hAnsi="Arial"/>
                <w:b w:val="0"/>
                <w:sz w:val="15"/>
              </w:rPr>
              <w:t>lc.LcChargesMatrix</w:t>
            </w:r>
          </w:p>
        </w:tc>
        <w:tc>
          <w:tcPr>
            <w:tcW w:type="dxa" w:w="10205"/>
          </w:tcPr>
          <w:p>
            <w:pPr>
              <w:spacing w:after="0" w:before="0"/>
            </w:pPr>
            <w:r/>
            <w:r>
              <w:rPr>
                <w:rFonts w:ascii="Arial" w:hAnsi="Arial"/>
                <w:b w:val="0"/>
                <w:sz w:val="15"/>
              </w:rPr>
              <w:t>Charges per term: one row per category; six complete rows, checked by the application (V-LCT-12) (FR-LCT-020, BR-LCT-014)</w:t>
            </w:r>
          </w:p>
        </w:tc>
        <w:tc>
          <w:tcPr>
            <w:tcW w:type="dxa" w:w="1701"/>
          </w:tcPr>
          <w:p>
            <w:pPr>
              <w:spacing w:after="0" w:before="0"/>
            </w:pPr>
            <w:r/>
            <w:r>
              <w:rPr>
                <w:rFonts w:ascii="Arial" w:hAnsi="Arial"/>
                <w:b w:val="0"/>
                <w:sz w:val="15"/>
              </w:rPr>
              <w:t>m7_8_lc_terms_4</w:t>
            </w:r>
          </w:p>
        </w:tc>
      </w:tr>
      <w:tr>
        <w:trPr>
          <w:cantSplit w:val="true"/>
        </w:trPr>
        <w:tc>
          <w:tcPr>
            <w:tcW w:type="dxa" w:w="3515"/>
            <w:shd w:val="clear" w:color="auto" w:fill="E8EEF6"/>
          </w:tcPr>
          <w:p>
            <w:pPr>
              <w:spacing w:after="0" w:before="0"/>
            </w:pPr>
            <w:r/>
            <w:r>
              <w:rPr>
                <w:rFonts w:ascii="Arial" w:hAnsi="Arial"/>
                <w:b w:val="0"/>
                <w:sz w:val="15"/>
              </w:rPr>
              <w:t>lc.LcDiscrepancy</w:t>
            </w:r>
          </w:p>
        </w:tc>
        <w:tc>
          <w:tcPr>
            <w:tcW w:type="dxa" w:w="10205"/>
            <w:shd w:val="clear" w:color="auto" w:fill="E8EEF6"/>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shd w:val="clear" w:color="auto" w:fill="E8EEF6"/>
          </w:tcPr>
          <w:p>
            <w:pPr>
              <w:spacing w:after="0" w:before="0"/>
            </w:pPr>
            <w:r/>
            <w:r>
              <w:rPr>
                <w:rFonts w:ascii="Arial" w:hAnsi="Arial"/>
                <w:b w:val="0"/>
                <w:sz w:val="15"/>
              </w:rPr>
              <w:t>m7_8_lc_ops_6</w:t>
            </w:r>
          </w:p>
        </w:tc>
      </w:tr>
      <w:tr>
        <w:trPr>
          <w:cantSplit w:val="true"/>
        </w:trPr>
        <w:tc>
          <w:tcPr>
            <w:tcW w:type="dxa" w:w="3515"/>
          </w:tcPr>
          <w:p>
            <w:pPr>
              <w:spacing w:after="0" w:before="0"/>
            </w:pPr>
            <w:r/>
            <w:r>
              <w:rPr>
                <w:rFonts w:ascii="Arial" w:hAnsi="Arial"/>
                <w:b w:val="0"/>
                <w:sz w:val="15"/>
              </w:rPr>
              <w:t>lc.LcDocumentClause</w:t>
            </w:r>
          </w:p>
        </w:tc>
        <w:tc>
          <w:tcPr>
            <w:tcW w:type="dxa" w:w="10205"/>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lc.LcDocumentClauseUcpRef</w:t>
            </w:r>
          </w:p>
        </w:tc>
        <w:tc>
          <w:tcPr>
            <w:tcW w:type="dxa" w:w="10205"/>
            <w:shd w:val="clear" w:color="auto" w:fill="E8EEF6"/>
          </w:tcPr>
          <w:p>
            <w:pPr>
              <w:spacing w:after="0" w:before="0"/>
            </w:pPr>
            <w:r/>
            <w:r>
              <w:rPr>
                <w:rFonts w:ascii="Arial" w:hAnsi="Arial"/>
                <w:b w:val="0"/>
                <w:sz w:val="15"/>
              </w:rPr>
              <w:t>UCP 600 reference for a document clause: article and paragraph (UcpRefs in specification)</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lc.LcDrawing</w:t>
            </w:r>
          </w:p>
        </w:tc>
        <w:tc>
          <w:tcPr>
            <w:tcW w:type="dxa" w:w="10205"/>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lc.LcDrawingAllocation</w:t>
            </w:r>
          </w:p>
        </w:tc>
        <w:tc>
          <w:tcPr>
            <w:tcW w:type="dxa" w:w="10205"/>
            <w:shd w:val="clear" w:color="auto" w:fill="E8EEF6"/>
          </w:tcPr>
          <w:p>
            <w:pPr>
              <w:spacing w:after="0" w:before="0"/>
            </w:pPr>
            <w:r/>
            <w:r>
              <w:rPr>
                <w:rFonts w:ascii="Arial" w:hAnsi="Arial"/>
                <w:b w:val="0"/>
                <w:sz w:val="15"/>
              </w:rPr>
              <w:t>Allocation of an export drawing across sales orders (FR-LCE-016/017, BR-LCE-011/013)</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lc.LcExternalRef</w:t>
            </w:r>
          </w:p>
        </w:tc>
        <w:tc>
          <w:tcPr>
            <w:tcW w:type="dxa" w:w="10205"/>
          </w:tcPr>
          <w:p>
            <w:pPr>
              <w:spacing w:after="0" w:before="0"/>
            </w:pPr>
            <w:r/>
            <w:r>
              <w:rPr>
                <w:rFonts w:ascii="Arial" w:hAnsi="Arial"/>
                <w:b w:val="0"/>
                <w:sz w:val="15"/>
              </w:rPr>
              <w:t>External reference for a credit (ERP and similar); no uniqueness; search on the normalised value (FR-LCI-013, BR-REQ-006)</w:t>
            </w:r>
          </w:p>
        </w:tc>
        <w:tc>
          <w:tcPr>
            <w:tcW w:type="dxa" w:w="1701"/>
          </w:tcPr>
          <w:p>
            <w:pPr>
              <w:spacing w:after="0" w:before="0"/>
            </w:pPr>
            <w:r/>
            <w:r>
              <w:rPr>
                <w:rFonts w:ascii="Arial" w:hAnsi="Arial"/>
                <w:b w:val="0"/>
                <w:sz w:val="15"/>
              </w:rPr>
              <w:t>m7_8_lc_ops_3</w:t>
            </w:r>
          </w:p>
        </w:tc>
      </w:tr>
      <w:tr>
        <w:trPr>
          <w:cantSplit w:val="true"/>
        </w:trPr>
        <w:tc>
          <w:tcPr>
            <w:tcW w:type="dxa" w:w="3515"/>
            <w:shd w:val="clear" w:color="auto" w:fill="E8EEF6"/>
          </w:tcPr>
          <w:p>
            <w:pPr>
              <w:spacing w:after="0" w:before="0"/>
            </w:pPr>
            <w:r/>
            <w:r>
              <w:rPr>
                <w:rFonts w:ascii="Arial" w:hAnsi="Arial"/>
                <w:b w:val="0"/>
                <w:sz w:val="15"/>
              </w:rPr>
              <w:t>lc.LcFieldDefinition</w:t>
            </w:r>
          </w:p>
        </w:tc>
        <w:tc>
          <w:tcPr>
            <w:tcW w:type="dxa" w:w="10205"/>
            <w:shd w:val="clear" w:color="auto" w:fill="E8EEF6"/>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lc.LcFieldUcpRef</w:t>
            </w:r>
          </w:p>
        </w:tc>
        <w:tc>
          <w:tcPr>
            <w:tcW w:type="dxa" w:w="10205"/>
          </w:tcPr>
          <w:p>
            <w:pPr>
              <w:spacing w:after="0" w:before="0"/>
            </w:pPr>
            <w:r/>
            <w:r>
              <w:rPr>
                <w:rFonts w:ascii="Arial" w:hAnsi="Arial"/>
                <w:b w:val="0"/>
                <w:sz w:val="15"/>
              </w:rPr>
              <w:t>UCP reference for a field: article and paragraph (UcpRefs in specification); feeds the badge, R-LCT-01 and BR-LCT-018</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lc.LcFormFieldMap</w:t>
            </w:r>
          </w:p>
        </w:tc>
        <w:tc>
          <w:tcPr>
            <w:tcW w:type="dxa" w:w="10205"/>
            <w:shd w:val="clear" w:color="auto" w:fill="E8EEF6"/>
          </w:tcPr>
          <w:p>
            <w:pPr>
              <w:spacing w:after="0" w:before="0"/>
            </w:pPr>
            <w:r/>
            <w:r>
              <w:rPr>
                <w:rFonts w:ascii="Arial" w:hAnsi="Arial"/>
                <w:b w:val="0"/>
                <w:sz w:val="15"/>
              </w:rPr>
              <w:t>Mapping of a system field to a PDF field or a portal-form item (FR-LCT-027, BR-LCT-020)</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lc.LcFormTemplate</w:t>
            </w:r>
          </w:p>
        </w:tc>
        <w:tc>
          <w:tcPr>
            <w:tcW w:type="dxa" w:w="10205"/>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lc.LcSalesOrder</w:t>
            </w:r>
          </w:p>
        </w:tc>
        <w:tc>
          <w:tcPr>
            <w:tcW w:type="dxa" w:w="10205"/>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lc.LcTerms</w:t>
            </w:r>
          </w:p>
        </w:tc>
        <w:tc>
          <w:tcPr>
            <w:tcW w:type="dxa" w:w="10205"/>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1701"/>
          </w:tcPr>
          <w:p>
            <w:pPr>
              <w:spacing w:after="0" w:before="0"/>
            </w:pPr>
            <w:r/>
            <w:r>
              <w:rPr>
                <w:rFonts w:ascii="Arial" w:hAnsi="Arial"/>
                <w:b w:val="0"/>
                <w:sz w:val="15"/>
              </w:rPr>
              <w:t>m7_8_lc_terms_2</w:t>
            </w:r>
          </w:p>
        </w:tc>
      </w:tr>
      <w:tr>
        <w:trPr>
          <w:cantSplit w:val="true"/>
        </w:trPr>
        <w:tc>
          <w:tcPr>
            <w:tcW w:type="dxa" w:w="3515"/>
            <w:shd w:val="clear" w:color="auto" w:fill="E8EEF6"/>
          </w:tcPr>
          <w:p>
            <w:pPr>
              <w:spacing w:after="0" w:before="0"/>
            </w:pPr>
            <w:r/>
            <w:r>
              <w:rPr>
                <w:rFonts w:ascii="Arial" w:hAnsi="Arial"/>
                <w:b w:val="0"/>
                <w:sz w:val="15"/>
              </w:rPr>
              <w:t>lc.LcTermsComparison</w:t>
            </w:r>
          </w:p>
        </w:tc>
        <w:tc>
          <w:tcPr>
            <w:tcW w:type="dxa" w:w="10205"/>
            <w:shd w:val="clear" w:color="auto" w:fill="E8EEF6"/>
          </w:tcPr>
          <w:p>
            <w:pPr>
              <w:spacing w:after="0" w:before="0"/>
            </w:pPr>
            <w:r/>
            <w:r>
              <w:rPr>
                <w:rFonts w:ascii="Arial" w:hAnsi="Arial"/>
                <w:b w:val="0"/>
                <w:sz w:val="15"/>
              </w:rPr>
              <w:t>Result of comparing received credit terms with the proforma (FR-LCT-031, FR-LCE-023,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lc.LcTermsComparisonLine</w:t>
            </w:r>
          </w:p>
        </w:tc>
        <w:tc>
          <w:tcPr>
            <w:tcW w:type="dxa" w:w="10205"/>
          </w:tcPr>
          <w:p>
            <w:pPr>
              <w:spacing w:after="0" w:before="0"/>
            </w:pPr>
            <w:r/>
            <w:r>
              <w:rPr>
                <w:rFonts w:ascii="Arial" w:hAnsi="Arial"/>
                <w:b w:val="0"/>
                <w:sz w:val="15"/>
              </w:rPr>
              <w:t>One field difference, its verdict and the treasury decision (FR-LCT-031,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lc.LcTermsDocument</w:t>
            </w:r>
          </w:p>
        </w:tc>
        <w:tc>
          <w:tcPr>
            <w:tcW w:type="dxa" w:w="10205"/>
            <w:shd w:val="clear" w:color="auto" w:fill="E8EEF6"/>
          </w:tcPr>
          <w:p>
            <w:pPr>
              <w:spacing w:after="0" w:before="0"/>
            </w:pPr>
            <w:r/>
            <w:r>
              <w:rPr>
                <w:rFonts w:ascii="Arial" w:hAnsi="Arial"/>
                <w:b w:val="0"/>
                <w:sz w:val="15"/>
              </w:rPr>
              <w:t>Document clause selected in the terms, with its parameters; the rendered text is frozen at lock (FR-LCT-018, BR-LCT-012)</w:t>
            </w:r>
          </w:p>
        </w:tc>
        <w:tc>
          <w:tcPr>
            <w:tcW w:type="dxa" w:w="1701"/>
            <w:shd w:val="clear" w:color="auto" w:fill="E8EEF6"/>
          </w:tcPr>
          <w:p>
            <w:pPr>
              <w:spacing w:after="0" w:before="0"/>
            </w:pPr>
            <w:r/>
            <w:r>
              <w:rPr>
                <w:rFonts w:ascii="Arial" w:hAnsi="Arial"/>
                <w:b w:val="0"/>
                <w:sz w:val="15"/>
              </w:rPr>
              <w:t>m7_8_lc_terms_3</w:t>
            </w:r>
          </w:p>
        </w:tc>
      </w:tr>
      <w:tr>
        <w:trPr>
          <w:cantSplit w:val="true"/>
        </w:trPr>
        <w:tc>
          <w:tcPr>
            <w:tcW w:type="dxa" w:w="3515"/>
          </w:tcPr>
          <w:p>
            <w:pPr>
              <w:spacing w:after="0" w:before="0"/>
            </w:pPr>
            <w:r/>
            <w:r>
              <w:rPr>
                <w:rFonts w:ascii="Arial" w:hAnsi="Arial"/>
                <w:b w:val="0"/>
                <w:sz w:val="15"/>
              </w:rPr>
              <w:t>lc.LetterOfCredit</w:t>
            </w:r>
          </w:p>
        </w:tc>
        <w:tc>
          <w:tcPr>
            <w:tcW w:type="dxa" w:w="10205"/>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tcPr>
          <w:p>
            <w:pPr>
              <w:spacing w:after="0" w:before="0"/>
            </w:pPr>
            <w:r/>
            <w:r>
              <w:rPr>
                <w:rFonts w:ascii="Arial" w:hAnsi="Arial"/>
                <w:b w:val="0"/>
                <w:sz w:val="15"/>
              </w:rPr>
              <w:t>m7_8_lc_ops_2</w:t>
            </w:r>
          </w:p>
        </w:tc>
      </w:tr>
      <w:tr>
        <w:trPr>
          <w:cantSplit w:val="true"/>
        </w:trPr>
        <w:tc>
          <w:tcPr>
            <w:tcW w:type="dxa" w:w="3515"/>
            <w:shd w:val="clear" w:color="auto" w:fill="E8EEF6"/>
          </w:tcPr>
          <w:p>
            <w:pPr>
              <w:spacing w:after="0" w:before="0"/>
            </w:pPr>
            <w:r/>
            <w:r>
              <w:rPr>
                <w:rFonts w:ascii="Arial" w:hAnsi="Arial"/>
                <w:b w:val="0"/>
                <w:sz w:val="15"/>
              </w:rPr>
              <w:t>lc.ProformaInvoice</w:t>
            </w:r>
          </w:p>
        </w:tc>
        <w:tc>
          <w:tcPr>
            <w:tcW w:type="dxa" w:w="10205"/>
            <w:shd w:val="clear" w:color="auto" w:fill="E8EEF6"/>
          </w:tcPr>
          <w:p>
            <w:pPr>
              <w:spacing w:after="0" w:before="0"/>
            </w:pPr>
            <w:r/>
            <w:r>
              <w:rPr>
                <w:rFonts w:ascii="Arial" w:hAnsi="Arial"/>
                <w:b w:val="0"/>
                <w:sz w:val="15"/>
              </w:rPr>
              <w:t>Issued proforma invoice; the application prevents edits after issue; number format {seq:000}-{erp}-{yy} (FR-LCE-005..008, BR-LCE-001..006)</w:t>
            </w:r>
          </w:p>
        </w:tc>
        <w:tc>
          <w:tcPr>
            <w:tcW w:type="dxa" w:w="1701"/>
            <w:shd w:val="clear" w:color="auto" w:fill="E8EEF6"/>
          </w:tcPr>
          <w:p>
            <w:pPr>
              <w:spacing w:after="0" w:before="0"/>
            </w:pPr>
            <w:r/>
            <w:r>
              <w:rPr>
                <w:rFonts w:ascii="Arial" w:hAnsi="Arial"/>
                <w:b w:val="0"/>
                <w:sz w:val="15"/>
              </w:rPr>
              <w:t>m7_8_lc_ops_7</w:t>
            </w:r>
          </w:p>
        </w:tc>
      </w:tr>
      <w:tr>
        <w:trPr>
          <w:cantSplit w:val="true"/>
        </w:trPr>
        <w:tc>
          <w:tcPr>
            <w:tcW w:type="dxa" w:w="3515"/>
          </w:tcPr>
          <w:p>
            <w:pPr>
              <w:spacing w:after="0" w:before="0"/>
            </w:pPr>
            <w:r/>
            <w:r>
              <w:rPr>
                <w:rFonts w:ascii="Arial" w:hAnsi="Arial"/>
                <w:b w:val="0"/>
                <w:sz w:val="15"/>
              </w:rPr>
              <w:t>lc.ProformaLine</w:t>
            </w:r>
          </w:p>
        </w:tc>
        <w:tc>
          <w:tcPr>
            <w:tcW w:type="dxa" w:w="10205"/>
          </w:tcPr>
          <w:p>
            <w:pPr>
              <w:spacing w:after="0" w:before="0"/>
            </w:pPr>
            <w:r/>
            <w:r>
              <w:rPr>
                <w:rFonts w:ascii="Arial" w:hAnsi="Arial"/>
                <w:b w:val="0"/>
                <w:sz w:val="15"/>
              </w:rPr>
              <w:t>Line item in the proforma (FR-LCE-003, BR-LCE-001); fixed after issue</w:t>
            </w:r>
          </w:p>
        </w:tc>
        <w:tc>
          <w:tcPr>
            <w:tcW w:type="dxa" w:w="1701"/>
          </w:tcPr>
          <w:p>
            <w:pPr>
              <w:spacing w:after="0" w:before="0"/>
            </w:pPr>
            <w:r/>
            <w:r>
              <w:rPr>
                <w:rFonts w:ascii="Arial" w:hAnsi="Arial"/>
                <w:b w:val="0"/>
                <w:sz w:val="15"/>
              </w:rPr>
              <w:t>m7_8_lc_ops_8</w:t>
            </w:r>
          </w:p>
        </w:tc>
      </w:tr>
      <w:tr>
        <w:trPr>
          <w:cantSplit w:val="true"/>
        </w:trPr>
        <w:tc>
          <w:tcPr>
            <w:tcW w:type="dxa" w:w="3515"/>
            <w:shd w:val="clear" w:color="auto" w:fill="E8EEF6"/>
          </w:tcPr>
          <w:p>
            <w:pPr>
              <w:spacing w:after="0" w:before="0"/>
            </w:pPr>
            <w:r/>
            <w:r>
              <w:rPr>
                <w:rFonts w:ascii="Arial" w:hAnsi="Arial"/>
                <w:b w:val="0"/>
                <w:sz w:val="15"/>
              </w:rPr>
              <w:t>ntf.DigestBatch</w:t>
            </w:r>
          </w:p>
        </w:tc>
        <w:tc>
          <w:tcPr>
            <w:tcW w:type="dxa" w:w="10205"/>
            <w:shd w:val="clear" w:color="auto" w:fill="E8EEF6"/>
          </w:tcPr>
          <w:p>
            <w:pPr>
              <w:spacing w:after="0" w:before="0"/>
            </w:pPr>
            <w:r/>
            <w:r>
              <w:rPr>
                <w:rFonts w:ascii="Arial" w:hAnsi="Arial"/>
                <w:b w:val="0"/>
                <w:sz w:val="15"/>
              </w:rPr>
              <w:t>Digest batch for a user, channel and period; never sent empty (FR-NTF-014, BR-NTF-004, JOB-NTF-DIGEST)</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w:t>
            </w:r>
          </w:p>
        </w:tc>
        <w:tc>
          <w:tcPr>
            <w:tcW w:type="dxa" w:w="10205"/>
          </w:tcPr>
          <w:p>
            <w:pPr>
              <w:spacing w:after="0" w:before="0"/>
            </w:pPr>
            <w:r/>
            <w:r>
              <w:rPr>
                <w:rFonts w:ascii="Arial" w:hAnsi="Arial"/>
                <w:b w:val="0"/>
                <w:sz w:val="15"/>
              </w:rPr>
              <w:t>Notification for a user; the content carries no restricted values (FR-NTF-005/006/007/021, BR-NTF-001/002/007/008/011)</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ntf.NotificationDelivery</w:t>
            </w:r>
          </w:p>
        </w:tc>
        <w:tc>
          <w:tcPr>
            <w:tcW w:type="dxa" w:w="10205"/>
            <w:shd w:val="clear" w:color="auto" w:fill="E8EEF6"/>
          </w:tcPr>
          <w:p>
            <w:pPr>
              <w:spacing w:after="0" w:before="0"/>
            </w:pPr>
            <w:r/>
            <w:r>
              <w:rPr>
                <w:rFonts w:ascii="Arial" w:hAnsi="Arial"/>
                <w:b w:val="0"/>
                <w:sz w:val="15"/>
              </w:rPr>
              <w:t>Delivery of a notification per channel, with status and retries (FR-NTF-019, BR-NTF-009, section 8)</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ntf.NotificationEventType</w:t>
            </w:r>
          </w:p>
        </w:tc>
        <w:tc>
          <w:tcPr>
            <w:tcW w:type="dxa" w:w="10205"/>
          </w:tcPr>
          <w:p>
            <w:pPr>
              <w:spacing w:after="0" w:before="0"/>
            </w:pPr>
            <w:r/>
            <w:r>
              <w:rPr>
                <w:rFonts w:ascii="Arial" w:hAnsi="Arial"/>
                <w:b w:val="0"/>
                <w:sz w:val="15"/>
              </w:rPr>
              <w:t>Event catalogue: specification 13 owns it for all modules, and modules seed their events into it (FR-NTF-001, section 9.2)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ntf.NotificationPreference</w:t>
            </w:r>
          </w:p>
        </w:tc>
        <w:tc>
          <w:tcPr>
            <w:tcW w:type="dxa" w:w="10205"/>
            <w:shd w:val="clear" w:color="auto" w:fill="E8EEF6"/>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ntf.NotificationRule</w:t>
            </w:r>
          </w:p>
        </w:tc>
        <w:tc>
          <w:tcPr>
            <w:tcW w:type="dxa" w:w="10205"/>
          </w:tcPr>
          <w:p>
            <w:pPr>
              <w:spacing w:after="0" w:before="0"/>
            </w:pPr>
            <w:r/>
            <w:r>
              <w:rPr>
                <w:rFonts w:ascii="Arial" w:hAnsi="Arial"/>
                <w:b w:val="0"/>
                <w:sz w:val="15"/>
              </w:rPr>
              <w:t>Recipient rule for an event; changes apply to subsequent events only (FR-NTF-003, BR-NTF-001, V-NTF-02)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ntf.NotificationTemplate</w:t>
            </w:r>
          </w:p>
        </w:tc>
        <w:tc>
          <w:tcPr>
            <w:tcW w:type="dxa" w:w="10205"/>
            <w:shd w:val="clear" w:color="auto" w:fill="E8EEF6"/>
          </w:tcPr>
          <w:p>
            <w:pPr>
              <w:spacing w:after="0" w:before="0"/>
            </w:pPr>
            <w:r/>
            <w:r>
              <w:rPr>
                <w:rFonts w:ascii="Arial" w:hAnsi="Arial"/>
                <w:b w:val="0"/>
                <w:sz w:val="15"/>
              </w:rPr>
              <w:t>Message template per (event, channel, language); deleting it reverts to the seed template (FR-NTF-012, FR-NTF-025)</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obl.Covenant</w:t>
            </w:r>
          </w:p>
        </w:tc>
        <w:tc>
          <w:tcPr>
            <w:tcW w:type="dxa" w:w="10205"/>
          </w:tcPr>
          <w:p>
            <w:pPr>
              <w:spacing w:after="0" w:before="0"/>
            </w:pPr>
            <w:r/>
            <w:r>
              <w:rPr>
                <w:rFonts w:ascii="Arial" w:hAnsi="Arial"/>
                <w:b w:val="0"/>
                <w:sz w:val="15"/>
              </w:rPr>
              <w:t>Covenant revision with dates; graduated limits are several revisions (FR-OBL-006, BR-OBL-001/005/006, Q-OBL-01)</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obl.CovenantAccount</w:t>
            </w:r>
          </w:p>
        </w:tc>
        <w:tc>
          <w:tcPr>
            <w:tcW w:type="dxa" w:w="10205"/>
            <w:shd w:val="clear" w:color="auto" w:fill="E8EEF6"/>
          </w:tcPr>
          <w:p>
            <w:pPr>
              <w:spacing w:after="0" w:before="0"/>
            </w:pPr>
            <w:r/>
            <w:r>
              <w:rPr>
                <w:rFonts w:ascii="Arial" w:hAnsi="Arial"/>
                <w:b w:val="0"/>
                <w:sz w:val="15"/>
              </w:rPr>
              <w:t>Accounts covered by a covenant when specific accounts are selected (AccountIds)</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w:t>
            </w:r>
          </w:p>
        </w:tc>
        <w:tc>
          <w:tcPr>
            <w:tcW w:type="dxa" w:w="10205"/>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w:t>
            </w:r>
          </w:p>
        </w:tc>
        <w:tc>
          <w:tcPr>
            <w:tcW w:type="dxa" w:w="10205"/>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obl.ObligationBreach</w:t>
            </w:r>
          </w:p>
        </w:tc>
        <w:tc>
          <w:tcPr>
            <w:tcW w:type="dxa" w:w="10205"/>
          </w:tcPr>
          <w:p>
            <w:pPr>
              <w:spacing w:after="0" w:before="0"/>
            </w:pPr>
            <w:r/>
            <w:r>
              <w:rPr>
                <w:rFonts w:ascii="Arial" w:hAnsi="Arial"/>
                <w:b w:val="0"/>
                <w:sz w:val="15"/>
              </w:rPr>
              <w:t>Breach record, its remedy and any waiver (FR-OBL-012, BR-OBL-009/011, section 8)</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obl.ObligationCompany</w:t>
            </w:r>
          </w:p>
        </w:tc>
        <w:tc>
          <w:tcPr>
            <w:tcW w:type="dxa" w:w="10205"/>
            <w:shd w:val="clear" w:color="auto" w:fill="E8EEF6"/>
          </w:tcPr>
          <w:p>
            <w:pPr>
              <w:spacing w:after="0" w:before="0"/>
            </w:pPr>
            <w:r/>
            <w:r>
              <w:rPr>
                <w:rFonts w:ascii="Arial" w:hAnsi="Arial"/>
                <w:b w:val="0"/>
                <w:sz w:val="15"/>
              </w:rPr>
              <w:t>Companies the obligation applies to (AppliesToCompanyIds)</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obl.ReportingInstance</w:t>
            </w:r>
          </w:p>
        </w:tc>
        <w:tc>
          <w:tcPr>
            <w:tcW w:type="dxa" w:w="10205"/>
          </w:tcPr>
          <w:p>
            <w:pPr>
              <w:spacing w:after="0" w:before="0"/>
            </w:pPr>
            <w:r/>
            <w:r>
              <w:rPr>
                <w:rFonts w:ascii="Arial" w:hAnsi="Arial"/>
                <w:b w:val="0"/>
                <w:sz w:val="15"/>
              </w:rPr>
              <w:t>Agenda item generated or logged for an event (FR-OBL-003..005, BR-OBL-003, section 8); DUE_SOON and OVERDUE are derived</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obl.ReportingObligation</w:t>
            </w:r>
          </w:p>
        </w:tc>
        <w:tc>
          <w:tcPr>
            <w:tcW w:type="dxa" w:w="10205"/>
            <w:shd w:val="clear" w:color="auto" w:fill="E8EEF6"/>
          </w:tcPr>
          <w:p>
            <w:pPr>
              <w:spacing w:after="0" w:before="0"/>
            </w:pPr>
            <w:r/>
            <w:r>
              <w:rPr>
                <w:rFonts w:ascii="Arial" w:hAnsi="Arial"/>
                <w:b w:val="0"/>
                <w:sz w:val="15"/>
              </w:rPr>
              <w:t>Reporting or notice-due rule, 1:1 with Obligation (FR-OBL-002/003, BR-OBL-002, V-OBL-01)</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org.AuthorityGrant</w:t>
            </w:r>
          </w:p>
        </w:tc>
        <w:tc>
          <w:tcPr>
            <w:tcW w:type="dxa" w:w="10205"/>
          </w:tcPr>
          <w:p>
            <w:pPr>
              <w:spacing w:after="0" w:before="0"/>
            </w:pPr>
            <w:r/>
            <w:r>
              <w:rPr>
                <w:rFonts w:ascii="Arial" w:hAnsi="Arial"/>
                <w:b w:val="0"/>
                <w:sz w:val="15"/>
              </w:rPr>
              <w:t>Authority grant to a company (FR-ORG-023..028, BR-ORG-011..014)</w:t>
            </w:r>
          </w:p>
        </w:tc>
        <w:tc>
          <w:tcPr>
            <w:tcW w:type="dxa" w:w="1701"/>
          </w:tcPr>
          <w:p>
            <w:pPr>
              <w:spacing w:after="0" w:before="0"/>
            </w:pPr>
            <w:r/>
            <w:r>
              <w:rPr>
                <w:rFonts w:ascii="Arial" w:hAnsi="Arial"/>
                <w:b w:val="0"/>
                <w:sz w:val="15"/>
              </w:rPr>
              <w:t>m1_company_3</w:t>
            </w:r>
          </w:p>
        </w:tc>
      </w:tr>
      <w:tr>
        <w:trPr>
          <w:cantSplit w:val="true"/>
        </w:trPr>
        <w:tc>
          <w:tcPr>
            <w:tcW w:type="dxa" w:w="3515"/>
            <w:shd w:val="clear" w:color="auto" w:fill="E8EEF6"/>
          </w:tcPr>
          <w:p>
            <w:pPr>
              <w:spacing w:after="0" w:before="0"/>
            </w:pPr>
            <w:r/>
            <w:r>
              <w:rPr>
                <w:rFonts w:ascii="Arial" w:hAnsi="Arial"/>
                <w:b w:val="0"/>
                <w:sz w:val="15"/>
              </w:rPr>
              <w:t>org.BodyMember</w:t>
            </w:r>
          </w:p>
        </w:tc>
        <w:tc>
          <w:tcPr>
            <w:tcW w:type="dxa" w:w="10205"/>
            <w:shd w:val="clear" w:color="auto" w:fill="E8EEF6"/>
          </w:tcPr>
          <w:p>
            <w:pPr>
              <w:spacing w:after="0" w:before="0"/>
            </w:pPr>
            <w:r/>
            <w:r>
              <w:rPr>
                <w:rFonts w:ascii="Arial" w:hAnsi="Arial"/>
                <w:b w:val="0"/>
                <w:sz w:val="15"/>
              </w:rPr>
              <w:t>Membership of a governing body (FR-ORG-020, FR-ORG-021, BR-ORG-010)</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org.Company</w:t>
            </w:r>
          </w:p>
        </w:tc>
        <w:tc>
          <w:tcPr>
            <w:tcW w:type="dxa" w:w="10205"/>
          </w:tcPr>
          <w:p>
            <w:pPr>
              <w:spacing w:after="0" w:before="0"/>
            </w:pPr>
            <w:r/>
            <w:r>
              <w:rPr>
                <w:rFonts w:ascii="Arial" w:hAnsi="Arial"/>
                <w:b w:val="0"/>
                <w:sz w:val="15"/>
              </w:rPr>
              <w:t>Company: root of the corporate structure (FR-ORG-001..010, BR-ORG-001..004)</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org.CompanyBranch</w:t>
            </w:r>
          </w:p>
        </w:tc>
        <w:tc>
          <w:tcPr>
            <w:tcW w:type="dxa" w:w="10205"/>
            <w:shd w:val="clear" w:color="auto" w:fill="E8EEF6"/>
          </w:tcPr>
          <w:p>
            <w:pPr>
              <w:spacing w:after="0" w:before="0"/>
            </w:pPr>
            <w:r/>
            <w:r>
              <w:rPr>
                <w:rFonts w:ascii="Arial" w:hAnsi="Arial"/>
                <w:b w:val="0"/>
                <w:sz w:val="15"/>
              </w:rPr>
              <w:t>Branch, warehouse or subsidiary outside the account, held as text (G-3)</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org.CompanyDisclosure</w:t>
            </w:r>
          </w:p>
        </w:tc>
        <w:tc>
          <w:tcPr>
            <w:tcW w:type="dxa" w:w="10205"/>
          </w:tcPr>
          <w:p>
            <w:pPr>
              <w:spacing w:after="0" w:before="0"/>
            </w:pPr>
            <w:r/>
            <w:r>
              <w:rPr>
                <w:rFonts w:ascii="Arial" w:hAnsi="Arial"/>
                <w:b w:val="0"/>
                <w:sz w:val="15"/>
              </w:rPr>
              <w:t>Company disclosures (G-5)</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org.CompanyExpectedFlow</w:t>
            </w:r>
          </w:p>
        </w:tc>
        <w:tc>
          <w:tcPr>
            <w:tcW w:type="dxa" w:w="10205"/>
            <w:shd w:val="clear" w:color="auto" w:fill="E8EEF6"/>
          </w:tcPr>
          <w:p>
            <w:pPr>
              <w:spacing w:after="0" w:before="0"/>
            </w:pPr>
            <w:r/>
            <w:r>
              <w:rPr>
                <w:rFonts w:ascii="Arial" w:hAnsi="Arial"/>
                <w:b w:val="0"/>
                <w:sz w:val="15"/>
              </w:rPr>
              <w:t>Monthly expected cash-flow matrix (CTP): direction x five items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org.CompanyKeyRelation</w:t>
            </w:r>
          </w:p>
        </w:tc>
        <w:tc>
          <w:tcPr>
            <w:tcW w:type="dxa" w:w="10205"/>
          </w:tcPr>
          <w:p>
            <w:pPr>
              <w:spacing w:after="0" w:before="0"/>
            </w:pPr>
            <w:r/>
            <w:r>
              <w:rPr>
                <w:rFonts w:ascii="Arial" w:hAnsi="Arial"/>
                <w:b w:val="0"/>
                <w:sz w:val="15"/>
              </w:rPr>
              <w:t>Key relations: auditors, legal counsel, regulators, and major customers and suppliers (G-6)</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org.CompanyKycFinancialProfile</w:t>
            </w:r>
          </w:p>
        </w:tc>
        <w:tc>
          <w:tcPr>
            <w:tcW w:type="dxa" w:w="10205"/>
            <w:shd w:val="clear" w:color="auto" w:fill="E8EEF6"/>
          </w:tcPr>
          <w:p>
            <w:pPr>
              <w:spacing w:after="0" w:before="0"/>
            </w:pPr>
            <w:r/>
            <w:r>
              <w:rPr>
                <w:rFonts w:ascii="Arial" w:hAnsi="Arial"/>
                <w:b w:val="0"/>
                <w:sz w:val="15"/>
              </w:rPr>
              <w:t>KYC financial profile with an effective date: revenue band and purpose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org.CompanyProfile</w:t>
            </w:r>
          </w:p>
        </w:tc>
        <w:tc>
          <w:tcPr>
            <w:tcW w:type="dxa" w:w="10205"/>
          </w:tcPr>
          <w:p>
            <w:pPr>
              <w:spacing w:after="0" w:before="0"/>
            </w:pPr>
            <w:r/>
            <w:r>
              <w:rPr>
                <w:rFonts w:ascii="Arial" w:hAnsi="Arial"/>
                <w:b w:val="0"/>
                <w:sz w:val="15"/>
              </w:rPr>
              <w:t>Company profile, 1:1 (G-1)</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org.CompanyTaxRate</w:t>
            </w:r>
          </w:p>
        </w:tc>
        <w:tc>
          <w:tcPr>
            <w:tcW w:type="dxa" w:w="10205"/>
            <w:shd w:val="clear" w:color="auto" w:fill="E8EEF6"/>
          </w:tcPr>
          <w:p>
            <w:pPr>
              <w:spacing w:after="0" w:before="0"/>
            </w:pPr>
            <w:r/>
            <w:r>
              <w:rPr>
                <w:rFonts w:ascii="Arial" w:hAnsi="Arial"/>
                <w:b w:val="0"/>
                <w:sz w:val="15"/>
              </w:rPr>
              <w:t>Tax rate with an effective date; NULL CompanyId = tenant default (FR-ORG-007, BR-ORG-005)</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org.CompanyWealthSource</w:t>
            </w:r>
          </w:p>
        </w:tc>
        <w:tc>
          <w:tcPr>
            <w:tcW w:type="dxa" w:w="10205"/>
          </w:tcPr>
          <w:p>
            <w:pPr>
              <w:spacing w:after="0" w:before="0"/>
            </w:pPr>
            <w:r/>
            <w:r>
              <w:rPr>
                <w:rFonts w:ascii="Arial" w:hAnsi="Arial"/>
                <w:b w:val="0"/>
                <w:sz w:val="15"/>
              </w:rPr>
              <w:t>Sources of funds and wealth: multiple-value list (G-4)</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org.Department</w:t>
            </w:r>
          </w:p>
        </w:tc>
        <w:tc>
          <w:tcPr>
            <w:tcW w:type="dxa" w:w="10205"/>
            <w:shd w:val="clear" w:color="auto" w:fill="E8EEF6"/>
          </w:tcPr>
          <w:p>
            <w:pPr>
              <w:spacing w:after="0" w:before="0"/>
            </w:pPr>
            <w:r/>
            <w:r>
              <w:rPr>
                <w:rFonts w:ascii="Arial" w:hAnsi="Arial"/>
                <w:b w:val="0"/>
                <w:sz w:val="15"/>
              </w:rPr>
              <w:t>Department (FR-ORG-014, BR-ORG-016, Q-ORG-09): at tenant level, optionally per company</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org.GoverningBody</w:t>
            </w:r>
          </w:p>
        </w:tc>
        <w:tc>
          <w:tcPr>
            <w:tcW w:type="dxa" w:w="10205"/>
          </w:tcPr>
          <w:p>
            <w:pPr>
              <w:spacing w:after="0" w:before="0"/>
            </w:pPr>
            <w:r/>
            <w:r>
              <w:rPr>
                <w:rFonts w:ascii="Arial" w:hAnsi="Arial"/>
                <w:b w:val="0"/>
                <w:sz w:val="15"/>
              </w:rPr>
              <w:t>Governing body (FR-ORG-019, BR-ORG-009)</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org.Shareholding</w:t>
            </w:r>
          </w:p>
        </w:tc>
        <w:tc>
          <w:tcPr>
            <w:tcW w:type="dxa" w:w="10205"/>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plat.Plan</w:t>
            </w:r>
          </w:p>
        </w:tc>
        <w:tc>
          <w:tcPr>
            <w:tcW w:type="dxa" w:w="10205"/>
          </w:tcPr>
          <w:p>
            <w:pPr>
              <w:spacing w:after="0" w:before="0"/>
            </w:pPr>
            <w:r/>
            <w:r>
              <w:rPr>
                <w:rFonts w:ascii="Arial" w:hAnsi="Arial"/>
                <w:b w:val="0"/>
                <w:sz w:val="15"/>
              </w:rPr>
              <w:t>Subscription plan: a bundle of modules and soft limits (FR-PLT-003/004, Q-PLT-11)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plat.PlanModule</w:t>
            </w:r>
          </w:p>
        </w:tc>
        <w:tc>
          <w:tcPr>
            <w:tcW w:type="dxa" w:w="10205"/>
            <w:shd w:val="clear" w:color="auto" w:fill="E8EEF6"/>
          </w:tcPr>
          <w:p>
            <w:pPr>
              <w:spacing w:after="0" w:before="0"/>
            </w:pPr>
            <w:r/>
            <w:r>
              <w:rPr>
                <w:rFonts w:ascii="Arial" w:hAnsi="Arial"/>
                <w:b w:val="0"/>
                <w:sz w:val="15"/>
              </w:rPr>
              <w:t>Modules included in a plan (replaces the Plan.IncludedModules JSON column)</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plat.PlatformOperator</w:t>
            </w:r>
          </w:p>
        </w:tc>
        <w:tc>
          <w:tcPr>
            <w:tcW w:type="dxa" w:w="10205"/>
          </w:tcPr>
          <w:p>
            <w:pPr>
              <w:spacing w:after="0" w:before="0"/>
            </w:pPr>
            <w:r/>
            <w:r>
              <w:rPr>
                <w:rFonts w:ascii="Arial" w:hAnsi="Arial"/>
                <w:b w:val="0"/>
                <w:sz w:val="15"/>
              </w:rPr>
              <w:t>Platform operator account: not readable by the tenant application (tp_app); identity store separate from AppUser (FR-PLT-006)</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plat.ReservedSubdomain</w:t>
            </w:r>
          </w:p>
        </w:tc>
        <w:tc>
          <w:tcPr>
            <w:tcW w:type="dxa" w:w="10205"/>
            <w:shd w:val="clear" w:color="auto" w:fill="E8EEF6"/>
          </w:tcPr>
          <w:p>
            <w:pPr>
              <w:spacing w:after="0" w:before="0"/>
            </w:pPr>
            <w:r/>
            <w:r>
              <w:rPr>
                <w:rFonts w:ascii="Arial" w:hAnsi="Arial"/>
                <w:b w:val="0"/>
                <w:sz w:val="15"/>
              </w:rPr>
              <w:t>Subdomains reserved for the system: www, admin, api, app and others (FR-PLT-046)</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plat.SupportAccessGrant</w:t>
            </w:r>
          </w:p>
        </w:tc>
        <w:tc>
          <w:tcPr>
            <w:tcW w:type="dxa" w:w="10205"/>
          </w:tcPr>
          <w:p>
            <w:pPr>
              <w:spacing w:after="0" w:before="0"/>
            </w:pPr>
            <w:r/>
            <w:r>
              <w:rPr>
                <w:rFonts w:ascii="Arial" w:hAnsi="Arial"/>
                <w:b w:val="0"/>
                <w:sz w:val="15"/>
              </w:rPr>
              <w:t>Temporary support access, activated by the tenant's account administrator (FR-PLT-007, BR-PLT-017)</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w:t>
            </w:r>
          </w:p>
        </w:tc>
        <w:tc>
          <w:tcPr>
            <w:tcW w:type="dxa" w:w="10205"/>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plat.TenantModule</w:t>
            </w:r>
          </w:p>
        </w:tc>
        <w:tc>
          <w:tcPr>
            <w:tcW w:type="dxa" w:w="10205"/>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prc.PricingRule</w:t>
            </w:r>
          </w:p>
        </w:tc>
        <w:tc>
          <w:tcPr>
            <w:tcW w:type="dxa" w:w="10205"/>
            <w:shd w:val="clear" w:color="auto" w:fill="E8EEF6"/>
          </w:tcPr>
          <w:p>
            <w:pPr>
              <w:spacing w:after="0" w:before="0"/>
            </w:pPr>
            <w:r/>
            <w:r>
              <w:rPr>
                <w:rFonts w:ascii="Arial" w:hAnsi="Arial"/>
                <w:b w:val="0"/>
                <w:sz w:val="15"/>
              </w:rPr>
              <w:t>Pricing rule with scope, inheritance and methods (FR-PRC-006..017, BR-PRC-006..012, V-PRC-02)</w:t>
            </w:r>
          </w:p>
        </w:tc>
        <w:tc>
          <w:tcPr>
            <w:tcW w:type="dxa" w:w="1701"/>
            <w:shd w:val="clear" w:color="auto" w:fill="E8EEF6"/>
          </w:tcPr>
          <w:p>
            <w:pPr>
              <w:spacing w:after="0" w:before="0"/>
            </w:pPr>
            <w:r/>
            <w:r>
              <w:rPr>
                <w:rFonts w:ascii="Arial" w:hAnsi="Arial"/>
                <w:b w:val="0"/>
                <w:sz w:val="15"/>
              </w:rPr>
              <w:t>m5_pricing_2</w:t>
            </w:r>
          </w:p>
        </w:tc>
      </w:tr>
      <w:tr>
        <w:trPr>
          <w:cantSplit w:val="true"/>
        </w:trPr>
        <w:tc>
          <w:tcPr>
            <w:tcW w:type="dxa" w:w="3515"/>
          </w:tcPr>
          <w:p>
            <w:pPr>
              <w:spacing w:after="0" w:before="0"/>
            </w:pPr>
            <w:r/>
            <w:r>
              <w:rPr>
                <w:rFonts w:ascii="Arial" w:hAnsi="Arial"/>
                <w:b w:val="0"/>
                <w:sz w:val="15"/>
              </w:rPr>
              <w:t>prc.PricingTier</w:t>
            </w:r>
          </w:p>
        </w:tc>
        <w:tc>
          <w:tcPr>
            <w:tcW w:type="dxa" w:w="10205"/>
          </w:tcPr>
          <w:p>
            <w:pPr>
              <w:spacing w:after="0" w:before="0"/>
            </w:pPr>
            <w:r/>
            <w:r>
              <w:rPr>
                <w:rFonts w:ascii="Arial" w:hAnsi="Arial"/>
                <w:b w:val="0"/>
                <w:sz w:val="15"/>
              </w:rPr>
              <w:t>Tier of a TIERED rule by amount and/or term (FR-PRC-003, BR-PRC-002)</w:t>
            </w:r>
          </w:p>
        </w:tc>
        <w:tc>
          <w:tcPr>
            <w:tcW w:type="dxa" w:w="1701"/>
          </w:tcPr>
          <w:p>
            <w:pPr>
              <w:spacing w:after="0" w:before="0"/>
            </w:pPr>
            <w:r/>
            <w:r>
              <w:rPr>
                <w:rFonts w:ascii="Arial" w:hAnsi="Arial"/>
                <w:b w:val="0"/>
                <w:sz w:val="15"/>
              </w:rPr>
              <w:t>m5_pricing_3</w:t>
            </w:r>
          </w:p>
        </w:tc>
      </w:tr>
      <w:tr>
        <w:trPr>
          <w:cantSplit w:val="true"/>
        </w:trPr>
        <w:tc>
          <w:tcPr>
            <w:tcW w:type="dxa" w:w="3515"/>
            <w:shd w:val="clear" w:color="auto" w:fill="E8EEF6"/>
          </w:tcPr>
          <w:p>
            <w:pPr>
              <w:spacing w:after="0" w:before="0"/>
            </w:pPr>
            <w:r/>
            <w:r>
              <w:rPr>
                <w:rFonts w:ascii="Arial" w:hAnsi="Arial"/>
                <w:b w:val="0"/>
                <w:sz w:val="15"/>
              </w:rPr>
              <w:t>prc.TariffItem</w:t>
            </w:r>
          </w:p>
        </w:tc>
        <w:tc>
          <w:tcPr>
            <w:tcW w:type="dxa" w:w="10205"/>
            <w:shd w:val="clear" w:color="auto" w:fill="E8EEF6"/>
          </w:tcPr>
          <w:p>
            <w:pPr>
              <w:spacing w:after="0" w:before="0"/>
            </w:pPr>
            <w:r/>
            <w:r>
              <w:rPr>
                <w:rFonts w:ascii="Arial" w:hAnsi="Arial"/>
                <w:b w:val="0"/>
                <w:sz w:val="15"/>
              </w:rPr>
              <w:t>Fee item in a tariff schedule (FR-PRC-002, BR-PRC-002..005)</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prc.TariffSchedule</w:t>
            </w:r>
          </w:p>
        </w:tc>
        <w:tc>
          <w:tcPr>
            <w:tcW w:type="dxa" w:w="10205"/>
          </w:tcPr>
          <w:p>
            <w:pPr>
              <w:spacing w:after="0" w:before="0"/>
            </w:pPr>
            <w:r/>
            <w:r>
              <w:rPr>
                <w:rFonts w:ascii="Arial" w:hAnsi="Arial"/>
                <w:b w:val="0"/>
                <w:sz w:val="15"/>
              </w:rPr>
              <w:t>Bank tariff schedule version; optionally specific to a facility (FR-PRC-001, BR-PRC-001, V-PRC-01)</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prc.TariffTier</w:t>
            </w:r>
          </w:p>
        </w:tc>
        <w:tc>
          <w:tcPr>
            <w:tcW w:type="dxa" w:w="10205"/>
            <w:shd w:val="clear" w:color="auto" w:fill="E8EEF6"/>
          </w:tcPr>
          <w:p>
            <w:pPr>
              <w:spacing w:after="0" w:before="0"/>
            </w:pPr>
            <w:r/>
            <w:r>
              <w:rPr>
                <w:rFonts w:ascii="Arial" w:hAnsi="Arial"/>
                <w:b w:val="0"/>
                <w:sz w:val="15"/>
              </w:rPr>
              <w:t>Tier of a tariff item by amount and/or term (FR-PRC-003, BR-PRC-002)</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pty.Address</w:t>
            </w:r>
          </w:p>
        </w:tc>
        <w:tc>
          <w:tcPr>
            <w:tcW w:type="dxa" w:w="10205"/>
          </w:tcPr>
          <w:p>
            <w:pPr>
              <w:spacing w:after="0" w:before="0"/>
            </w:pPr>
            <w:r/>
            <w:r>
              <w:rPr>
                <w:rFonts w:ascii="Arial" w:hAnsi="Arial"/>
                <w:b w:val="0"/>
                <w:sz w:val="15"/>
              </w:rPr>
              <w:t>Postal address with an exclusive owner arc: exactly one of Party, Institution, Unit or Contact (FR-PTY-011,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pty.ContactMethod</w:t>
            </w:r>
          </w:p>
        </w:tc>
        <w:tc>
          <w:tcPr>
            <w:tcW w:type="dxa" w:w="10205"/>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pty.CustomFieldDefinition</w:t>
            </w:r>
          </w:p>
        </w:tc>
        <w:tc>
          <w:tcPr>
            <w:tcW w:type="dxa" w:w="10205"/>
          </w:tcPr>
          <w:p>
            <w:pPr>
              <w:spacing w:after="0" w:before="0"/>
            </w:pPr>
            <w:r/>
            <w:r>
              <w:rPr>
                <w:rFonts w:ascii="Arial" w:hAnsi="Arial"/>
                <w:b w:val="0"/>
                <w:sz w:val="15"/>
              </w:rPr>
              <w:t>Custom field definition (FR-PTY-013, BR-PTY-014)</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pty.IdentityDocument</w:t>
            </w:r>
          </w:p>
        </w:tc>
        <w:tc>
          <w:tcPr>
            <w:tcW w:type="dxa" w:w="10205"/>
            <w:shd w:val="clear" w:color="auto" w:fill="E8EEF6"/>
          </w:tcPr>
          <w:p>
            <w:pPr>
              <w:spacing w:after="0" w:before="0"/>
            </w:pPr>
            <w:r/>
            <w:r>
              <w:rPr>
                <w:rFonts w:ascii="Arial" w:hAnsi="Arial"/>
                <w:b w:val="0"/>
                <w:sz w:val="15"/>
              </w:rPr>
              <w:t>Identity document; the number is encrypted and images are restricted documents (FR-PTY-004..009, FR-PTY-020..022, BR-PTY-002..008)</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w:t>
            </w:r>
          </w:p>
        </w:tc>
        <w:tc>
          <w:tcPr>
            <w:tcW w:type="dxa" w:w="10205"/>
          </w:tcPr>
          <w:p>
            <w:pPr>
              <w:spacing w:after="0" w:before="0"/>
            </w:pPr>
            <w:r/>
            <w:r>
              <w:rPr>
                <w:rFonts w:ascii="Arial" w:hAnsi="Arial"/>
                <w:b w:val="0"/>
                <w:sz w:val="15"/>
              </w:rPr>
              <w:t>KYC completeness checklist per bank and role (FR-PTY-023, BR-PTY-012..013, G-8,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w:t>
            </w:r>
          </w:p>
        </w:tc>
        <w:tc>
          <w:tcPr>
            <w:tcW w:type="dxa" w:w="10205"/>
            <w:shd w:val="clear" w:color="auto" w:fill="E8EEF6"/>
          </w:tcPr>
          <w:p>
            <w:pPr>
              <w:spacing w:after="0" w:before="0"/>
            </w:pPr>
            <w:r/>
            <w:r>
              <w:rPr>
                <w:rFonts w:ascii="Arial" w:hAnsi="Arial"/>
                <w:b w:val="0"/>
                <w:sz w:val="15"/>
              </w:rPr>
              <w:t>Completeness item (FR-PTY-023, FR-PTY-024,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pty.KycProfileItemLegalForm</w:t>
            </w:r>
          </w:p>
        </w:tc>
        <w:tc>
          <w:tcPr>
            <w:tcW w:type="dxa" w:w="10205"/>
          </w:tcPr>
          <w:p>
            <w:pPr>
              <w:spacing w:after="0" w:before="0"/>
            </w:pPr>
            <w:r/>
            <w:r>
              <w:rPr>
                <w:rFonts w:ascii="Arial" w:hAnsi="Arial"/>
                <w:b w:val="0"/>
                <w:sz w:val="15"/>
              </w:rPr>
              <w:t>Conditions for an item to apply, by legal form; no rows = applies to all (G-15)</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w:t>
            </w:r>
          </w:p>
        </w:tc>
        <w:tc>
          <w:tcPr>
            <w:tcW w:type="dxa" w:w="10205"/>
            <w:shd w:val="clear" w:color="auto" w:fill="E8EEF6"/>
          </w:tcPr>
          <w:p>
            <w:pPr>
              <w:spacing w:after="0" w:before="0"/>
            </w:pPr>
            <w:r/>
            <w:r>
              <w:rPr>
                <w:rFonts w:ascii="Arial" w:hAnsi="Arial"/>
                <w:b w:val="0"/>
                <w:sz w:val="15"/>
              </w:rPr>
              <w:t>Person or entity; no stored role (FR-PTY-001..003, BR-PTY-001..004, BR-PTY-016..018)</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pty.PartyCompliance</w:t>
            </w:r>
          </w:p>
        </w:tc>
        <w:tc>
          <w:tcPr>
            <w:tcW w:type="dxa" w:w="10205"/>
          </w:tcPr>
          <w:p>
            <w:pPr>
              <w:spacing w:after="0" w:before="0"/>
            </w:pPr>
            <w:r/>
            <w:r>
              <w:rPr>
                <w:rFonts w:ascii="Arial" w:hAnsi="Arial"/>
                <w:b w:val="0"/>
                <w:sz w:val="15"/>
              </w:rPr>
              <w:t>Dated compliance declarations per person in their capacity: PEP, sanctions, investigations, immunity (G-9)</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pty.PartyCustomField</w:t>
            </w:r>
          </w:p>
        </w:tc>
        <w:tc>
          <w:tcPr>
            <w:tcW w:type="dxa" w:w="10205"/>
            <w:shd w:val="clear" w:color="auto" w:fill="E8EEF6"/>
          </w:tcPr>
          <w:p>
            <w:pPr>
              <w:spacing w:after="0" w:before="0"/>
            </w:pPr>
            <w:r/>
            <w:r>
              <w:rPr>
                <w:rFonts w:ascii="Arial" w:hAnsi="Arial"/>
                <w:b w:val="0"/>
                <w:sz w:val="15"/>
              </w:rPr>
              <w:t>Custom-field value for a party (FR-PTY-013, FR-PTY-014)</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pty.TaxIdentity</w:t>
            </w:r>
          </w:p>
        </w:tc>
        <w:tc>
          <w:tcPr>
            <w:tcW w:type="dxa" w:w="10205"/>
          </w:tcPr>
          <w:p>
            <w:pPr>
              <w:spacing w:after="0" w:before="0"/>
            </w:pPr>
            <w:r/>
            <w:r>
              <w:rPr>
                <w:rFonts w:ascii="Arial" w:hAnsi="Arial"/>
                <w:b w:val="0"/>
                <w:sz w:val="15"/>
              </w:rPr>
              <w:t>Tax identity and FATCA/CRS tax declaration (G-13)</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ref.Country</w:t>
            </w:r>
          </w:p>
        </w:tc>
        <w:tc>
          <w:tcPr>
            <w:tcW w:type="dxa" w:w="10205"/>
            <w:shd w:val="clear" w:color="auto" w:fill="E8EEF6"/>
          </w:tcPr>
          <w:p>
            <w:pPr>
              <w:spacing w:after="0" w:before="0"/>
            </w:pPr>
            <w:r/>
            <w:r>
              <w:rPr>
                <w:rFonts w:ascii="Arial" w:hAnsi="Arial"/>
                <w:b w:val="0"/>
                <w:sz w:val="15"/>
              </w:rPr>
              <w:t>Country: global reference, read-only, managed by the platform operator (FR-CAT-026, BR-CAT-018,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ref.Currency</w:t>
            </w:r>
          </w:p>
        </w:tc>
        <w:tc>
          <w:tcPr>
            <w:tcW w:type="dxa" w:w="10205"/>
          </w:tcPr>
          <w:p>
            <w:pPr>
              <w:spacing w:after="0" w:before="0"/>
            </w:pPr>
            <w:r/>
            <w:r>
              <w:rPr>
                <w:rFonts w:ascii="Arial" w:hAnsi="Arial"/>
                <w:b w:val="0"/>
                <w:sz w:val="15"/>
              </w:rPr>
              <w:t>Currency: global ISO 4217 reference, read-only (FR-CAT-021, Q-CAT-08)</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ref.Incoterm</w:t>
            </w:r>
          </w:p>
        </w:tc>
        <w:tc>
          <w:tcPr>
            <w:tcW w:type="dxa" w:w="10205"/>
            <w:shd w:val="clear" w:color="auto" w:fill="E8EEF6"/>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the permanent trace is in aud.AuditLog (BR-PLT-005)</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PERMISSION_LOCKED is enforced by the service (BR-PLT-019)</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sec.TenantKey</w:t>
            </w:r>
          </w:p>
        </w:tc>
        <w:tc>
          <w:tcPr>
            <w:tcW w:type="dxa" w:w="10205"/>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sec.UserCompanyScope</w:t>
            </w:r>
          </w:p>
        </w:tc>
        <w:tc>
          <w:tcPr>
            <w:tcW w:type="dxa" w:w="10205"/>
          </w:tcPr>
          <w:p>
            <w:pPr>
              <w:spacing w:after="0" w:before="0"/>
            </w:pPr>
            <w:r/>
            <w:r>
              <w:rPr>
                <w:rFonts w:ascii="Arial" w:hAnsi="Arial"/>
                <w:b w:val="0"/>
                <w:sz w:val="15"/>
              </w:rPr>
              <w:t>Companies a user can see; ignored when CompanyScopeMode = ALL (FR-PLT-020)</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sec.UserPasswordHistory</w:t>
            </w:r>
          </w:p>
        </w:tc>
        <w:tc>
          <w:tcPr>
            <w:tcW w:type="dxa" w:w="10205"/>
            <w:shd w:val="clear" w:color="auto" w:fill="E8EEF6"/>
          </w:tcPr>
          <w:p>
            <w:pPr>
              <w:spacing w:after="0" w:before="0"/>
            </w:pPr>
            <w:r/>
            <w:r>
              <w:rPr>
                <w:rFonts w:ascii="Arial" w:hAnsi="Arial"/>
                <w:b w:val="0"/>
                <w:sz w:val="15"/>
              </w:rPr>
              <w:t>Last five passwords, to prevent reuse (BR-PLT-004)</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sec.UserRole</w:t>
            </w:r>
          </w:p>
        </w:tc>
        <w:tc>
          <w:tcPr>
            <w:tcW w:type="dxa" w:w="10205"/>
          </w:tcPr>
          <w:p>
            <w:pPr>
              <w:spacing w:after="0" w:before="0"/>
            </w:pPr>
            <w:r/>
            <w:r>
              <w:rPr>
                <w:rFonts w:ascii="Arial" w:hAnsi="Arial"/>
                <w:b w:val="0"/>
                <w:sz w:val="15"/>
              </w:rPr>
              <w:t>User–role link; permissions are the union of the roles (BR-PLT-007, FR-PLT-018)</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sec.UserSession</w:t>
            </w:r>
          </w:p>
        </w:tc>
        <w:tc>
          <w:tcPr>
            <w:tcW w:type="dxa" w:w="10205"/>
            <w:shd w:val="clear" w:color="auto" w:fill="E8EEF6"/>
          </w:tcPr>
          <w:p>
            <w:pPr>
              <w:spacing w:after="0" w:before="0"/>
            </w:pPr>
            <w:r/>
            <w:r>
              <w:rPr>
                <w:rFonts w:ascii="Arial" w:hAnsi="Arial"/>
                <w:b w:val="0"/>
                <w:sz w:val="15"/>
              </w:rPr>
              <w:t>User sessions: 30-minute idle timeout and 12-hour absolute timeout (FR-PLT-014)</w:t>
            </w:r>
          </w:p>
        </w:tc>
        <w:tc>
          <w:tcPr>
            <w:tcW w:type="dxa" w:w="1701"/>
            <w:shd w:val="clear" w:color="auto" w:fill="E8EEF6"/>
          </w:tcPr>
          <w:p>
            <w:pPr>
              <w:spacing w:after="0" w:before="0"/>
            </w:pPr>
            <w:r/>
            <w:r>
              <w:rPr>
                <w:rFonts w:ascii="Arial" w:hAnsi="Arial"/>
                <w:b w:val="0"/>
                <w:sz w:val="15"/>
              </w:rPr>
              <w:t>m0_sessions_1</w:t>
            </w:r>
          </w:p>
        </w:tc>
      </w:tr>
      <w:tr>
        <w:trPr>
          <w:cantSplit w:val="true"/>
        </w:trPr>
        <w:tc>
          <w:tcPr>
            <w:tcW w:type="dxa" w:w="3515"/>
          </w:tcPr>
          <w:p>
            <w:pPr>
              <w:spacing w:after="0" w:before="0"/>
            </w:pPr>
            <w:r/>
            <w:r>
              <w:rPr>
                <w:rFonts w:ascii="Arial" w:hAnsi="Arial"/>
                <w:b w:val="0"/>
                <w:sz w:val="15"/>
              </w:rPr>
              <w:t>sec.UserToken</w:t>
            </w:r>
          </w:p>
        </w:tc>
        <w:tc>
          <w:tcPr>
            <w:tcW w:type="dxa" w:w="10205"/>
          </w:tcPr>
          <w:p>
            <w:pPr>
              <w:spacing w:after="0" w:before="0"/>
            </w:pPr>
            <w:r/>
            <w:r>
              <w:rPr>
                <w:rFonts w:ascii="Arial" w:hAnsi="Arial"/>
                <w:b w:val="0"/>
                <w:sz w:val="15"/>
              </w:rPr>
              <w:t>Single-use invitation link (48 hours) or password-reset token (30 minutes) (FR-PLT-013)</w:t>
            </w:r>
          </w:p>
        </w:tc>
        <w:tc>
          <w:tcPr>
            <w:tcW w:type="dxa" w:w="1701"/>
          </w:tcPr>
          <w:p>
            <w:pPr>
              <w:spacing w:after="0" w:before="0"/>
            </w:pPr>
            <w:r/>
            <w:r>
              <w:rPr>
                <w:rFonts w:ascii="Arial" w:hAnsi="Arial"/>
                <w:b w:val="0"/>
                <w:sz w:val="15"/>
              </w:rPr>
              <w:t>m0_sessions_2</w:t>
            </w:r>
          </w:p>
        </w:tc>
      </w:tr>
      <w:tr>
        <w:trPr>
          <w:cantSplit w:val="true"/>
        </w:trPr>
        <w:tc>
          <w:tcPr>
            <w:tcW w:type="dxa" w:w="3515"/>
            <w:shd w:val="clear" w:color="auto" w:fill="E8EEF6"/>
          </w:tcPr>
          <w:p>
            <w:pPr>
              <w:spacing w:after="0" w:before="0"/>
            </w:pPr>
            <w:r/>
            <w:r>
              <w:rPr>
                <w:rFonts w:ascii="Arial" w:hAnsi="Arial"/>
                <w:b w:val="0"/>
                <w:sz w:val="15"/>
              </w:rPr>
              <w:t>wfl.ExternalPhase</w:t>
            </w:r>
          </w:p>
        </w:tc>
        <w:tc>
          <w:tcPr>
            <w:tcW w:type="dxa" w:w="10205"/>
            <w:shd w:val="clear" w:color="auto" w:fill="E8EEF6"/>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wfl.HookExecution</w:t>
            </w:r>
          </w:p>
        </w:tc>
        <w:tc>
          <w:tcPr>
            <w:tcW w:type="dxa" w:w="10205"/>
          </w:tcPr>
          <w:p>
            <w:pPr>
              <w:spacing w:after="0" w:before="0"/>
            </w:pPr>
            <w:r/>
            <w:r>
              <w:rPr>
                <w:rFonts w:ascii="Arial" w:hAnsi="Arial"/>
                <w:b w:val="0"/>
                <w:sz w:val="15"/>
              </w:rPr>
              <w:t>Execution of a hook with an idempotency key; a repeat returns the stored result (FR-WFL-021, BR-WFL-015)</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w:t>
            </w:r>
          </w:p>
        </w:tc>
        <w:tc>
          <w:tcPr>
            <w:tcW w:type="dxa" w:w="10205"/>
            <w:shd w:val="clear" w:color="auto" w:fill="E8EEF6"/>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shd w:val="clear" w:color="auto" w:fill="E8EEF6"/>
          </w:tcPr>
          <w:p>
            <w:pPr>
              <w:spacing w:after="0" w:before="0"/>
            </w:pPr>
            <w:r/>
            <w:r>
              <w:rPr>
                <w:rFonts w:ascii="Arial" w:hAnsi="Arial"/>
                <w:b w:val="0"/>
                <w:sz w:val="15"/>
              </w:rPr>
              <w:t>m6_requests_2</w:t>
            </w:r>
          </w:p>
        </w:tc>
      </w:tr>
      <w:tr>
        <w:trPr>
          <w:cantSplit w:val="true"/>
        </w:trPr>
        <w:tc>
          <w:tcPr>
            <w:tcW w:type="dxa" w:w="3515"/>
          </w:tcPr>
          <w:p>
            <w:pPr>
              <w:spacing w:after="0" w:before="0"/>
            </w:pPr>
            <w:r/>
            <w:r>
              <w:rPr>
                <w:rFonts w:ascii="Arial" w:hAnsi="Arial"/>
                <w:b w:val="0"/>
                <w:sz w:val="15"/>
              </w:rPr>
              <w:t>wfl.RequestAction</w:t>
            </w:r>
          </w:p>
        </w:tc>
        <w:tc>
          <w:tcPr>
            <w:tcW w:type="dxa" w:w="10205"/>
          </w:tcPr>
          <w:p>
            <w:pPr>
              <w:spacing w:after="0" w:before="0"/>
            </w:pPr>
            <w:r/>
            <w:r>
              <w:rPr>
                <w:rFonts w:ascii="Arial" w:hAnsi="Arial"/>
                <w:b w:val="0"/>
                <w:sz w:val="15"/>
              </w:rPr>
              <w:t>Append-only action log covering every event; separate from the security audit log (FR-WFL-033/034, section 6.2)</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wfl.RequestApproval</w:t>
            </w:r>
          </w:p>
        </w:tc>
        <w:tc>
          <w:tcPr>
            <w:tcW w:type="dxa" w:w="10205"/>
            <w:shd w:val="clear" w:color="auto" w:fill="E8EEF6"/>
          </w:tcPr>
          <w:p>
            <w:pPr>
              <w:spacing w:after="0" w:before="0"/>
            </w:pPr>
            <w:r/>
            <w:r>
              <w:rPr>
                <w:rFonts w:ascii="Arial" w:hAnsi="Arial"/>
                <w:b w:val="0"/>
                <w:sz w:val="15"/>
              </w:rPr>
              <w:t>Approval slot created per entry and cycle; a new cycle creates new slots (BR-WFL-003, FR-WFL-007/008/011)</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wfl.RequestAttachment</w:t>
            </w:r>
          </w:p>
        </w:tc>
        <w:tc>
          <w:tcPr>
            <w:tcW w:type="dxa" w:w="10205"/>
          </w:tcPr>
          <w:p>
            <w:pPr>
              <w:spacing w:after="0" w:before="0"/>
            </w:pPr>
            <w:r/>
            <w:r>
              <w:rPr>
                <w:rFonts w:ascii="Arial" w:hAnsi="Arial"/>
                <w:b w:val="0"/>
                <w:sz w:val="15"/>
              </w:rPr>
              <w:t>Links a document to a request and creates a DocumentLink (EntityType = Request) (FR-REQ-006, BR-REQ-005)</w:t>
            </w:r>
          </w:p>
        </w:tc>
        <w:tc>
          <w:tcPr>
            <w:tcW w:type="dxa" w:w="1701"/>
          </w:tcPr>
          <w:p>
            <w:pPr>
              <w:spacing w:after="0" w:before="0"/>
            </w:pPr>
            <w:r/>
            <w:r>
              <w:rPr>
                <w:rFonts w:ascii="Arial" w:hAnsi="Arial"/>
                <w:b w:val="0"/>
                <w:sz w:val="15"/>
              </w:rPr>
              <w:t>m6_requests_4</w:t>
            </w:r>
          </w:p>
        </w:tc>
      </w:tr>
      <w:tr>
        <w:trPr>
          <w:cantSplit w:val="true"/>
        </w:trPr>
        <w:tc>
          <w:tcPr>
            <w:tcW w:type="dxa" w:w="3515"/>
            <w:shd w:val="clear" w:color="auto" w:fill="E8EEF6"/>
          </w:tcPr>
          <w:p>
            <w:pPr>
              <w:spacing w:after="0" w:before="0"/>
            </w:pPr>
            <w:r/>
            <w:r>
              <w:rPr>
                <w:rFonts w:ascii="Arial" w:hAnsi="Arial"/>
                <w:b w:val="0"/>
                <w:sz w:val="15"/>
              </w:rPr>
              <w:t>wfl.RequestComment</w:t>
            </w:r>
          </w:p>
        </w:tc>
        <w:tc>
          <w:tcPr>
            <w:tcW w:type="dxa" w:w="10205"/>
            <w:shd w:val="clear" w:color="auto" w:fill="E8EEF6"/>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shd w:val="clear" w:color="auto" w:fill="E8EEF6"/>
          </w:tcPr>
          <w:p>
            <w:pPr>
              <w:spacing w:after="0" w:before="0"/>
            </w:pPr>
            <w:r/>
            <w:r>
              <w:rPr>
                <w:rFonts w:ascii="Arial" w:hAnsi="Arial"/>
                <w:b w:val="0"/>
                <w:sz w:val="15"/>
              </w:rPr>
              <w:t>m6_requests_3</w:t>
            </w:r>
          </w:p>
        </w:tc>
      </w:tr>
      <w:tr>
        <w:trPr>
          <w:cantSplit w:val="true"/>
        </w:trPr>
        <w:tc>
          <w:tcPr>
            <w:tcW w:type="dxa" w:w="3515"/>
          </w:tcPr>
          <w:p>
            <w:pPr>
              <w:spacing w:after="0" w:before="0"/>
            </w:pPr>
            <w:r/>
            <w:r>
              <w:rPr>
                <w:rFonts w:ascii="Arial" w:hAnsi="Arial"/>
                <w:b w:val="0"/>
                <w:sz w:val="15"/>
              </w:rPr>
              <w:t>wfl.RequestExternalRef</w:t>
            </w:r>
          </w:p>
        </w:tc>
        <w:tc>
          <w:tcPr>
            <w:tcW w:type="dxa" w:w="10205"/>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tcPr>
          <w:p>
            <w:pPr>
              <w:spacing w:after="0" w:before="0"/>
            </w:pPr>
            <w:r/>
            <w:r>
              <w:rPr>
                <w:rFonts w:ascii="Arial" w:hAnsi="Arial"/>
                <w:b w:val="0"/>
                <w:sz w:val="15"/>
              </w:rPr>
              <w:t>m6_requests_5</w:t>
            </w:r>
          </w:p>
        </w:tc>
      </w:tr>
      <w:tr>
        <w:trPr>
          <w:cantSplit w:val="true"/>
        </w:trPr>
        <w:tc>
          <w:tcPr>
            <w:tcW w:type="dxa" w:w="3515"/>
            <w:shd w:val="clear" w:color="auto" w:fill="E8EEF6"/>
          </w:tcPr>
          <w:p>
            <w:pPr>
              <w:spacing w:after="0" w:before="0"/>
            </w:pPr>
            <w:r/>
            <w:r>
              <w:rPr>
                <w:rFonts w:ascii="Arial" w:hAnsi="Arial"/>
                <w:b w:val="0"/>
                <w:sz w:val="15"/>
              </w:rPr>
              <w:t>wfl.RequestStageInstance</w:t>
            </w:r>
          </w:p>
        </w:tc>
        <w:tc>
          <w:tcPr>
            <w:tcW w:type="dxa" w:w="10205"/>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wfl.RequestType</w:t>
            </w:r>
          </w:p>
        </w:tc>
        <w:tc>
          <w:tcPr>
            <w:tcW w:type="dxa" w:w="10205"/>
          </w:tcPr>
          <w:p>
            <w:pPr>
              <w:spacing w:after="0" w:before="0"/>
            </w:pPr>
            <w:r/>
            <w:r>
              <w:rPr>
                <w:rFonts w:ascii="Arial" w:hAnsi="Arial"/>
                <w:b w:val="0"/>
                <w:sz w:val="15"/>
              </w:rPr>
              <w:t>Request type definition (FR-REQ-001, BR-REQ-001, V-REQ-01); new types need no code (FR-REQ-021)</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wfl.RequestTypeAudience</w:t>
            </w:r>
          </w:p>
        </w:tc>
        <w:tc>
          <w:tcPr>
            <w:tcW w:type="dxa" w:w="10205"/>
            <w:shd w:val="clear" w:color="auto" w:fill="E8EEF6"/>
          </w:tcPr>
          <w:p>
            <w:pPr>
              <w:spacing w:after="0" w:before="0"/>
            </w:pPr>
            <w:r/>
            <w:r>
              <w:rPr>
                <w:rFonts w:ascii="Arial" w:hAnsi="Arial"/>
                <w:b w:val="0"/>
                <w:sz w:val="15"/>
              </w:rPr>
              <w:t>Audience of a request type: who may raise it; no rows = nobody (fail closed) (FR-REQ-007)</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wfl.StageApprover</w:t>
            </w:r>
          </w:p>
        </w:tc>
        <w:tc>
          <w:tcPr>
            <w:tcW w:type="dxa" w:w="10205"/>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1701"/>
          </w:tcPr>
          <w:p>
            <w:pPr>
              <w:spacing w:after="0" w:before="0"/>
            </w:pPr>
            <w:r/>
            <w:r>
              <w:rPr>
                <w:rFonts w:ascii="Arial" w:hAnsi="Arial"/>
                <w:b w:val="0"/>
                <w:sz w:val="15"/>
              </w:rPr>
              <w:t>m6_wf_templates_2</w:t>
            </w:r>
          </w:p>
        </w:tc>
      </w:tr>
      <w:tr>
        <w:trPr>
          <w:cantSplit w:val="true"/>
        </w:trPr>
        <w:tc>
          <w:tcPr>
            <w:tcW w:type="dxa" w:w="3515"/>
            <w:shd w:val="clear" w:color="auto" w:fill="E8EEF6"/>
          </w:tcPr>
          <w:p>
            <w:pPr>
              <w:spacing w:after="0" w:before="0"/>
            </w:pPr>
            <w:r/>
            <w:r>
              <w:rPr>
                <w:rFonts w:ascii="Arial" w:hAnsi="Arial"/>
                <w:b w:val="0"/>
                <w:sz w:val="15"/>
              </w:rPr>
              <w:t>wfl.TemplateAttachmentRule</w:t>
            </w:r>
          </w:p>
        </w:tc>
        <w:tc>
          <w:tcPr>
            <w:tcW w:type="dxa" w:w="10205"/>
            <w:shd w:val="clear" w:color="auto" w:fill="E8EEF6"/>
          </w:tcPr>
          <w:p>
            <w:pPr>
              <w:spacing w:after="0" w:before="0"/>
            </w:pPr>
            <w:r/>
            <w:r>
              <w:rPr>
                <w:rFonts w:ascii="Arial" w:hAnsi="Arial"/>
                <w:b w:val="0"/>
                <w:sz w:val="15"/>
              </w:rPr>
              <w:t>Attachment rule on a template version (FR-REQ-006, BR-REQ-005, FR-WFL-024/025)</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wfl.TemplateField</w:t>
            </w:r>
          </w:p>
        </w:tc>
        <w:tc>
          <w:tcPr>
            <w:tcW w:type="dxa" w:w="10205"/>
          </w:tcPr>
          <w:p>
            <w:pPr>
              <w:spacing w:after="0" w:before="0"/>
            </w:pPr>
            <w:r/>
            <w:r>
              <w:rPr>
                <w:rFonts w:ascii="Arial" w:hAnsi="Arial"/>
                <w:b w:val="0"/>
                <w:sz w:val="15"/>
              </w:rPr>
              <w:t>Field in a template version; the form UI is generated without code (FR-REQ-002..005, BR-REQ-003/004)</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wfl.UserDelegation</w:t>
            </w:r>
          </w:p>
        </w:tc>
        <w:tc>
          <w:tcPr>
            <w:tcW w:type="dxa" w:w="10205"/>
            <w:shd w:val="clear" w:color="auto" w:fill="E8EEF6"/>
          </w:tcPr>
          <w:p>
            <w:pPr>
              <w:spacing w:after="0" w:before="0"/>
            </w:pPr>
            <w:r/>
            <w:r>
              <w:rPr>
                <w:rFonts w:ascii="Arial" w:hAnsi="Arial"/>
                <w:b w:val="0"/>
                <w:sz w:val="15"/>
              </w:rPr>
              <w:t>Task delegation with a period and scope; no chained delegation (FR-WFL-020, BR-WFL-021, V-WFL-06)</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wfl.WorkflowStage</w:t>
            </w:r>
          </w:p>
        </w:tc>
        <w:tc>
          <w:tcPr>
            <w:tcW w:type="dxa" w:w="10205"/>
          </w:tcPr>
          <w:p>
            <w:pPr>
              <w:spacing w:after="0" w:before="0"/>
            </w:pPr>
            <w:r/>
            <w:r>
              <w:rPr>
                <w:rFonts w:ascii="Arial" w:hAnsi="Arial"/>
                <w:b w:val="0"/>
                <w:sz w:val="15"/>
              </w:rPr>
              <w:t>Stage in a template version (FR-WFL-003/004/005, BR-WFL-002/010/012); physical delete only for a draft version</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wfl.WorkflowStageHook</w:t>
            </w:r>
          </w:p>
        </w:tc>
        <w:tc>
          <w:tcPr>
            <w:tcW w:type="dxa" w:w="10205"/>
            <w:shd w:val="clear" w:color="auto" w:fill="E8EEF6"/>
          </w:tcPr>
          <w:p>
            <w:pPr>
              <w:spacing w:after="0" w:before="0"/>
            </w:pPr>
            <w:r/>
            <w:r>
              <w:rPr>
                <w:rFonts w:ascii="Arial" w:hAnsi="Arial"/>
                <w:b w:val="0"/>
                <w:sz w:val="15"/>
              </w:rPr>
              <w:t>Hook registered on a stage: a key and parameters, no code (FR-WFL-021, BR-WFL-015, section 5.4)</w:t>
            </w:r>
          </w:p>
        </w:tc>
        <w:tc>
          <w:tcPr>
            <w:tcW w:type="dxa" w:w="1701"/>
            <w:shd w:val="clear" w:color="auto" w:fill="E8EEF6"/>
          </w:tcPr>
          <w:p>
            <w:pPr>
              <w:spacing w:after="0" w:before="0"/>
            </w:pPr>
            <w:r/>
            <w:r>
              <w:rPr>
                <w:rFonts w:ascii="Arial" w:hAnsi="Arial"/>
                <w:b w:val="0"/>
                <w:sz w:val="15"/>
              </w:rPr>
              <w:t>m6_wf_templates_3</w:t>
            </w:r>
          </w:p>
        </w:tc>
      </w:tr>
      <w:tr>
        <w:trPr>
          <w:cantSplit w:val="true"/>
        </w:trPr>
        <w:tc>
          <w:tcPr>
            <w:tcW w:type="dxa" w:w="3515"/>
          </w:tcPr>
          <w:p>
            <w:pPr>
              <w:spacing w:after="0" w:before="0"/>
            </w:pPr>
            <w:r/>
            <w:r>
              <w:rPr>
                <w:rFonts w:ascii="Arial" w:hAnsi="Arial"/>
                <w:b w:val="0"/>
                <w:sz w:val="15"/>
              </w:rPr>
              <w:t>wfl.WorkflowTemplate</w:t>
            </w:r>
          </w:p>
        </w:tc>
        <w:tc>
          <w:tcPr>
            <w:tcW w:type="dxa" w:w="10205"/>
          </w:tcPr>
          <w:p>
            <w:pPr>
              <w:spacing w:after="0" w:before="0"/>
            </w:pPr>
            <w:r/>
            <w:r>
              <w:rPr>
                <w:rFonts w:ascii="Arial" w:hAnsi="Arial"/>
                <w:b w:val="0"/>
                <w:sz w:val="15"/>
              </w:rPr>
              <w:t>Workflow template version; a published version is immutable (FR-WFL-001/028, BR-WFL-019, AC-WFL-6)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wfl.WorkflowTransition</w:t>
            </w:r>
          </w:p>
        </w:tc>
        <w:tc>
          <w:tcPr>
            <w:tcW w:type="dxa" w:w="10205"/>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1701"/>
            <w:shd w:val="clear" w:color="auto" w:fill="E8EEF6"/>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194</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763</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184</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579</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504</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515</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700</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80</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