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3843"/>
        <w:gridCol w:w="3608"/>
        <w:gridCol w:w="1478"/>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ويُختبر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المراجعة عند الاستئناف</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حماية الإغراق (DDoS) المعتمدة،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لعناوين الحافة وحدها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يُبنى ويُكتب عند الاستئناف؛ P1 قبل الإطلاق العام</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2026-10-24T00:06:40.740Z</dcterms:created>
  <dcterms:modified xsi:type="dcterms:W3CDTF">2026-10-24T00:06:40.747Z</dcterms:modified>
</cp:coreProperties>
</file>

<file path=docProps/custom.xml><?xml version="1.0" encoding="utf-8"?>
<Properties xmlns="http://schemas.openxmlformats.org/officeDocument/2006/custom-properties" xmlns:vt="http://schemas.openxmlformats.org/officeDocument/2006/docPropsVTypes"/>
</file>